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609" w:rsidRDefault="006B6609" w:rsidP="006B6609">
      <w:pPr>
        <w:pStyle w:val="Akti"/>
        <w:keepNext w:val="0"/>
        <w:rPr>
          <w:sz w:val="21"/>
          <w:szCs w:val="21"/>
        </w:rPr>
      </w:pPr>
      <w:bookmarkStart w:id="0" w:name="_GoBack"/>
      <w:bookmarkEnd w:id="0"/>
    </w:p>
    <w:p w:rsidR="006B6609" w:rsidRPr="00766BAA" w:rsidRDefault="006B6609" w:rsidP="006B6609">
      <w:pPr>
        <w:pStyle w:val="Akti"/>
        <w:keepNext w:val="0"/>
        <w:rPr>
          <w:sz w:val="21"/>
          <w:szCs w:val="21"/>
        </w:rPr>
      </w:pPr>
      <w:r w:rsidRPr="00766BAA">
        <w:rPr>
          <w:sz w:val="21"/>
          <w:szCs w:val="21"/>
        </w:rPr>
        <w:t>UDHËZIM</w:t>
      </w:r>
    </w:p>
    <w:p w:rsidR="006B6609" w:rsidRPr="00766BAA" w:rsidRDefault="006B6609" w:rsidP="006B6609">
      <w:pPr>
        <w:pStyle w:val="NumriData"/>
        <w:keepNext w:val="0"/>
        <w:rPr>
          <w:sz w:val="21"/>
          <w:szCs w:val="21"/>
        </w:rPr>
      </w:pPr>
      <w:r>
        <w:rPr>
          <w:sz w:val="21"/>
          <w:szCs w:val="21"/>
        </w:rPr>
        <w:t>Nr.69, datë 29.</w:t>
      </w:r>
      <w:r w:rsidRPr="00766BAA">
        <w:rPr>
          <w:sz w:val="21"/>
          <w:szCs w:val="21"/>
        </w:rPr>
        <w:t>1.2009</w:t>
      </w:r>
    </w:p>
    <w:p w:rsidR="006B6609" w:rsidRPr="0078205C" w:rsidRDefault="006B6609" w:rsidP="006B6609">
      <w:pPr>
        <w:widowControl w:val="0"/>
        <w:ind w:firstLine="720"/>
        <w:jc w:val="both"/>
        <w:rPr>
          <w:rFonts w:ascii="CG Times" w:hAnsi="CG Times"/>
          <w:sz w:val="14"/>
          <w:szCs w:val="21"/>
        </w:rPr>
      </w:pPr>
      <w:r w:rsidRPr="00766BAA">
        <w:rPr>
          <w:rFonts w:ascii="CG Times" w:hAnsi="CG Times"/>
          <w:sz w:val="21"/>
          <w:szCs w:val="21"/>
        </w:rPr>
        <w:t xml:space="preserve"> </w:t>
      </w:r>
    </w:p>
    <w:p w:rsidR="006B6609" w:rsidRPr="00766BAA" w:rsidRDefault="006B6609" w:rsidP="006B6609">
      <w:pPr>
        <w:pStyle w:val="Titulli0"/>
        <w:keepNext w:val="0"/>
        <w:rPr>
          <w:sz w:val="21"/>
          <w:szCs w:val="21"/>
        </w:rPr>
      </w:pPr>
      <w:r w:rsidRPr="00766BAA">
        <w:rPr>
          <w:sz w:val="21"/>
          <w:szCs w:val="21"/>
        </w:rPr>
        <w:t>PËR PROCEDURAT E LIKUIDIMIT TË SHOQËRIVE SHTETËRORE</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 xml:space="preserve"> </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 xml:space="preserve">Në mbështetje të nenit 100 të Kushtetutes, të ligjit nr.9901, datë 14.4.2008 “Për tregtarët dhe shoqëritë tregtare”, dhe të ligjit nr.7926, datë 20.4.1995 “Për transformimin e ndërmarrjeve shtetërore në shoqëri tregtare”, të ndryshuar, Ministri i Ekonomisë, Tregtisë dhe Energjetikës </w:t>
      </w:r>
    </w:p>
    <w:p w:rsidR="006B6609" w:rsidRPr="0078205C" w:rsidRDefault="006B6609" w:rsidP="006B6609">
      <w:pPr>
        <w:widowControl w:val="0"/>
        <w:ind w:firstLine="720"/>
        <w:jc w:val="both"/>
        <w:rPr>
          <w:rFonts w:ascii="CG Times" w:hAnsi="CG Times"/>
          <w:sz w:val="16"/>
          <w:szCs w:val="21"/>
        </w:rPr>
      </w:pPr>
    </w:p>
    <w:p w:rsidR="006B6609" w:rsidRPr="00766BAA" w:rsidRDefault="006B6609" w:rsidP="006B6609">
      <w:pPr>
        <w:pStyle w:val="VENDOSI0"/>
        <w:keepNext w:val="0"/>
        <w:rPr>
          <w:sz w:val="21"/>
          <w:szCs w:val="21"/>
        </w:rPr>
      </w:pPr>
      <w:r w:rsidRPr="00766BAA">
        <w:rPr>
          <w:sz w:val="21"/>
          <w:szCs w:val="21"/>
        </w:rPr>
        <w:t>UDHËZON:</w:t>
      </w:r>
    </w:p>
    <w:p w:rsidR="006B6609" w:rsidRPr="0078205C" w:rsidRDefault="006B6609" w:rsidP="006B6609">
      <w:pPr>
        <w:widowControl w:val="0"/>
        <w:ind w:firstLine="720"/>
        <w:jc w:val="both"/>
        <w:rPr>
          <w:rFonts w:ascii="CG Times" w:hAnsi="CG Times"/>
          <w:sz w:val="16"/>
          <w:szCs w:val="21"/>
        </w:rPr>
      </w:pPr>
      <w:r w:rsidRPr="00766BAA">
        <w:rPr>
          <w:rFonts w:ascii="CG Times" w:hAnsi="CG Times"/>
          <w:sz w:val="21"/>
          <w:szCs w:val="21"/>
        </w:rPr>
        <w:t xml:space="preserve"> </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1. Me shpalljen e shoqërisë në likuidim, procedurat bëhen në përputhje me  seksionin V, “Likuidimi” të kreut VI “Dispozita të përbashkëta për të gjitha format e shoqërive”, të ligjit nr.9901, datë 14.4.2008 “Për tregtarët dhe shoqëritë tregtare”.</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 xml:space="preserve"> 2. Operacionet e likuidimit kryhen nga likuidatori, i cili përfaqëson shoqërinë, dhe ka për objekt mbylljen e llogarive dhe çregjistrimin e shoqërisë, në përputhje me ligjin nr.9723, datë 3.5.2007 “Për Qendrën Kombëtare të Regjistrimit”.</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3. Me kalimin e shoqërisë në likuidim hartohet bilanci i likuidimit, i cili verifikohet dhe vërtetohet nga eksperti kontabël i autorizuar. Bilanci, për efekt likuidimi, miratohet nga Ministri i Ekonomisë, Tregtisë dhe Energjetikës dhe shërben si pikënisje për identifikimin e aseteve, elemente të pasurisë, që do të likuidohet.</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4. Me shpalljen e shoqërisë në likuidim, pasuritë e luajtshme dhe të paluajtshme, shiten nëpërmjet ankandit, pas publikimit në Buletinin e Njoftimeve të Agjencisë së Prokurimit Publik. Njoftimi për shitje bëhet dy herë radhazi, nga data e dërgimit të njoftimit për shitje, si dhe vendoset edhe në mjediset e shoqërisë e në objektin, që do të shitet. Njoftimi në Agjencinë e Prokurimit Publik bëhet dhe ndiqet nga Drejtoria e Administrimit të Pronës Publike, në Ministrinë e Ekonomisë, Tregtisë dhe Energjetikës, ku do të bëhet edhe shpërndarja e dokumenteve personave të interesuar.</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5. Ankandet për shitjen e pasurive të shoqërive tregtare shtetërore në likuidim bëhen në mjediset e Ministrisë së Ekonomisë, Tregtisë dhe Energjetikës.</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 xml:space="preserve">6. Komisioni i ankandit përbëhet nga jo më pak se 3 veta, të cilët përcaktohen me urdhër të Ministrit të Ekonomisë, Tregtisë dhe Energjetikës. </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7. Bazuar në pikën 4 të vendimit të Këshillit të Ministrave nr.1638, datë 17.12.2008 “Për kriteret e vlerësimit të pronës shtetërore që privatizohet apo transformohet dhe për procedurën e shitjes” në ankandet për shitjen e pasurive të këtyre shoqërive nuk zbatohet, për ish-pronarët, e drejta e parablerjes. Ata marrin pjesë në ankand si të gjithë të tjerët. Në rastet e shpalljes fitues, ish-pronarëve u zbritet vlera e truallit, e njohur dhe e kthyer me vendim të komisionit të kthimit dhe kompensimit të pronave.</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8. Gjatë zhvillimit të ankandit mbahet procesverbal, ku evidentohen emrat e anëtarëve të komisionit të ankandit, emrat e konkurruesve në ankand dhe emri i personit të shpallur fitues. Fituesi lidh kontratë për blerjen e objektit, pas pagesës së plotë të vlerës së objektit, përfshirë dhe TVSH (20%), për asetet, që janë objekt i saj.  Pagesa në asnjë rast nuk mund të bëhet me letra me vlerë ose bono privatizimi. Me lidhjen e kontratës, likuidatori bën dorëzimin e objektit, nëpërmjet aktit të dorëzimit.</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 xml:space="preserve">9. Nëse personi, që ka fituar të drejtën e blerjes së objektit, nuk paguan brenda 30 ditëve nga data e shpalljes fitues, vlerën e çmimit të arritur në ankand, ai e humbet të drejtën e blerjes, si dhe të marrjes pjesë në ankandin, që do të zhvillohet për rishitjen e këtij objekti. Gjithashtu, pagesa prej 20 për qindësh, e ngurtësuar për pjesëmarrje, nuk kthehet. Objekti rishpallet për shitje, duke zbatuar procedurat e publikimit, sipas përcaktimeve në këtë udhëzim. </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10. Vlera fillestare e ankandit për shitjen e objekteve, të truallit dhe makinerive e pajisjeve është vlera e përcaktuar nga ekspertët vlerësues, të emëruar nga Ministria e Ekonomisë, Tregtisë dhe Energjetikës, me kërkesën e likuidatorit të shoqërisë, në përputhje me çmimet e tregut. Kësaj vlere i shtohet vlera sipas kontabilitetit e inventarit ekonomik, si dhe vlera e mjeteve të xhiros të objektit përkatës.</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11. Likuidatori ngre një komision për vlerësimin e mjeteve të xhiros, si më poshtë vijon:</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a) Artikujt e grupit “a”, që kanë vlerë tregtimi me qarkullim normal, vlerësohen me çmimin e shitjes me shumicë në treg.</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b) Artikujt, që kanë vlerë tregtimi, por me qarkullim të ngadalshëm, vlerësohen me vlerën kontabël të mbetur.</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c) Artikujt e grupit “c”, që nuk gjejnë treg shitjeje, vlerësohen me vlerën kontabël, që kanë pasur në kohën kur kanë hyrë në magazinë shumëzuar me koeficientin 0.1.</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ç) Për metalet me ngjyrë, si bakri, alumini, plumbi, zinku, kallaji, nikeli, ari dhe argjendi, vlera fillestare e ankandit, për rastet kur çmimi në treg është më i lartë se vlera kontabël e tyre në bilanc,  llogaritet referuar çmimit të bursës së Londrës (LME). Në rast se nuk realizohet shitja me vlerën e llogaritur sipas LME-së, shoqëria cakton vlera të reja, deri në vlerën kontabël të mallit.</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12. Raportet e vlerësimit të ekspertëve vlerësues, si dhe raportet e komisionit miratohen para publikimit, nga Ministri i Ekonomisë, Tregtisë dhe Energjetikës.</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 xml:space="preserve">13. </w:t>
      </w:r>
      <w:smartTag w:uri="urn:schemas-microsoft-com:office:smarttags" w:element="place">
        <w:r w:rsidRPr="00766BAA">
          <w:rPr>
            <w:rFonts w:ascii="CG Times" w:hAnsi="CG Times"/>
            <w:sz w:val="21"/>
            <w:szCs w:val="21"/>
          </w:rPr>
          <w:t>Para</w:t>
        </w:r>
      </w:smartTag>
      <w:r w:rsidRPr="00766BAA">
        <w:rPr>
          <w:rFonts w:ascii="CG Times" w:hAnsi="CG Times"/>
          <w:sz w:val="21"/>
          <w:szCs w:val="21"/>
        </w:rPr>
        <w:t xml:space="preserve"> publikimit të objektit për shitje, shoqëria kërkon, në zyrat e regjistrimit të pasurive të paluajtshme, hartën treguese përkatëse.</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14. Në rast se nuk realizohet shitja me vlerat e përcaktuara nga ekspertët vlerësues, objekti  publikohet për herë të dytë, me 70 për qind  të vlerës së përcaktuar në fillim, duke i shtuar kësaj vlere edhe vlerën e truallit, të përcaktuar nga ekspertët vlerësues, si dhe 50 për qind të vlerës së inventarit ekonomik dhe të mjeteve të xhiros. Nëse edhe me këtë vlerë nuk shitet, atëherë publikohet  me vlerë  kontabiliteti. Nëse nuk shitet as me  vlerën sipas kontabilitetit, atëherë vendos Ministri i Ekonomisë, Tregtisë dhe Energjetikës.</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15. Për makineritë dhe pajisjet, që nuk kanë mundur të shiten me vlerat e përcaktuara nga ekspertët vlerësues, zbatohen procedurat e nxjerrjes jashtë përdorimit, në përputhje me legjislacionin në fuqi.</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16. Të ardhurat e realizuara nga likuidimi, si shitja e aseteve, arkëtimi i debitorëve, të ardhurat nga qiraja apo edhe fitime të tjera, shërbejnë për shlyerjen e kreditorëve të shoqërisë në likuidim, në mënyrë proporcionale, në varësi të mjeteve monetare të siguruara. Përjashtohen nga ky rregull detyrimet fiskale dhe ato sociale (paga dhe sigurime shoqërore), të cilat do të shlyhen tërësisht. Për kërkesat debitore, të paarkëtueshme, si në rastin, kur debitorët nuk ekzistojnë, kur kërkesat nuk janë të dokumentuara apo është humbur procesi gjyqësor etj., procedohet, duke i kaluar si shpenzime likuidimi.</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17. Likuidatori nuk mund të lidhë kontrata dhe as nuk mund të shesë asete me mirëkuptim, pa autorizimin e Ministrit të Ekonomisë, Tregtisë dhe Energjetikës.</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18. Në publikimin për shitje të pasurisë së shoqërisë në likuidim përfshihen edhe objektet e dhëna me qira, përpara datës së shpalljes së shoqërisë në likuidim.</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19. Llogaritë vjetore depozitohen në formën dhe në afatet e parashikuara në ligjin nr.9228, datë 29.4.2008 “Për kontabilitetin dhe pasqyrat financiare”.</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20. Anulohen të gjitha miratimet e privatizimit të aseteve të përfshira në kapitalin e shoqërisë që nuk kanë filluar procedurën e përgatitjes së dokumentacionit para datës së shpalljes së shoqërisë në likuidim me vendim gjyqi.</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21. Ngarkohet Ministria e Ekonomisë, Tregtisë dhe Energjetikës për zbatimin e këtij vendimi.</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 xml:space="preserve">22.  Udhëzimi  nr.548, datë 2.8.2007 “Për shoqëritë anonime në likuidim e sipër, me kapital tërësisht shtetëror” i  Ministrisë së Ekonomisë, Tregtisë dhe Energjetikës shfuqizohet . </w:t>
      </w:r>
    </w:p>
    <w:p w:rsidR="006B6609" w:rsidRPr="00766BAA" w:rsidRDefault="006B6609" w:rsidP="006B6609">
      <w:pPr>
        <w:widowControl w:val="0"/>
        <w:ind w:firstLine="720"/>
        <w:jc w:val="both"/>
        <w:rPr>
          <w:rFonts w:ascii="CG Times" w:hAnsi="CG Times"/>
          <w:sz w:val="21"/>
          <w:szCs w:val="21"/>
        </w:rPr>
      </w:pPr>
      <w:r w:rsidRPr="00766BAA">
        <w:rPr>
          <w:rFonts w:ascii="CG Times" w:hAnsi="CG Times"/>
          <w:sz w:val="21"/>
          <w:szCs w:val="21"/>
        </w:rPr>
        <w:t>Ky udhëzim hyn në fuqi pas botimit në Fletoren Zyrtare.</w:t>
      </w:r>
    </w:p>
    <w:p w:rsidR="006B6609" w:rsidRPr="00766BAA" w:rsidRDefault="006B6609" w:rsidP="006B6609">
      <w:pPr>
        <w:widowControl w:val="0"/>
        <w:jc w:val="both"/>
        <w:rPr>
          <w:rFonts w:ascii="CG Times" w:hAnsi="CG Times"/>
          <w:sz w:val="21"/>
          <w:szCs w:val="21"/>
        </w:rPr>
      </w:pPr>
    </w:p>
    <w:p w:rsidR="006B6609" w:rsidRPr="00766BAA" w:rsidRDefault="006B6609" w:rsidP="006B6609">
      <w:pPr>
        <w:pStyle w:val="Autoriteti"/>
        <w:keepNext w:val="0"/>
        <w:rPr>
          <w:sz w:val="21"/>
          <w:szCs w:val="21"/>
        </w:rPr>
      </w:pPr>
      <w:r w:rsidRPr="00766BAA">
        <w:rPr>
          <w:sz w:val="21"/>
          <w:szCs w:val="21"/>
        </w:rPr>
        <w:t>MINISTRI I EKONOMISË, TREGTISË DHE ENERGJETIKËS</w:t>
      </w:r>
    </w:p>
    <w:p w:rsidR="006B6609" w:rsidRPr="00766BAA" w:rsidRDefault="006B6609" w:rsidP="006B6609">
      <w:pPr>
        <w:pStyle w:val="AutoritetiEmer"/>
        <w:rPr>
          <w:sz w:val="21"/>
          <w:szCs w:val="21"/>
        </w:rPr>
      </w:pPr>
      <w:r w:rsidRPr="00766BAA">
        <w:rPr>
          <w:sz w:val="21"/>
          <w:szCs w:val="21"/>
        </w:rPr>
        <w:t xml:space="preserve"> GENC RULI </w:t>
      </w:r>
    </w:p>
    <w:sectPr w:rsidR="006B6609" w:rsidRPr="00766BA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B6609"/>
    <w:rsid w:val="00005805"/>
    <w:rsid w:val="000116E2"/>
    <w:rsid w:val="000152A2"/>
    <w:rsid w:val="00016606"/>
    <w:rsid w:val="00017EBE"/>
    <w:rsid w:val="000239EC"/>
    <w:rsid w:val="000253C1"/>
    <w:rsid w:val="0002748B"/>
    <w:rsid w:val="00053FD5"/>
    <w:rsid w:val="00055B92"/>
    <w:rsid w:val="00057B3F"/>
    <w:rsid w:val="00066D6B"/>
    <w:rsid w:val="00071072"/>
    <w:rsid w:val="000813AD"/>
    <w:rsid w:val="00081DED"/>
    <w:rsid w:val="000B3B20"/>
    <w:rsid w:val="000C2D93"/>
    <w:rsid w:val="000C4FFA"/>
    <w:rsid w:val="000C61F8"/>
    <w:rsid w:val="000C750C"/>
    <w:rsid w:val="000D1F2B"/>
    <w:rsid w:val="000D65A1"/>
    <w:rsid w:val="000E0DE0"/>
    <w:rsid w:val="000F0EC8"/>
    <w:rsid w:val="00103440"/>
    <w:rsid w:val="00132DD0"/>
    <w:rsid w:val="00132FBB"/>
    <w:rsid w:val="0015202D"/>
    <w:rsid w:val="00152456"/>
    <w:rsid w:val="001743DB"/>
    <w:rsid w:val="001763D1"/>
    <w:rsid w:val="001952F8"/>
    <w:rsid w:val="001A2C51"/>
    <w:rsid w:val="001B05F9"/>
    <w:rsid w:val="001B06BA"/>
    <w:rsid w:val="001B39D0"/>
    <w:rsid w:val="001C1609"/>
    <w:rsid w:val="001C345E"/>
    <w:rsid w:val="001C407E"/>
    <w:rsid w:val="001C6FD6"/>
    <w:rsid w:val="001D52B7"/>
    <w:rsid w:val="001D6951"/>
    <w:rsid w:val="001E0AF3"/>
    <w:rsid w:val="001E3756"/>
    <w:rsid w:val="001F45BB"/>
    <w:rsid w:val="00203073"/>
    <w:rsid w:val="00204565"/>
    <w:rsid w:val="002047F1"/>
    <w:rsid w:val="00206485"/>
    <w:rsid w:val="002218B3"/>
    <w:rsid w:val="0022239B"/>
    <w:rsid w:val="002278F6"/>
    <w:rsid w:val="00252D7E"/>
    <w:rsid w:val="002538A1"/>
    <w:rsid w:val="0025540D"/>
    <w:rsid w:val="002608DE"/>
    <w:rsid w:val="002612BA"/>
    <w:rsid w:val="00266A90"/>
    <w:rsid w:val="002819BD"/>
    <w:rsid w:val="0029358C"/>
    <w:rsid w:val="002B5A40"/>
    <w:rsid w:val="002B5C1F"/>
    <w:rsid w:val="002B7B90"/>
    <w:rsid w:val="002C2F7E"/>
    <w:rsid w:val="002C663A"/>
    <w:rsid w:val="002E7680"/>
    <w:rsid w:val="002F3591"/>
    <w:rsid w:val="003107C7"/>
    <w:rsid w:val="0031550B"/>
    <w:rsid w:val="00323062"/>
    <w:rsid w:val="00324C47"/>
    <w:rsid w:val="00354C70"/>
    <w:rsid w:val="00356EA6"/>
    <w:rsid w:val="00357FBC"/>
    <w:rsid w:val="00364171"/>
    <w:rsid w:val="0037658A"/>
    <w:rsid w:val="003A0F41"/>
    <w:rsid w:val="003A59E8"/>
    <w:rsid w:val="003B370C"/>
    <w:rsid w:val="003C34AC"/>
    <w:rsid w:val="003C5597"/>
    <w:rsid w:val="003E29AB"/>
    <w:rsid w:val="003E5A3C"/>
    <w:rsid w:val="00402051"/>
    <w:rsid w:val="004035B3"/>
    <w:rsid w:val="00411350"/>
    <w:rsid w:val="00412459"/>
    <w:rsid w:val="0042500E"/>
    <w:rsid w:val="004257EA"/>
    <w:rsid w:val="00425AC9"/>
    <w:rsid w:val="00427F76"/>
    <w:rsid w:val="00453249"/>
    <w:rsid w:val="0045357A"/>
    <w:rsid w:val="004676E2"/>
    <w:rsid w:val="00471BC0"/>
    <w:rsid w:val="00474045"/>
    <w:rsid w:val="004811FB"/>
    <w:rsid w:val="00481895"/>
    <w:rsid w:val="00494FC4"/>
    <w:rsid w:val="004A7CD1"/>
    <w:rsid w:val="004B2212"/>
    <w:rsid w:val="004B4D1B"/>
    <w:rsid w:val="004C505A"/>
    <w:rsid w:val="004C798A"/>
    <w:rsid w:val="004E72E6"/>
    <w:rsid w:val="004F5B0D"/>
    <w:rsid w:val="004F5C9A"/>
    <w:rsid w:val="004F6760"/>
    <w:rsid w:val="005009A9"/>
    <w:rsid w:val="00502300"/>
    <w:rsid w:val="005267D0"/>
    <w:rsid w:val="00557A25"/>
    <w:rsid w:val="00571B16"/>
    <w:rsid w:val="00572B76"/>
    <w:rsid w:val="00582220"/>
    <w:rsid w:val="005915C1"/>
    <w:rsid w:val="005A6181"/>
    <w:rsid w:val="005A76EA"/>
    <w:rsid w:val="005C1ED6"/>
    <w:rsid w:val="005C6C7A"/>
    <w:rsid w:val="005D3BF4"/>
    <w:rsid w:val="00602F29"/>
    <w:rsid w:val="00603BBB"/>
    <w:rsid w:val="0060696A"/>
    <w:rsid w:val="00615823"/>
    <w:rsid w:val="00615F4E"/>
    <w:rsid w:val="00616583"/>
    <w:rsid w:val="0064249D"/>
    <w:rsid w:val="006425FC"/>
    <w:rsid w:val="00671577"/>
    <w:rsid w:val="00673FF0"/>
    <w:rsid w:val="006771AC"/>
    <w:rsid w:val="00682F33"/>
    <w:rsid w:val="00683536"/>
    <w:rsid w:val="006933FE"/>
    <w:rsid w:val="00694E32"/>
    <w:rsid w:val="006B2EF9"/>
    <w:rsid w:val="006B6609"/>
    <w:rsid w:val="006C6838"/>
    <w:rsid w:val="006C6CC1"/>
    <w:rsid w:val="006D6EFE"/>
    <w:rsid w:val="006E0B99"/>
    <w:rsid w:val="006E3575"/>
    <w:rsid w:val="006F340A"/>
    <w:rsid w:val="006F3D8B"/>
    <w:rsid w:val="007071C1"/>
    <w:rsid w:val="00715049"/>
    <w:rsid w:val="007169FF"/>
    <w:rsid w:val="007235A2"/>
    <w:rsid w:val="007355EB"/>
    <w:rsid w:val="00756B4E"/>
    <w:rsid w:val="00761FEB"/>
    <w:rsid w:val="007708DE"/>
    <w:rsid w:val="0078151F"/>
    <w:rsid w:val="007819BC"/>
    <w:rsid w:val="0078554A"/>
    <w:rsid w:val="00785FFC"/>
    <w:rsid w:val="00786BC7"/>
    <w:rsid w:val="00792743"/>
    <w:rsid w:val="0079382F"/>
    <w:rsid w:val="007970A2"/>
    <w:rsid w:val="007C561F"/>
    <w:rsid w:val="007D12D3"/>
    <w:rsid w:val="007D3D1F"/>
    <w:rsid w:val="007D4410"/>
    <w:rsid w:val="007D4F2F"/>
    <w:rsid w:val="007E2FED"/>
    <w:rsid w:val="007E4705"/>
    <w:rsid w:val="007E4BB8"/>
    <w:rsid w:val="007E75E0"/>
    <w:rsid w:val="007F4A22"/>
    <w:rsid w:val="007F60D2"/>
    <w:rsid w:val="0080191A"/>
    <w:rsid w:val="008034BC"/>
    <w:rsid w:val="008041F7"/>
    <w:rsid w:val="008073B6"/>
    <w:rsid w:val="00823050"/>
    <w:rsid w:val="0084152F"/>
    <w:rsid w:val="00844A57"/>
    <w:rsid w:val="008518B1"/>
    <w:rsid w:val="008533FC"/>
    <w:rsid w:val="008569AD"/>
    <w:rsid w:val="00883176"/>
    <w:rsid w:val="0088753F"/>
    <w:rsid w:val="00887EBD"/>
    <w:rsid w:val="00890E90"/>
    <w:rsid w:val="008B10ED"/>
    <w:rsid w:val="008D242F"/>
    <w:rsid w:val="008D73A9"/>
    <w:rsid w:val="008E7307"/>
    <w:rsid w:val="008F0846"/>
    <w:rsid w:val="008F1BE3"/>
    <w:rsid w:val="008F71A1"/>
    <w:rsid w:val="00913360"/>
    <w:rsid w:val="009166AF"/>
    <w:rsid w:val="0091681E"/>
    <w:rsid w:val="009221B5"/>
    <w:rsid w:val="00927B74"/>
    <w:rsid w:val="0093145E"/>
    <w:rsid w:val="00943098"/>
    <w:rsid w:val="00952B82"/>
    <w:rsid w:val="00961AD4"/>
    <w:rsid w:val="009865D7"/>
    <w:rsid w:val="00990A5D"/>
    <w:rsid w:val="00997B16"/>
    <w:rsid w:val="009A1FDB"/>
    <w:rsid w:val="009A7512"/>
    <w:rsid w:val="009B5DE8"/>
    <w:rsid w:val="009C244E"/>
    <w:rsid w:val="009C59E2"/>
    <w:rsid w:val="009C698B"/>
    <w:rsid w:val="009E12A3"/>
    <w:rsid w:val="009E196D"/>
    <w:rsid w:val="00A1081B"/>
    <w:rsid w:val="00A23238"/>
    <w:rsid w:val="00A308F3"/>
    <w:rsid w:val="00A36F61"/>
    <w:rsid w:val="00A507D7"/>
    <w:rsid w:val="00A512E6"/>
    <w:rsid w:val="00A51C90"/>
    <w:rsid w:val="00A520E9"/>
    <w:rsid w:val="00A52E74"/>
    <w:rsid w:val="00A553C4"/>
    <w:rsid w:val="00A55AFE"/>
    <w:rsid w:val="00A56B57"/>
    <w:rsid w:val="00A67D65"/>
    <w:rsid w:val="00A70520"/>
    <w:rsid w:val="00A731A2"/>
    <w:rsid w:val="00A81297"/>
    <w:rsid w:val="00A93486"/>
    <w:rsid w:val="00A95AEE"/>
    <w:rsid w:val="00A97655"/>
    <w:rsid w:val="00AA0126"/>
    <w:rsid w:val="00AB6ED0"/>
    <w:rsid w:val="00AE2C3A"/>
    <w:rsid w:val="00AF6FC9"/>
    <w:rsid w:val="00B01885"/>
    <w:rsid w:val="00B0397B"/>
    <w:rsid w:val="00B231C6"/>
    <w:rsid w:val="00B304AB"/>
    <w:rsid w:val="00B30A87"/>
    <w:rsid w:val="00B31AA8"/>
    <w:rsid w:val="00B320FC"/>
    <w:rsid w:val="00B3592B"/>
    <w:rsid w:val="00B36C00"/>
    <w:rsid w:val="00B40E2A"/>
    <w:rsid w:val="00B4411A"/>
    <w:rsid w:val="00B65249"/>
    <w:rsid w:val="00B71539"/>
    <w:rsid w:val="00B8484C"/>
    <w:rsid w:val="00B87DCC"/>
    <w:rsid w:val="00B97FD5"/>
    <w:rsid w:val="00BB085C"/>
    <w:rsid w:val="00BC26E1"/>
    <w:rsid w:val="00BC5452"/>
    <w:rsid w:val="00BC6CE7"/>
    <w:rsid w:val="00BD0A02"/>
    <w:rsid w:val="00BE1622"/>
    <w:rsid w:val="00BE1DDF"/>
    <w:rsid w:val="00BF214C"/>
    <w:rsid w:val="00BF47D7"/>
    <w:rsid w:val="00BF6E17"/>
    <w:rsid w:val="00C04730"/>
    <w:rsid w:val="00C04C46"/>
    <w:rsid w:val="00C0606C"/>
    <w:rsid w:val="00C15A00"/>
    <w:rsid w:val="00C22D97"/>
    <w:rsid w:val="00C33F71"/>
    <w:rsid w:val="00C41A80"/>
    <w:rsid w:val="00C47B52"/>
    <w:rsid w:val="00C5019E"/>
    <w:rsid w:val="00C50C6D"/>
    <w:rsid w:val="00C63800"/>
    <w:rsid w:val="00C76C12"/>
    <w:rsid w:val="00C81682"/>
    <w:rsid w:val="00C90A36"/>
    <w:rsid w:val="00CA07EF"/>
    <w:rsid w:val="00CA4FE2"/>
    <w:rsid w:val="00CA51CA"/>
    <w:rsid w:val="00CB1A2D"/>
    <w:rsid w:val="00CC7AA1"/>
    <w:rsid w:val="00CD3859"/>
    <w:rsid w:val="00CD5371"/>
    <w:rsid w:val="00CE179E"/>
    <w:rsid w:val="00CE6530"/>
    <w:rsid w:val="00CE6CC0"/>
    <w:rsid w:val="00D03F6E"/>
    <w:rsid w:val="00D14D49"/>
    <w:rsid w:val="00D14F5E"/>
    <w:rsid w:val="00D32262"/>
    <w:rsid w:val="00D32652"/>
    <w:rsid w:val="00D4083D"/>
    <w:rsid w:val="00D55569"/>
    <w:rsid w:val="00D65923"/>
    <w:rsid w:val="00D6683B"/>
    <w:rsid w:val="00D70F57"/>
    <w:rsid w:val="00D75EA0"/>
    <w:rsid w:val="00D8028C"/>
    <w:rsid w:val="00D838B0"/>
    <w:rsid w:val="00D83FA3"/>
    <w:rsid w:val="00D86C7B"/>
    <w:rsid w:val="00D91B15"/>
    <w:rsid w:val="00DA14E8"/>
    <w:rsid w:val="00DA7194"/>
    <w:rsid w:val="00DC22F7"/>
    <w:rsid w:val="00DC70E0"/>
    <w:rsid w:val="00DD0751"/>
    <w:rsid w:val="00E02A89"/>
    <w:rsid w:val="00E03C4C"/>
    <w:rsid w:val="00E262B2"/>
    <w:rsid w:val="00E269BA"/>
    <w:rsid w:val="00E35F12"/>
    <w:rsid w:val="00E367E4"/>
    <w:rsid w:val="00E47701"/>
    <w:rsid w:val="00E71D15"/>
    <w:rsid w:val="00E834AF"/>
    <w:rsid w:val="00E943E3"/>
    <w:rsid w:val="00E96895"/>
    <w:rsid w:val="00E977BC"/>
    <w:rsid w:val="00EA28AE"/>
    <w:rsid w:val="00EA4DF1"/>
    <w:rsid w:val="00EB1957"/>
    <w:rsid w:val="00EB24A9"/>
    <w:rsid w:val="00EC3315"/>
    <w:rsid w:val="00EF7E31"/>
    <w:rsid w:val="00F02C33"/>
    <w:rsid w:val="00F042D3"/>
    <w:rsid w:val="00F15C00"/>
    <w:rsid w:val="00F2187B"/>
    <w:rsid w:val="00F25E06"/>
    <w:rsid w:val="00F37A38"/>
    <w:rsid w:val="00F37D59"/>
    <w:rsid w:val="00F43E17"/>
    <w:rsid w:val="00F46890"/>
    <w:rsid w:val="00F56840"/>
    <w:rsid w:val="00F6716B"/>
    <w:rsid w:val="00F7724A"/>
    <w:rsid w:val="00F81867"/>
    <w:rsid w:val="00F83DBC"/>
    <w:rsid w:val="00F84FFD"/>
    <w:rsid w:val="00F91553"/>
    <w:rsid w:val="00FA0E41"/>
    <w:rsid w:val="00FA796B"/>
    <w:rsid w:val="00FB7558"/>
    <w:rsid w:val="00FB7650"/>
    <w:rsid w:val="00FC19E3"/>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56A7083-11A7-461B-B3F3-347A2DCFB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609"/>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TitulliChar">
    <w:name w:val="Titulli Char"/>
    <w:basedOn w:val="DefaultParagraphFont"/>
    <w:link w:val="Titulli0"/>
    <w:rsid w:val="006B6609"/>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1135</Words>
  <Characters>6472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7592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2019-03-18T12:46:00Z</dcterms:created>
  <dcterms:modified xsi:type="dcterms:W3CDTF">2019-03-18T12:46:00Z</dcterms:modified>
</cp:coreProperties>
</file>