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3D7" w:rsidRDefault="00D133D7" w:rsidP="00D133D7">
      <w:pPr>
        <w:pStyle w:val="Akti"/>
      </w:pPr>
      <w:bookmarkStart w:id="0" w:name="_GoBack"/>
      <w:bookmarkEnd w:id="0"/>
      <w:r>
        <w:t>UDHëZIM</w:t>
      </w:r>
    </w:p>
    <w:p w:rsidR="00D133D7" w:rsidRDefault="00D133D7" w:rsidP="00D133D7">
      <w:pPr>
        <w:pStyle w:val="NumriData"/>
      </w:pPr>
      <w:r>
        <w:t xml:space="preserve">     Nr.9,  datë 29.1.2009</w:t>
      </w:r>
    </w:p>
    <w:p w:rsidR="00D133D7" w:rsidRDefault="00D133D7" w:rsidP="00D133D7">
      <w:pPr>
        <w:pStyle w:val="Paragrafi0"/>
      </w:pPr>
    </w:p>
    <w:p w:rsidR="00D133D7" w:rsidRDefault="00D133D7" w:rsidP="00D133D7">
      <w:pPr>
        <w:pStyle w:val="Titulli0"/>
      </w:pPr>
      <w:r>
        <w:t>MBI ZBATIMIN E VENDIMIT të KËSHILLIT të MINISTRAVE NR.52, DATË 14.1.2009 “PËR CILESINË E LËNDËS DJEGËSE GAZOIL (DIEZEL) të RAFINUAR NGA PRODHIMI I NAFTËS BRUTO të NXJERRË në TERRITORIN E REPUBLIKËS SË SHQIPËRISË DHE TREGTUAR për AUTOMJETE RRUGORE DHE GJENERATORË”</w:t>
      </w:r>
    </w:p>
    <w:p w:rsidR="00D133D7" w:rsidRDefault="00D133D7" w:rsidP="00D133D7">
      <w:pPr>
        <w:pStyle w:val="Paragrafi0"/>
      </w:pPr>
    </w:p>
    <w:p w:rsidR="00D133D7" w:rsidRDefault="00D133D7" w:rsidP="00D133D7">
      <w:pPr>
        <w:pStyle w:val="BazLigjPropozues"/>
      </w:pPr>
      <w:r>
        <w:t>Në mbështetje të nenit 100 të Kushtetutës, të pikës 5 të nenit 10 të ligjit nr.8897, datë 16.5.2002 “Për Mbrojtjen e Ajrit nga Ndotja” dhe neneve 8 dhe 9 të ligjit nr.9121, datë 28.7.2003, “Për Mbrojtjen e Konkurrencës” të vendimit të Këshillit të Ministrave  nr.52, datë 14.1.2009 “P</w:t>
      </w:r>
      <w:r>
        <w:rPr>
          <w:rFonts w:cs="CG Times"/>
        </w:rPr>
        <w:t>ë</w:t>
      </w:r>
      <w:r>
        <w:t xml:space="preserve">r cilësinë e lëndës djegëse gazoil (diezel) të rafinuar nga prodhimi i naftës bruto të nxjerrë në territorin e Republikës së Shqipërisë dhe tregtuar për automjete rrugore dhe gjeneratorë”, Ministri i Financave dhe Ministri i Ekonomisë, Tregtisë dhe Energjetikës </w:t>
      </w:r>
    </w:p>
    <w:p w:rsidR="00D133D7" w:rsidRDefault="00D133D7" w:rsidP="00D133D7">
      <w:pPr>
        <w:pStyle w:val="Paragrafi0"/>
        <w:rPr>
          <w:bCs/>
        </w:rPr>
      </w:pPr>
      <w:r>
        <w:rPr>
          <w:bCs/>
        </w:rPr>
        <w:tab/>
      </w:r>
    </w:p>
    <w:p w:rsidR="00D133D7" w:rsidRDefault="00D133D7" w:rsidP="00D133D7">
      <w:pPr>
        <w:pStyle w:val="Paragrafi0"/>
        <w:rPr>
          <w:bCs/>
        </w:rPr>
      </w:pPr>
    </w:p>
    <w:p w:rsidR="00D133D7" w:rsidRDefault="00D133D7" w:rsidP="00D133D7">
      <w:pPr>
        <w:pStyle w:val="Paragrafi0"/>
        <w:rPr>
          <w:bCs/>
        </w:rPr>
      </w:pPr>
    </w:p>
    <w:p w:rsidR="00D133D7" w:rsidRDefault="00D133D7" w:rsidP="00D133D7">
      <w:pPr>
        <w:pStyle w:val="VENDOSI0"/>
      </w:pPr>
      <w:r>
        <w:t>UDHËZOJNË:</w:t>
      </w:r>
    </w:p>
    <w:p w:rsidR="00D133D7" w:rsidRDefault="00D133D7" w:rsidP="00D133D7">
      <w:pPr>
        <w:pStyle w:val="Paragrafi0"/>
        <w:rPr>
          <w:bCs/>
        </w:rPr>
      </w:pPr>
    </w:p>
    <w:p w:rsidR="00D133D7" w:rsidRDefault="00D133D7" w:rsidP="00D133D7">
      <w:pPr>
        <w:pStyle w:val="Paragrafi0"/>
      </w:pPr>
      <w:r>
        <w:t xml:space="preserve">1. Në zbatim të pikës 8 të vendimit të Këshillit të Ministrave nr.52, datë 14.1.2009, subjektet importuese të lëndës djegëse gazoil (diezel), që në nomenklaturën e mallrave përshkruhet në kodin 27101945 dhe që plotëson kërkesat e standardit SSh 31:1997 ose të standardeve të tjera, të barazvlefshme me të, do të lejohen të importojnë vetëm kur paraqesin në organin doganor dhe në Inspektoratin Qendror Teknik, kontratën e shitjes, me përdoruesit, ku është speficifikuar destinacioni i përdorimit në Shqipëri, për sasinë e produktit që importojnë, destinacion, i cili duhet të jetë i ndryshem nga tregtimi për përdorim në automjete rrugore dhe gjeneratorë. Organi tatimor, në mënyrë periodike, bën verifikimin e përdorimit, sipas kontratave dhe destinacionit,  dhe informon Inspektoratin Qendror Teknik. </w:t>
      </w:r>
    </w:p>
    <w:p w:rsidR="00D133D7" w:rsidRDefault="00D133D7" w:rsidP="00D133D7">
      <w:pPr>
        <w:pStyle w:val="Paragrafi0"/>
      </w:pPr>
      <w:r>
        <w:t>2. Organi doganor do të kryejë procedurat për hedhjen në qarkullim të lirë të lëndës djegëse gazoil (diezel) që në nomenklaturën e mallrave përshkruhet në kodin 27101945 dhe që plotëson kërkesat e standartit SSH 31:1997 ose të standarteve të tjera të barazvlefshme me të, pasi të jetë marrë konfirmimi zyrtar nga Inspektoriati Qendror Teknik, (IQT) për lejimin e importit, vetëm për ato subjekte, të cilat përmbushin kriteret e përcaktuar në këtë udhëzim, sa më poshtë:</w:t>
      </w:r>
    </w:p>
    <w:p w:rsidR="00D133D7" w:rsidRDefault="00D133D7" w:rsidP="00D133D7">
      <w:pPr>
        <w:pStyle w:val="Paragrafi0"/>
      </w:pPr>
      <w:r>
        <w:t>a) Depozitojnë pranë Inspektoriatit Qendror Teknik (IQT) kontrata të shitjes me përdoruesit, me destinacion të ndryshëm nga përdorimi për automjete rrugore dhe gjeneratorë;</w:t>
      </w:r>
    </w:p>
    <w:p w:rsidR="00D133D7" w:rsidRDefault="00D133D7" w:rsidP="00D133D7">
      <w:pPr>
        <w:pStyle w:val="Paragrafi0"/>
        <w:rPr>
          <w:bCs/>
          <w:lang w:val="nb-NO"/>
        </w:rPr>
      </w:pPr>
      <w:r>
        <w:t xml:space="preserve">b) E gjithë sasia e importuar, denatyrohet dhe ngjyroset sipas </w:t>
      </w:r>
      <w:r>
        <w:rPr>
          <w:bCs/>
        </w:rPr>
        <w:t xml:space="preserve">standartit të BE-së (Solven Yelloe 124, me ëmer shkencor N- etil-N – [2-[1-(2-isobutossierossi) etil] -4 – (fenilazo) aniline). </w:t>
      </w:r>
      <w:r>
        <w:rPr>
          <w:bCs/>
          <w:lang w:val="nb-NO"/>
        </w:rPr>
        <w:t>Niveli i ngjyrimit duhet të jetë jo më pak se 6 mg/l gazoil dhe jo më shumë se 9 mg/l. Ngjyrosja është detyrim i subjektit importues dhe mund të kryhet si pranë prodhuesit ashtu edhe në kalatën e portit apo vendndodhje tjetër, konform procedurave doganore në fuqi, në prezencën e inspektorit/eve të IQT dhe të doganierit/eve (përveçse kur ngjyrosja kryhet në ambjentet e prodhuesit). Inspektorët e IQT, konform ligjit, kryejnë procedurat e marrjes së mostrave dhe analizës së mallit.</w:t>
      </w:r>
    </w:p>
    <w:p w:rsidR="00D133D7" w:rsidRDefault="00D133D7" w:rsidP="00D133D7">
      <w:pPr>
        <w:pStyle w:val="Paragrafi0"/>
        <w:rPr>
          <w:bCs/>
          <w:lang w:val="nb-NO"/>
        </w:rPr>
      </w:pPr>
      <w:r>
        <w:rPr>
          <w:bCs/>
          <w:lang w:val="nb-NO"/>
        </w:rPr>
        <w:t>3. Inspektorati Qendror Teknik në zbatim të kushteve të mësipërme, lëshon një vërtetim  konfirmimi për subjektin importues, një kopje e të cilit, së bashku me kopje të kontratës,  i përcillet Degës Doganore përkatëse. Gjithashtu, kopje e kontratës i përcillet edhe Drejtorisë së Përgjithshme të Tatimeve. Afati i kryerjes së procedurave (nga momenti i dorëzimit të kontratave dhe ngjyrosjes së gazoilit në marrjen e vërtetimit të konfirmimit nga  IQT) nuk duhet të jetë më shumë se 3 ditë.</w:t>
      </w:r>
    </w:p>
    <w:p w:rsidR="00D133D7" w:rsidRDefault="00D133D7" w:rsidP="00D133D7">
      <w:pPr>
        <w:pStyle w:val="Paragrafi0"/>
        <w:rPr>
          <w:bCs/>
          <w:lang w:val="nb-NO"/>
        </w:rPr>
      </w:pPr>
      <w:r>
        <w:rPr>
          <w:bCs/>
          <w:lang w:val="nb-NO"/>
        </w:rPr>
        <w:t>4. Me marrjen e këtij vërtetimi nga IQT, Organi i Degës Doganore përkatëse lejon importimin dhe realizon hedhjen në qarkullim të lirë të sasisë së importuar.</w:t>
      </w:r>
    </w:p>
    <w:p w:rsidR="00D133D7" w:rsidRDefault="00D133D7" w:rsidP="00D133D7">
      <w:pPr>
        <w:pStyle w:val="Paragrafi0"/>
        <w:rPr>
          <w:bCs/>
          <w:lang w:val="nb-NO"/>
        </w:rPr>
      </w:pPr>
      <w:r>
        <w:rPr>
          <w:bCs/>
          <w:lang w:val="nb-NO"/>
        </w:rPr>
        <w:t xml:space="preserve">5. Drejtoria e Përgjithshme e Tatimeve nëpërmjet strukturave kontrolluese bën kontrolle për efekt të zbatimit të kontratave të depozitura nga Subjektet Importuese. Për rastet kur ajo konstaton shkelje të kontratave informon IQT. </w:t>
      </w:r>
    </w:p>
    <w:p w:rsidR="00D133D7" w:rsidRDefault="00D133D7" w:rsidP="00D133D7">
      <w:pPr>
        <w:pStyle w:val="Paragrafi0"/>
        <w:rPr>
          <w:bCs/>
          <w:lang w:val="nb-NO"/>
        </w:rPr>
      </w:pPr>
      <w:r>
        <w:rPr>
          <w:bCs/>
          <w:lang w:val="nb-NO"/>
        </w:rPr>
        <w:t xml:space="preserve">6. Inspektorati Qendror Teknik monitoron përdorimin në Shqipëri të sasive të importuara të kësaj lënde djegëse gazoil (diezel). </w:t>
      </w:r>
    </w:p>
    <w:p w:rsidR="00D133D7" w:rsidRDefault="00D133D7" w:rsidP="00D133D7">
      <w:pPr>
        <w:pStyle w:val="Paragrafi0"/>
        <w:rPr>
          <w:bCs/>
          <w:lang w:val="nb-NO"/>
        </w:rPr>
      </w:pPr>
      <w:r>
        <w:rPr>
          <w:bCs/>
          <w:lang w:val="nb-NO"/>
        </w:rPr>
        <w:t xml:space="preserve">Në rast, të verifikimit të ndryshimit të destinacionit të përdorimit nga kontrata e shitjes dhe identifikimit të ndryshimit të destinacionit në tregtim, IQT aplikon masa penalizuese, sekuestron sasinë e importuar, dhe/ose i propozon Ministrit të Ekonomisë Tregtisë dhe Energjitikës heqjen e lejeve të tregtimit. </w:t>
      </w:r>
    </w:p>
    <w:p w:rsidR="00D133D7" w:rsidRDefault="00D133D7" w:rsidP="00D133D7">
      <w:pPr>
        <w:pStyle w:val="Paragrafi0"/>
        <w:rPr>
          <w:bCs/>
          <w:color w:val="FF0000"/>
          <w:lang w:val="nb-NO"/>
        </w:rPr>
      </w:pPr>
      <w:r>
        <w:rPr>
          <w:bCs/>
          <w:lang w:val="nb-NO"/>
        </w:rPr>
        <w:t>7. Sasitë e lëndës djegëse gazoil (diezel), që në nomeklaturën e mallrave përshkruhet në kodin 27101945 dhe që plotëson kërkesat e standardit SSH 31:1997, të cilat janë importuar para datës 1 janar 2009 dhe janë gjendje në magazinat doganore apo pikat e depozitimit dhe tregtimit, lejohen të tregtohen pa iu nënshtruar kushteve të pikës 1 të këtij udhëzimi, si dhe pa u ngjyrosur.</w:t>
      </w:r>
      <w:r>
        <w:rPr>
          <w:bCs/>
          <w:color w:val="FF0000"/>
          <w:lang w:val="nb-NO"/>
        </w:rPr>
        <w:t xml:space="preserve"> </w:t>
      </w:r>
    </w:p>
    <w:p w:rsidR="00D133D7" w:rsidRDefault="00D133D7" w:rsidP="00D133D7">
      <w:pPr>
        <w:pStyle w:val="Paragrafi0"/>
        <w:rPr>
          <w:bCs/>
          <w:lang w:val="it-IT"/>
        </w:rPr>
      </w:pPr>
      <w:r>
        <w:rPr>
          <w:bCs/>
          <w:color w:val="FF0000"/>
          <w:lang w:val="nb-NO"/>
        </w:rPr>
        <w:t xml:space="preserve">  </w:t>
      </w:r>
      <w:r>
        <w:rPr>
          <w:bCs/>
          <w:lang w:val="it-IT"/>
        </w:rPr>
        <w:t xml:space="preserve">8. Ky udhëzim hyn në fuqi menjëherë dhe botohet në Fletoren Zyrtare. </w:t>
      </w:r>
    </w:p>
    <w:p w:rsidR="00D133D7" w:rsidRPr="0081005D" w:rsidRDefault="00D133D7" w:rsidP="00D133D7">
      <w:pPr>
        <w:pStyle w:val="Paragrafi0"/>
        <w:rPr>
          <w:bCs/>
          <w:sz w:val="14"/>
          <w:lang w:val="it-I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049"/>
        <w:gridCol w:w="6238"/>
      </w:tblGrid>
      <w:tr w:rsidR="00D133D7">
        <w:tc>
          <w:tcPr>
            <w:tcW w:w="3049" w:type="dxa"/>
          </w:tcPr>
          <w:p w:rsidR="00D133D7" w:rsidRDefault="00D133D7" w:rsidP="00D133D7">
            <w:pPr>
              <w:pStyle w:val="Autoriteti"/>
              <w:jc w:val="center"/>
              <w:rPr>
                <w:lang w:val="it-IT"/>
              </w:rPr>
            </w:pPr>
          </w:p>
          <w:p w:rsidR="00D133D7" w:rsidRDefault="00D133D7" w:rsidP="00D133D7">
            <w:pPr>
              <w:pStyle w:val="Autoriteti"/>
              <w:jc w:val="center"/>
              <w:rPr>
                <w:lang w:val="it-IT"/>
              </w:rPr>
            </w:pPr>
            <w:r>
              <w:rPr>
                <w:lang w:val="it-IT"/>
              </w:rPr>
              <w:t>MINISTRI  I  FINANCAVE</w:t>
            </w:r>
          </w:p>
        </w:tc>
        <w:tc>
          <w:tcPr>
            <w:tcW w:w="6238" w:type="dxa"/>
          </w:tcPr>
          <w:p w:rsidR="00D133D7" w:rsidRPr="0081005D" w:rsidRDefault="00D133D7" w:rsidP="00D133D7">
            <w:pPr>
              <w:pStyle w:val="Autoriteti"/>
              <w:jc w:val="center"/>
              <w:rPr>
                <w:sz w:val="16"/>
                <w:lang w:val="it-IT"/>
              </w:rPr>
            </w:pPr>
          </w:p>
          <w:p w:rsidR="00D133D7" w:rsidRDefault="00D133D7" w:rsidP="00D133D7">
            <w:pPr>
              <w:pStyle w:val="Autoriteti"/>
              <w:jc w:val="center"/>
              <w:rPr>
                <w:lang w:val="nl-NL"/>
              </w:rPr>
            </w:pPr>
            <w:r>
              <w:rPr>
                <w:lang w:val="it-IT"/>
              </w:rPr>
              <w:t>MINISTRI  I EKONOMISë,</w:t>
            </w:r>
            <w:r>
              <w:rPr>
                <w:lang w:val="nl-NL"/>
              </w:rPr>
              <w:t xml:space="preserve"> </w:t>
            </w:r>
          </w:p>
          <w:p w:rsidR="00D133D7" w:rsidRDefault="00D133D7" w:rsidP="00D133D7">
            <w:pPr>
              <w:pStyle w:val="Autoriteti"/>
              <w:jc w:val="center"/>
              <w:rPr>
                <w:lang w:val="nl-NL"/>
              </w:rPr>
            </w:pPr>
            <w:r>
              <w:rPr>
                <w:lang w:val="nl-NL"/>
              </w:rPr>
              <w:t>TREGTISë DHE ENERGJITIKëS</w:t>
            </w:r>
          </w:p>
          <w:p w:rsidR="00D133D7" w:rsidRPr="0081005D" w:rsidRDefault="00D133D7" w:rsidP="00D133D7">
            <w:pPr>
              <w:pStyle w:val="Autoriteti"/>
              <w:jc w:val="center"/>
              <w:rPr>
                <w:sz w:val="16"/>
                <w:lang w:val="it-IT"/>
              </w:rPr>
            </w:pPr>
          </w:p>
        </w:tc>
      </w:tr>
      <w:tr w:rsidR="00D133D7">
        <w:tc>
          <w:tcPr>
            <w:tcW w:w="3049" w:type="dxa"/>
          </w:tcPr>
          <w:p w:rsidR="00D133D7" w:rsidRDefault="00D133D7" w:rsidP="00D133D7">
            <w:pPr>
              <w:pStyle w:val="AutoritetiEmer"/>
              <w:jc w:val="center"/>
              <w:rPr>
                <w:lang w:val="it-IT"/>
              </w:rPr>
            </w:pPr>
            <w:r>
              <w:rPr>
                <w:lang w:val="nl-NL"/>
              </w:rPr>
              <w:t>Ridvan Bode</w:t>
            </w:r>
          </w:p>
        </w:tc>
        <w:tc>
          <w:tcPr>
            <w:tcW w:w="6238" w:type="dxa"/>
          </w:tcPr>
          <w:p w:rsidR="00D133D7" w:rsidRPr="0017787C" w:rsidRDefault="00D133D7" w:rsidP="00D133D7">
            <w:pPr>
              <w:pStyle w:val="AutoritetiEmer"/>
              <w:jc w:val="center"/>
              <w:rPr>
                <w:lang w:val="nl-NL"/>
              </w:rPr>
            </w:pPr>
            <w:r>
              <w:rPr>
                <w:lang w:val="nl-NL"/>
              </w:rPr>
              <w:t>Genc Ruli</w:t>
            </w:r>
          </w:p>
        </w:tc>
      </w:tr>
    </w:tbl>
    <w:p w:rsidR="00D133D7" w:rsidRPr="00D133D7" w:rsidRDefault="00D133D7" w:rsidP="00D133D7">
      <w:pPr>
        <w:pStyle w:val="Paragrafi0"/>
      </w:pPr>
    </w:p>
    <w:sectPr w:rsidR="00D133D7" w:rsidRPr="00D133D7" w:rsidSect="00D133D7">
      <w:pgSz w:w="11907" w:h="16840" w:code="9"/>
      <w:pgMar w:top="1418" w:right="1418" w:bottom="1418" w:left="1418" w:header="1304" w:footer="1134" w:gutter="0"/>
      <w:pgNumType w:start="8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17843">
      <w:r>
        <w:separator/>
      </w:r>
    </w:p>
  </w:endnote>
  <w:endnote w:type="continuationSeparator" w:id="0">
    <w:p w:rsidR="00000000" w:rsidRDefault="00417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17843">
      <w:r>
        <w:separator/>
      </w:r>
    </w:p>
  </w:footnote>
  <w:footnote w:type="continuationSeparator" w:id="0">
    <w:p w:rsidR="00000000" w:rsidRDefault="004178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3D7"/>
    <w:rsid w:val="00016606"/>
    <w:rsid w:val="000239EC"/>
    <w:rsid w:val="00055B92"/>
    <w:rsid w:val="00066D6B"/>
    <w:rsid w:val="00071072"/>
    <w:rsid w:val="000813AD"/>
    <w:rsid w:val="000C750C"/>
    <w:rsid w:val="000D1F2B"/>
    <w:rsid w:val="000D65A1"/>
    <w:rsid w:val="00132DD0"/>
    <w:rsid w:val="00132FBB"/>
    <w:rsid w:val="0015202D"/>
    <w:rsid w:val="001763D1"/>
    <w:rsid w:val="001C1609"/>
    <w:rsid w:val="001E3756"/>
    <w:rsid w:val="00203073"/>
    <w:rsid w:val="002047F1"/>
    <w:rsid w:val="00206485"/>
    <w:rsid w:val="0022239B"/>
    <w:rsid w:val="002278F6"/>
    <w:rsid w:val="002612BA"/>
    <w:rsid w:val="0029358C"/>
    <w:rsid w:val="002B5C1F"/>
    <w:rsid w:val="002C663A"/>
    <w:rsid w:val="002E7680"/>
    <w:rsid w:val="003107C7"/>
    <w:rsid w:val="0031550B"/>
    <w:rsid w:val="00354C70"/>
    <w:rsid w:val="00357FBC"/>
    <w:rsid w:val="0037658A"/>
    <w:rsid w:val="003A59E8"/>
    <w:rsid w:val="003B370C"/>
    <w:rsid w:val="003C5597"/>
    <w:rsid w:val="003E5A3C"/>
    <w:rsid w:val="00402051"/>
    <w:rsid w:val="00412459"/>
    <w:rsid w:val="00417843"/>
    <w:rsid w:val="00453249"/>
    <w:rsid w:val="004676E2"/>
    <w:rsid w:val="00474045"/>
    <w:rsid w:val="004C798A"/>
    <w:rsid w:val="004F5C9A"/>
    <w:rsid w:val="005009A9"/>
    <w:rsid w:val="00502300"/>
    <w:rsid w:val="00572B76"/>
    <w:rsid w:val="005D3BF4"/>
    <w:rsid w:val="00616583"/>
    <w:rsid w:val="00682F33"/>
    <w:rsid w:val="00683536"/>
    <w:rsid w:val="006B2EF9"/>
    <w:rsid w:val="006C6CC1"/>
    <w:rsid w:val="006E0B99"/>
    <w:rsid w:val="006E3575"/>
    <w:rsid w:val="00761FEB"/>
    <w:rsid w:val="007708DE"/>
    <w:rsid w:val="00792743"/>
    <w:rsid w:val="0079382F"/>
    <w:rsid w:val="007C561F"/>
    <w:rsid w:val="007D12D3"/>
    <w:rsid w:val="007E4705"/>
    <w:rsid w:val="007F4A22"/>
    <w:rsid w:val="00844A57"/>
    <w:rsid w:val="008518B1"/>
    <w:rsid w:val="008533FC"/>
    <w:rsid w:val="008569AD"/>
    <w:rsid w:val="0088753F"/>
    <w:rsid w:val="009A7512"/>
    <w:rsid w:val="009C244E"/>
    <w:rsid w:val="009C698B"/>
    <w:rsid w:val="009E196D"/>
    <w:rsid w:val="00A51C90"/>
    <w:rsid w:val="00A55AFE"/>
    <w:rsid w:val="00A81297"/>
    <w:rsid w:val="00A93486"/>
    <w:rsid w:val="00A95AEE"/>
    <w:rsid w:val="00AB6ED0"/>
    <w:rsid w:val="00AE2C3A"/>
    <w:rsid w:val="00AF6FC9"/>
    <w:rsid w:val="00B231C6"/>
    <w:rsid w:val="00B304AB"/>
    <w:rsid w:val="00B30A87"/>
    <w:rsid w:val="00B31AA8"/>
    <w:rsid w:val="00B320FC"/>
    <w:rsid w:val="00B36C00"/>
    <w:rsid w:val="00B40E2A"/>
    <w:rsid w:val="00B8484C"/>
    <w:rsid w:val="00BE1622"/>
    <w:rsid w:val="00C15A00"/>
    <w:rsid w:val="00C5019E"/>
    <w:rsid w:val="00CA07EF"/>
    <w:rsid w:val="00CA4FE2"/>
    <w:rsid w:val="00CB1A2D"/>
    <w:rsid w:val="00CD3859"/>
    <w:rsid w:val="00CE179E"/>
    <w:rsid w:val="00CE6CC0"/>
    <w:rsid w:val="00D133D7"/>
    <w:rsid w:val="00D4083D"/>
    <w:rsid w:val="00D6683B"/>
    <w:rsid w:val="00D75EA0"/>
    <w:rsid w:val="00D91B15"/>
    <w:rsid w:val="00DA7194"/>
    <w:rsid w:val="00DC22F7"/>
    <w:rsid w:val="00E03C4C"/>
    <w:rsid w:val="00E834AF"/>
    <w:rsid w:val="00E96895"/>
    <w:rsid w:val="00EB1957"/>
    <w:rsid w:val="00EB24A9"/>
    <w:rsid w:val="00EC3315"/>
    <w:rsid w:val="00EF7E31"/>
    <w:rsid w:val="00F15C00"/>
    <w:rsid w:val="00F25E06"/>
    <w:rsid w:val="00F37A38"/>
    <w:rsid w:val="00F43E17"/>
    <w:rsid w:val="00F83DBC"/>
    <w:rsid w:val="00FA0E4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DCBBA50-3843-4C4E-96D7-0E14AF312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3D7"/>
    <w:rPr>
      <w:rFonts w:ascii="Arial" w:eastAsia="MS Mincho" w:hAnsi="Arial"/>
      <w:sz w:val="24"/>
      <w:lang w:val="en-GB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sz w:val="20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noProof/>
      <w:sz w:val="20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sz w:val="20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noProof/>
      <w:sz w:val="20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lang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sz w:val="20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sz w:val="20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133D7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D133D7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