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5F07" w:rsidRPr="00585A71" w:rsidRDefault="00205F07" w:rsidP="00205F07">
      <w:pPr>
        <w:pStyle w:val="Akti"/>
        <w:rPr>
          <w:sz w:val="21"/>
          <w:szCs w:val="21"/>
        </w:rPr>
      </w:pPr>
      <w:bookmarkStart w:id="0" w:name="_GoBack"/>
      <w:bookmarkEnd w:id="0"/>
      <w:r w:rsidRPr="00585A71">
        <w:rPr>
          <w:sz w:val="21"/>
          <w:szCs w:val="21"/>
        </w:rPr>
        <w:t>UDHËZIM</w:t>
      </w:r>
    </w:p>
    <w:p w:rsidR="00205F07" w:rsidRPr="00585A71" w:rsidRDefault="00205F07" w:rsidP="00205F07">
      <w:pPr>
        <w:pStyle w:val="NumriData"/>
        <w:rPr>
          <w:sz w:val="21"/>
          <w:szCs w:val="21"/>
        </w:rPr>
      </w:pPr>
      <w:r w:rsidRPr="00585A71">
        <w:rPr>
          <w:sz w:val="21"/>
          <w:szCs w:val="21"/>
        </w:rPr>
        <w:t>Nr.17, datë 19.2.2009</w:t>
      </w:r>
    </w:p>
    <w:p w:rsidR="00205F07" w:rsidRPr="00585A71" w:rsidRDefault="00205F07" w:rsidP="00205F07">
      <w:pPr>
        <w:pStyle w:val="NumriData"/>
        <w:rPr>
          <w:b w:val="0"/>
          <w:sz w:val="21"/>
          <w:szCs w:val="21"/>
        </w:rPr>
      </w:pPr>
    </w:p>
    <w:p w:rsidR="00205F07" w:rsidRPr="00585A71" w:rsidRDefault="00205F07" w:rsidP="00205F07">
      <w:pPr>
        <w:pStyle w:val="Titulli0"/>
        <w:rPr>
          <w:sz w:val="21"/>
          <w:szCs w:val="21"/>
        </w:rPr>
      </w:pPr>
      <w:r w:rsidRPr="00585A71">
        <w:rPr>
          <w:sz w:val="21"/>
          <w:szCs w:val="21"/>
        </w:rPr>
        <w:t>PËR FORMATIN E FORMULARIT DHE DEKLARIMIT TË PAGESËS SË TATIMIT MBI TË ARDHURAT PERSONALE TË BIZNESIT TË VOGËL</w:t>
      </w:r>
    </w:p>
    <w:p w:rsidR="00205F07" w:rsidRPr="00585A71" w:rsidRDefault="00205F07" w:rsidP="00205F07">
      <w:pPr>
        <w:pStyle w:val="Titulli0"/>
        <w:rPr>
          <w:b w:val="0"/>
          <w:sz w:val="21"/>
          <w:szCs w:val="21"/>
        </w:rPr>
      </w:pPr>
    </w:p>
    <w:p w:rsidR="00205F07" w:rsidRPr="00585A71" w:rsidRDefault="00205F07" w:rsidP="00205F07">
      <w:pPr>
        <w:pStyle w:val="Paragrafi0"/>
        <w:rPr>
          <w:sz w:val="21"/>
          <w:szCs w:val="21"/>
        </w:rPr>
      </w:pPr>
      <w:r w:rsidRPr="00585A71">
        <w:rPr>
          <w:sz w:val="21"/>
          <w:szCs w:val="21"/>
        </w:rPr>
        <w:t>Në mbështetje të pikës 4 të nenit 102 të Kushtetutës së Republikës së Shqipërisë, të nenit 64 pika 4 të ligjit nr.9920, datë 19.5.2008 “Për procedurat tatimore në Republikën e Shqipërisë”, si dhe të ligjit nr.8438, datë 28.12.1998 “Për tatimin mbi të ardhurat”, të ndryshuar”, Ministri i Financave</w:t>
      </w:r>
    </w:p>
    <w:p w:rsidR="00205F07" w:rsidRPr="00585A71" w:rsidRDefault="00205F07" w:rsidP="00205F07">
      <w:pPr>
        <w:pStyle w:val="Paragrafi0"/>
        <w:rPr>
          <w:sz w:val="21"/>
          <w:szCs w:val="21"/>
        </w:rPr>
      </w:pPr>
    </w:p>
    <w:p w:rsidR="00205F07" w:rsidRPr="00585A71" w:rsidRDefault="00205F07" w:rsidP="00205F07">
      <w:pPr>
        <w:pStyle w:val="VENDOSI0"/>
        <w:rPr>
          <w:sz w:val="21"/>
          <w:szCs w:val="21"/>
        </w:rPr>
      </w:pPr>
      <w:r w:rsidRPr="00585A71">
        <w:rPr>
          <w:sz w:val="21"/>
          <w:szCs w:val="21"/>
        </w:rPr>
        <w:t>UDHËZON:</w:t>
      </w:r>
    </w:p>
    <w:p w:rsidR="00205F07" w:rsidRPr="00585A71" w:rsidRDefault="00205F07" w:rsidP="00205F07">
      <w:pPr>
        <w:pStyle w:val="Paragrafi0"/>
        <w:rPr>
          <w:sz w:val="21"/>
          <w:szCs w:val="21"/>
        </w:rPr>
      </w:pPr>
    </w:p>
    <w:p w:rsidR="00205F07" w:rsidRPr="00585A71" w:rsidRDefault="00205F07" w:rsidP="00205F07">
      <w:pPr>
        <w:pStyle w:val="Paragrafi0"/>
        <w:rPr>
          <w:sz w:val="21"/>
          <w:szCs w:val="21"/>
        </w:rPr>
      </w:pPr>
      <w:r w:rsidRPr="00585A71">
        <w:rPr>
          <w:sz w:val="21"/>
          <w:szCs w:val="21"/>
        </w:rPr>
        <w:t>1. Miratimin e formularit të deklarimit dhe pagesës së tatimit mbi të ardhurat personale të biznesit të vogël sipas formatit bashkëlidhur këtij udhëzimi.</w:t>
      </w:r>
    </w:p>
    <w:p w:rsidR="00205F07" w:rsidRPr="00585A71" w:rsidRDefault="00205F07" w:rsidP="00205F07">
      <w:pPr>
        <w:pStyle w:val="Paragrafi0"/>
        <w:rPr>
          <w:sz w:val="21"/>
          <w:szCs w:val="21"/>
        </w:rPr>
      </w:pPr>
      <w:r w:rsidRPr="00585A71">
        <w:rPr>
          <w:sz w:val="21"/>
          <w:szCs w:val="21"/>
        </w:rPr>
        <w:t>2. Ky formular do të shtypet në dy (2) kopje, me letër vetëkopjuese. Dimensioni i formatit është A4. Formulari do të prodhohet në faqe të formatit “letër” si formularët e tjerë. Shënimet sqaruese për plotësimin e këtij formulari do të jenë vetëm në pjesën e prapme të kopjes së dytë.</w:t>
      </w:r>
    </w:p>
    <w:p w:rsidR="00205F07" w:rsidRPr="00585A71" w:rsidRDefault="00205F07" w:rsidP="00205F07">
      <w:pPr>
        <w:pStyle w:val="Paragrafi0"/>
        <w:rPr>
          <w:sz w:val="21"/>
          <w:szCs w:val="21"/>
        </w:rPr>
      </w:pPr>
      <w:r w:rsidRPr="00585A71">
        <w:rPr>
          <w:sz w:val="21"/>
          <w:szCs w:val="21"/>
        </w:rPr>
        <w:t>3. Ky udhëzim hyn në fuqi menjëherë dhe botohet në Fletoren Zyrtare</w:t>
      </w:r>
    </w:p>
    <w:p w:rsidR="00205F07" w:rsidRPr="00585A71" w:rsidRDefault="00205F07" w:rsidP="00205F07">
      <w:pPr>
        <w:pStyle w:val="Paragrafi0"/>
        <w:rPr>
          <w:sz w:val="21"/>
          <w:szCs w:val="21"/>
        </w:rPr>
      </w:pPr>
      <w:r w:rsidRPr="00585A71">
        <w:rPr>
          <w:sz w:val="21"/>
          <w:szCs w:val="21"/>
        </w:rPr>
        <w:t xml:space="preserve"> </w:t>
      </w:r>
    </w:p>
    <w:p w:rsidR="00205F07" w:rsidRPr="00585A71" w:rsidRDefault="00205F07" w:rsidP="00205F07">
      <w:pPr>
        <w:pStyle w:val="Autoriteti"/>
        <w:rPr>
          <w:sz w:val="21"/>
          <w:szCs w:val="21"/>
        </w:rPr>
      </w:pPr>
      <w:r w:rsidRPr="00585A71">
        <w:rPr>
          <w:sz w:val="21"/>
          <w:szCs w:val="21"/>
        </w:rPr>
        <w:t>MINISTRI I FINANCAVE</w:t>
      </w:r>
    </w:p>
    <w:p w:rsidR="00205F07" w:rsidRPr="00585A71" w:rsidRDefault="00205F07" w:rsidP="00205F07">
      <w:pPr>
        <w:pStyle w:val="AutoritetiEmer"/>
        <w:rPr>
          <w:sz w:val="21"/>
          <w:szCs w:val="21"/>
        </w:rPr>
      </w:pPr>
      <w:r w:rsidRPr="00585A71">
        <w:rPr>
          <w:sz w:val="21"/>
          <w:szCs w:val="21"/>
        </w:rPr>
        <w:t>Ridvan Bode</w:t>
      </w:r>
    </w:p>
    <w:p w:rsidR="00205F07" w:rsidRPr="00585A71" w:rsidRDefault="00205F07" w:rsidP="00205F07">
      <w:pPr>
        <w:pStyle w:val="Paragrafi0"/>
        <w:rPr>
          <w:sz w:val="21"/>
          <w:szCs w:val="21"/>
        </w:rPr>
      </w:pPr>
    </w:p>
    <w:p w:rsidR="00205F07" w:rsidRPr="00585A71" w:rsidRDefault="00205F07" w:rsidP="00205F07">
      <w:pPr>
        <w:pStyle w:val="Paragrafi0"/>
        <w:rPr>
          <w:sz w:val="21"/>
          <w:szCs w:val="21"/>
        </w:rPr>
      </w:pPr>
    </w:p>
    <w:p w:rsidR="00205F07" w:rsidRPr="00585A71" w:rsidRDefault="00205F07" w:rsidP="00205F07">
      <w:pPr>
        <w:pStyle w:val="Paragrafi0"/>
        <w:jc w:val="center"/>
        <w:rPr>
          <w:sz w:val="21"/>
          <w:szCs w:val="21"/>
        </w:rPr>
      </w:pPr>
    </w:p>
    <w:p w:rsidR="00205F07" w:rsidRPr="00585A71" w:rsidRDefault="00205F07" w:rsidP="00205F07">
      <w:pPr>
        <w:pStyle w:val="Paragrafi0"/>
        <w:jc w:val="center"/>
        <w:rPr>
          <w:sz w:val="21"/>
          <w:szCs w:val="21"/>
        </w:rPr>
      </w:pPr>
    </w:p>
    <w:p w:rsidR="00205F07" w:rsidRPr="00585A71" w:rsidRDefault="00205F07" w:rsidP="00205F07">
      <w:pPr>
        <w:pStyle w:val="Paragrafi0"/>
        <w:jc w:val="center"/>
        <w:rPr>
          <w:sz w:val="21"/>
          <w:szCs w:val="21"/>
        </w:rPr>
      </w:pPr>
    </w:p>
    <w:p w:rsidR="00205F07" w:rsidRPr="00585A71" w:rsidRDefault="00205F07" w:rsidP="00205F07">
      <w:pPr>
        <w:pStyle w:val="Paragrafi0"/>
        <w:jc w:val="center"/>
        <w:rPr>
          <w:sz w:val="21"/>
          <w:szCs w:val="21"/>
        </w:rPr>
      </w:pPr>
    </w:p>
    <w:p w:rsidR="00205F07" w:rsidRPr="00585A71" w:rsidRDefault="00205F07" w:rsidP="00205F07">
      <w:pPr>
        <w:pStyle w:val="Paragrafi0"/>
        <w:jc w:val="center"/>
        <w:rPr>
          <w:sz w:val="21"/>
          <w:szCs w:val="21"/>
        </w:rPr>
      </w:pPr>
    </w:p>
    <w:p w:rsidR="00205F07" w:rsidRPr="00585A71" w:rsidRDefault="00205F07" w:rsidP="00205F07">
      <w:pPr>
        <w:pStyle w:val="Paragrafi0"/>
        <w:jc w:val="center"/>
        <w:rPr>
          <w:sz w:val="21"/>
          <w:szCs w:val="21"/>
        </w:rPr>
      </w:pPr>
    </w:p>
    <w:p w:rsidR="00205F07" w:rsidRPr="00585A71" w:rsidRDefault="00205F07" w:rsidP="00205F07">
      <w:pPr>
        <w:pStyle w:val="Paragrafi0"/>
        <w:jc w:val="center"/>
        <w:rPr>
          <w:sz w:val="21"/>
          <w:szCs w:val="21"/>
        </w:rPr>
      </w:pPr>
    </w:p>
    <w:p w:rsidR="00205F07" w:rsidRPr="00585A71" w:rsidRDefault="00205F07" w:rsidP="00205F07">
      <w:pPr>
        <w:pStyle w:val="Paragrafi0"/>
        <w:jc w:val="center"/>
        <w:rPr>
          <w:sz w:val="21"/>
          <w:szCs w:val="21"/>
        </w:rPr>
      </w:pPr>
    </w:p>
    <w:p w:rsidR="00205F07" w:rsidRPr="00585A71" w:rsidRDefault="00205F07" w:rsidP="00205F07">
      <w:pPr>
        <w:pStyle w:val="Paragrafi0"/>
        <w:jc w:val="center"/>
        <w:rPr>
          <w:sz w:val="21"/>
          <w:szCs w:val="21"/>
        </w:rPr>
      </w:pPr>
    </w:p>
    <w:p w:rsidR="00205F07" w:rsidRPr="00585A71" w:rsidRDefault="00205F07" w:rsidP="00205F07">
      <w:pPr>
        <w:pStyle w:val="Paragrafi0"/>
        <w:jc w:val="center"/>
        <w:rPr>
          <w:sz w:val="21"/>
          <w:szCs w:val="21"/>
        </w:rPr>
      </w:pPr>
    </w:p>
    <w:p w:rsidR="00205F07" w:rsidRPr="00585A71" w:rsidRDefault="00205F07" w:rsidP="00205F07">
      <w:pPr>
        <w:pStyle w:val="Paragrafi0"/>
        <w:jc w:val="center"/>
        <w:rPr>
          <w:sz w:val="21"/>
          <w:szCs w:val="21"/>
        </w:rPr>
      </w:pPr>
    </w:p>
    <w:p w:rsidR="00205F07" w:rsidRPr="00585A71" w:rsidRDefault="00205F07" w:rsidP="00205F07">
      <w:pPr>
        <w:pStyle w:val="Paragrafi0"/>
        <w:jc w:val="center"/>
        <w:rPr>
          <w:sz w:val="21"/>
          <w:szCs w:val="21"/>
        </w:rPr>
      </w:pPr>
    </w:p>
    <w:p w:rsidR="00205F07" w:rsidRPr="00585A71" w:rsidRDefault="00205F07" w:rsidP="00205F07">
      <w:pPr>
        <w:pStyle w:val="Paragrafi0"/>
        <w:jc w:val="center"/>
        <w:rPr>
          <w:sz w:val="21"/>
          <w:szCs w:val="21"/>
        </w:rPr>
      </w:pPr>
    </w:p>
    <w:p w:rsidR="00205F07" w:rsidRPr="00585A71" w:rsidRDefault="00205F07" w:rsidP="00205F07">
      <w:pPr>
        <w:pStyle w:val="Paragrafi0"/>
        <w:jc w:val="center"/>
        <w:rPr>
          <w:sz w:val="21"/>
          <w:szCs w:val="21"/>
        </w:rPr>
      </w:pPr>
    </w:p>
    <w:p w:rsidR="00205F07" w:rsidRPr="00585A71" w:rsidRDefault="00205F07" w:rsidP="00205F07">
      <w:pPr>
        <w:pStyle w:val="Paragrafi0"/>
        <w:jc w:val="center"/>
        <w:rPr>
          <w:sz w:val="21"/>
          <w:szCs w:val="21"/>
        </w:rPr>
      </w:pPr>
    </w:p>
    <w:p w:rsidR="00205F07" w:rsidRPr="00585A71" w:rsidRDefault="00205F07" w:rsidP="00205F07">
      <w:pPr>
        <w:pStyle w:val="Paragrafi0"/>
        <w:jc w:val="center"/>
        <w:rPr>
          <w:sz w:val="21"/>
          <w:szCs w:val="21"/>
        </w:rPr>
      </w:pPr>
    </w:p>
    <w:p w:rsidR="00205F07" w:rsidRPr="00585A71" w:rsidRDefault="00205F07" w:rsidP="00205F07">
      <w:pPr>
        <w:pStyle w:val="Paragrafi0"/>
        <w:jc w:val="center"/>
        <w:rPr>
          <w:sz w:val="21"/>
          <w:szCs w:val="21"/>
        </w:rPr>
      </w:pPr>
    </w:p>
    <w:p w:rsidR="00205F07" w:rsidRPr="00585A71" w:rsidRDefault="00205F07" w:rsidP="00205F07">
      <w:pPr>
        <w:pStyle w:val="Paragrafi0"/>
        <w:jc w:val="center"/>
        <w:rPr>
          <w:sz w:val="21"/>
          <w:szCs w:val="21"/>
        </w:rPr>
      </w:pPr>
    </w:p>
    <w:p w:rsidR="00205F07" w:rsidRPr="00585A71" w:rsidRDefault="00205F07" w:rsidP="00205F07">
      <w:pPr>
        <w:pStyle w:val="Paragrafi0"/>
        <w:jc w:val="center"/>
        <w:rPr>
          <w:sz w:val="21"/>
          <w:szCs w:val="21"/>
        </w:rPr>
      </w:pPr>
    </w:p>
    <w:p w:rsidR="00205F07" w:rsidRPr="00585A71" w:rsidRDefault="00205F07" w:rsidP="00205F07">
      <w:pPr>
        <w:pStyle w:val="Paragrafi0"/>
        <w:jc w:val="center"/>
        <w:rPr>
          <w:sz w:val="21"/>
          <w:szCs w:val="21"/>
        </w:rPr>
      </w:pPr>
    </w:p>
    <w:p w:rsidR="00205F07" w:rsidRPr="00585A71" w:rsidRDefault="00205F07" w:rsidP="00205F07">
      <w:pPr>
        <w:pStyle w:val="Paragrafi0"/>
        <w:jc w:val="center"/>
        <w:rPr>
          <w:sz w:val="21"/>
          <w:szCs w:val="21"/>
        </w:rPr>
      </w:pPr>
    </w:p>
    <w:p w:rsidR="00205F07" w:rsidRPr="00585A71" w:rsidRDefault="00205F07" w:rsidP="00205F07">
      <w:pPr>
        <w:pStyle w:val="Paragrafi0"/>
        <w:jc w:val="center"/>
        <w:rPr>
          <w:sz w:val="21"/>
          <w:szCs w:val="21"/>
        </w:rPr>
      </w:pPr>
    </w:p>
    <w:p w:rsidR="00205F07" w:rsidRPr="00585A71" w:rsidRDefault="00205F07" w:rsidP="00205F07">
      <w:pPr>
        <w:pStyle w:val="Paragrafi0"/>
        <w:jc w:val="center"/>
        <w:rPr>
          <w:sz w:val="21"/>
          <w:szCs w:val="21"/>
        </w:rPr>
      </w:pPr>
    </w:p>
    <w:p w:rsidR="00205F07" w:rsidRPr="00585A71" w:rsidRDefault="00205F07" w:rsidP="00205F07">
      <w:pPr>
        <w:pStyle w:val="Paragrafi0"/>
        <w:jc w:val="center"/>
        <w:rPr>
          <w:sz w:val="21"/>
          <w:szCs w:val="21"/>
        </w:rPr>
      </w:pPr>
    </w:p>
    <w:p w:rsidR="00205F07" w:rsidRPr="00585A71" w:rsidRDefault="00205F07" w:rsidP="00205F07">
      <w:pPr>
        <w:pStyle w:val="Paragrafi0"/>
        <w:jc w:val="center"/>
        <w:rPr>
          <w:sz w:val="21"/>
          <w:szCs w:val="21"/>
        </w:rPr>
      </w:pPr>
    </w:p>
    <w:p w:rsidR="00205F07" w:rsidRPr="00585A71" w:rsidRDefault="00205F07" w:rsidP="00205F07">
      <w:pPr>
        <w:pStyle w:val="Paragrafi0"/>
        <w:jc w:val="center"/>
        <w:rPr>
          <w:sz w:val="21"/>
          <w:szCs w:val="21"/>
        </w:rPr>
      </w:pPr>
    </w:p>
    <w:p w:rsidR="00205F07" w:rsidRPr="00585A71" w:rsidRDefault="00205F07" w:rsidP="00205F07">
      <w:pPr>
        <w:pStyle w:val="Paragrafi0"/>
        <w:jc w:val="center"/>
        <w:rPr>
          <w:sz w:val="21"/>
          <w:szCs w:val="21"/>
        </w:rPr>
      </w:pPr>
    </w:p>
    <w:p w:rsidR="00205F07" w:rsidRPr="00585A71" w:rsidRDefault="00205F07" w:rsidP="00205F07">
      <w:pPr>
        <w:pStyle w:val="Paragrafi0"/>
        <w:jc w:val="center"/>
        <w:rPr>
          <w:sz w:val="21"/>
          <w:szCs w:val="21"/>
        </w:rPr>
      </w:pPr>
    </w:p>
    <w:p w:rsidR="00205F07" w:rsidRPr="00585A71" w:rsidRDefault="00393115" w:rsidP="00205F07">
      <w:pPr>
        <w:pStyle w:val="Figure"/>
      </w:pPr>
      <w:r w:rsidRPr="00585A71">
        <w:rPr>
          <w:noProof/>
        </w:rPr>
        <w:drawing>
          <wp:inline distT="0" distB="0" distL="0" distR="0">
            <wp:extent cx="5791200" cy="82200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5F07" w:rsidRPr="00585A71" w:rsidRDefault="00205F07" w:rsidP="00205F07">
      <w:pPr>
        <w:pStyle w:val="Paragrafi0"/>
        <w:ind w:firstLine="0"/>
        <w:rPr>
          <w:sz w:val="21"/>
          <w:szCs w:val="21"/>
        </w:rPr>
      </w:pPr>
    </w:p>
    <w:p w:rsidR="00205F07" w:rsidRPr="00585A71" w:rsidRDefault="00205F07" w:rsidP="00205F07">
      <w:pPr>
        <w:pStyle w:val="Paragrafi0"/>
        <w:jc w:val="center"/>
        <w:rPr>
          <w:sz w:val="21"/>
          <w:szCs w:val="21"/>
        </w:rPr>
      </w:pPr>
    </w:p>
    <w:p w:rsidR="00205F07" w:rsidRPr="00585A71" w:rsidRDefault="00205F07" w:rsidP="00205F07">
      <w:pPr>
        <w:pStyle w:val="Paragrafi0"/>
        <w:jc w:val="center"/>
        <w:rPr>
          <w:sz w:val="21"/>
          <w:szCs w:val="21"/>
        </w:rPr>
      </w:pPr>
    </w:p>
    <w:p w:rsidR="00205F07" w:rsidRPr="00585A71" w:rsidRDefault="00205F07" w:rsidP="00205F07">
      <w:pPr>
        <w:pStyle w:val="Paragrafi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21"/>
          <w:szCs w:val="21"/>
        </w:rPr>
      </w:pPr>
      <w:r w:rsidRPr="00585A71">
        <w:rPr>
          <w:sz w:val="21"/>
          <w:szCs w:val="21"/>
        </w:rPr>
        <w:t>Udhëzues për mënyrën e plotësimit të formularit</w:t>
      </w:r>
    </w:p>
    <w:p w:rsidR="00205F07" w:rsidRPr="00585A71" w:rsidRDefault="00205F07" w:rsidP="00205F07">
      <w:pPr>
        <w:pStyle w:val="Paragrafi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1"/>
          <w:szCs w:val="21"/>
        </w:rPr>
      </w:pPr>
    </w:p>
    <w:p w:rsidR="00205F07" w:rsidRPr="00585A71" w:rsidRDefault="00205F07" w:rsidP="00205F07">
      <w:pPr>
        <w:pStyle w:val="Paragrafi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1"/>
          <w:szCs w:val="21"/>
        </w:rPr>
      </w:pPr>
      <w:r w:rsidRPr="00585A71">
        <w:rPr>
          <w:sz w:val="21"/>
          <w:szCs w:val="21"/>
        </w:rPr>
        <w:t>1. Numri serial gjenerohet nga dega e tatimeve dhe shërben për të azhurnuar regjistrimet kur paraqitet deklarata.</w:t>
      </w:r>
    </w:p>
    <w:p w:rsidR="00205F07" w:rsidRPr="00585A71" w:rsidRDefault="00205F07" w:rsidP="00205F07">
      <w:pPr>
        <w:pStyle w:val="Paragrafi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1"/>
          <w:szCs w:val="21"/>
        </w:rPr>
      </w:pPr>
      <w:r w:rsidRPr="00585A71">
        <w:rPr>
          <w:sz w:val="21"/>
          <w:szCs w:val="21"/>
        </w:rPr>
        <w:t>2. Periudha tatimore është vjetore.</w:t>
      </w:r>
    </w:p>
    <w:p w:rsidR="00205F07" w:rsidRPr="00585A71" w:rsidRDefault="00205F07" w:rsidP="00205F07">
      <w:pPr>
        <w:pStyle w:val="Paragrafi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1"/>
          <w:szCs w:val="21"/>
        </w:rPr>
      </w:pPr>
      <w:r w:rsidRPr="00585A71">
        <w:rPr>
          <w:sz w:val="21"/>
          <w:szCs w:val="21"/>
        </w:rPr>
        <w:t>3. Numri i identifikimit të personit të tatueshëm (NIPT) është numri i dhënë nga dega e tatimeve, dhe QKR-ja, që identifikon personin e tatueshëm në të gjitha marrëdhëniet me drejtorinë rajonale tatimore.</w:t>
      </w:r>
    </w:p>
    <w:p w:rsidR="00205F07" w:rsidRPr="00585A71" w:rsidRDefault="00205F07" w:rsidP="00205F07">
      <w:pPr>
        <w:pStyle w:val="Paragrafi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1"/>
          <w:szCs w:val="21"/>
        </w:rPr>
      </w:pPr>
      <w:r w:rsidRPr="00585A71">
        <w:rPr>
          <w:sz w:val="21"/>
          <w:szCs w:val="21"/>
        </w:rPr>
        <w:t>4. Emri tregtar i personit të tatueshëm është emri me të cilin paraqitet veprimtaria dhe që shënohet në certifikatën e NIPT-it.</w:t>
      </w:r>
    </w:p>
    <w:p w:rsidR="00205F07" w:rsidRPr="00585A71" w:rsidRDefault="00205F07" w:rsidP="00205F07">
      <w:pPr>
        <w:pStyle w:val="Paragrafi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1"/>
          <w:szCs w:val="21"/>
        </w:rPr>
      </w:pPr>
      <w:r w:rsidRPr="00585A71">
        <w:rPr>
          <w:sz w:val="21"/>
          <w:szCs w:val="21"/>
        </w:rPr>
        <w:t>5. Emri, mbiemri i personit fizik vendoset kur veprimtaria ekonomike kryhet nga një person fizik dhe nuk ka emër tregtar.</w:t>
      </w:r>
    </w:p>
    <w:p w:rsidR="00205F07" w:rsidRPr="00585A71" w:rsidRDefault="00205F07" w:rsidP="00205F07">
      <w:pPr>
        <w:pStyle w:val="Paragrafi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1"/>
          <w:szCs w:val="21"/>
        </w:rPr>
      </w:pPr>
      <w:r w:rsidRPr="00585A71">
        <w:rPr>
          <w:sz w:val="21"/>
          <w:szCs w:val="21"/>
        </w:rPr>
        <w:t>6. Adresa tregohet për vendin kryesor të ushtrimit të veprimtarisë. Kjo adresë është treguar edhe në certifikatën e NIPT-it.</w:t>
      </w:r>
    </w:p>
    <w:p w:rsidR="00205F07" w:rsidRPr="00585A71" w:rsidRDefault="00205F07" w:rsidP="00205F07">
      <w:pPr>
        <w:pStyle w:val="Paragrafi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1"/>
          <w:szCs w:val="21"/>
        </w:rPr>
      </w:pPr>
      <w:r w:rsidRPr="00585A71">
        <w:rPr>
          <w:sz w:val="21"/>
          <w:szCs w:val="21"/>
        </w:rPr>
        <w:t>7. Numri i telefonit (në qoftë se ka) tregon numrin e telefonit në vendin kryesor të ushtrimit të veprimtarisë ekonomike.</w:t>
      </w:r>
    </w:p>
    <w:p w:rsidR="00205F07" w:rsidRPr="00585A71" w:rsidRDefault="00205F07" w:rsidP="00205F07">
      <w:pPr>
        <w:pStyle w:val="Paragrafi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1"/>
          <w:szCs w:val="21"/>
        </w:rPr>
      </w:pPr>
      <w:r w:rsidRPr="00585A71">
        <w:rPr>
          <w:sz w:val="21"/>
          <w:szCs w:val="21"/>
        </w:rPr>
        <w:t>8. Të ardhurat e ushtrimit janë të ardhurat totale të periudhës ushtrimore.</w:t>
      </w:r>
    </w:p>
    <w:p w:rsidR="00205F07" w:rsidRPr="00585A71" w:rsidRDefault="00205F07" w:rsidP="00205F07">
      <w:pPr>
        <w:pStyle w:val="Paragrafi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1"/>
          <w:szCs w:val="21"/>
        </w:rPr>
      </w:pPr>
      <w:r w:rsidRPr="00585A71">
        <w:rPr>
          <w:sz w:val="21"/>
          <w:szCs w:val="21"/>
        </w:rPr>
        <w:t>9. Të ardhurat tatimore janë të ardhurat që i përkasin aktivitetit të tatueshëm.</w:t>
      </w:r>
    </w:p>
    <w:p w:rsidR="00205F07" w:rsidRPr="00585A71" w:rsidRDefault="00205F07" w:rsidP="00205F07">
      <w:pPr>
        <w:pStyle w:val="Paragrafi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1"/>
          <w:szCs w:val="21"/>
        </w:rPr>
      </w:pPr>
      <w:r w:rsidRPr="00585A71">
        <w:rPr>
          <w:sz w:val="21"/>
          <w:szCs w:val="21"/>
        </w:rPr>
        <w:t>10. Shpenzimet e ushtrimit janë shpenzimet totale të periudhës ushtrimore.</w:t>
      </w:r>
    </w:p>
    <w:p w:rsidR="00205F07" w:rsidRPr="00585A71" w:rsidRDefault="00205F07" w:rsidP="00205F07">
      <w:pPr>
        <w:pStyle w:val="Paragrafi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1"/>
          <w:szCs w:val="21"/>
        </w:rPr>
      </w:pPr>
      <w:r w:rsidRPr="00585A71">
        <w:rPr>
          <w:sz w:val="21"/>
          <w:szCs w:val="21"/>
        </w:rPr>
        <w:t>11. Shpenzimet tatimore janë shpenzimet që i përkasin aktivitetit të tatueshëm.</w:t>
      </w:r>
    </w:p>
    <w:p w:rsidR="00205F07" w:rsidRPr="00585A71" w:rsidRDefault="00205F07" w:rsidP="00205F07">
      <w:pPr>
        <w:pStyle w:val="Paragrafi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1"/>
          <w:szCs w:val="21"/>
        </w:rPr>
      </w:pPr>
      <w:r w:rsidRPr="00585A71">
        <w:rPr>
          <w:sz w:val="21"/>
          <w:szCs w:val="21"/>
        </w:rPr>
        <w:t>12. Shpenzimet e pazbritshme janë shpenzimet që i përkasin aktivitetit të tatueshëm dhe që nuk njihen si të zbritshme për efekt të llogaritjes së fitimit të tatueshëm.</w:t>
      </w:r>
    </w:p>
    <w:p w:rsidR="00205F07" w:rsidRPr="00585A71" w:rsidRDefault="00205F07" w:rsidP="00205F07">
      <w:pPr>
        <w:pStyle w:val="Paragrafi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1"/>
          <w:szCs w:val="21"/>
        </w:rPr>
      </w:pPr>
      <w:r w:rsidRPr="00585A71">
        <w:rPr>
          <w:sz w:val="21"/>
          <w:szCs w:val="21"/>
        </w:rPr>
        <w:t>13. Humbja e ushtrimit është diferenca e shpenzimeve të ushtrimit (kutia 10) me të ardhurat e ushtrimit (kutia 8) në rast se shpenzimet e ushtrimit janë më të mëdha se të ardhurat e ushtrimit.</w:t>
      </w:r>
    </w:p>
    <w:p w:rsidR="00205F07" w:rsidRPr="00585A71" w:rsidRDefault="00205F07" w:rsidP="00205F07">
      <w:pPr>
        <w:pStyle w:val="Paragrafi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1"/>
          <w:szCs w:val="21"/>
        </w:rPr>
      </w:pPr>
      <w:r w:rsidRPr="00585A71">
        <w:rPr>
          <w:sz w:val="21"/>
          <w:szCs w:val="21"/>
        </w:rPr>
        <w:t>14. Humbja tatimore është diferenca e shpenzimeve tatimore (kutia 11) pasi të zbriten shpenzimet e pazbritshme (kutia 12), me të ardhurat tatimore (kutia 9) në rast se shpenzimet tatimore pa shpenzimet e pazbritshme janë më të mëdha se të ardhurat tatimore.</w:t>
      </w:r>
    </w:p>
    <w:p w:rsidR="00205F07" w:rsidRPr="00585A71" w:rsidRDefault="00205F07" w:rsidP="00205F07">
      <w:pPr>
        <w:pStyle w:val="Paragrafi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1"/>
          <w:szCs w:val="21"/>
        </w:rPr>
      </w:pPr>
      <w:r w:rsidRPr="00585A71">
        <w:rPr>
          <w:sz w:val="21"/>
          <w:szCs w:val="21"/>
        </w:rPr>
        <w:t>15. Fitimi i ushtrimit është diferenca e të ardhurave të ushtrimit (kutia 8) me shpenzimet e ushtrimit (kutia 10) në rast se të ardhurat e ushtrimit janë më të mëdha se shpenzimet e ushtrimit.</w:t>
      </w:r>
    </w:p>
    <w:p w:rsidR="00205F07" w:rsidRPr="00585A71" w:rsidRDefault="00205F07" w:rsidP="00205F07">
      <w:pPr>
        <w:pStyle w:val="Paragrafi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1"/>
          <w:szCs w:val="21"/>
        </w:rPr>
      </w:pPr>
      <w:r w:rsidRPr="00585A71">
        <w:rPr>
          <w:sz w:val="21"/>
          <w:szCs w:val="21"/>
        </w:rPr>
        <w:t>16. Fitimi tatimor është diferenca e të ardhurave tatimore (kutia 9), me shpenzimet tatimore (kutia 11) pasi janë zbritur nga këto të fundit shpenzimet e pazbritshme në rast se të ardhurat tatimore janë më të mëdha se shpenzimet tatimore pa shpenzimet e pazbritshme.</w:t>
      </w:r>
    </w:p>
    <w:p w:rsidR="00205F07" w:rsidRPr="00585A71" w:rsidRDefault="00205F07" w:rsidP="00205F07">
      <w:pPr>
        <w:pStyle w:val="Paragrafi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1"/>
          <w:szCs w:val="21"/>
        </w:rPr>
      </w:pPr>
      <w:r w:rsidRPr="00585A71">
        <w:rPr>
          <w:sz w:val="21"/>
          <w:szCs w:val="21"/>
        </w:rPr>
        <w:t>17. Humbje e mbartur është humbja e mbartur nga periudhat paraardhëse dhe që njihet për efekte tatimore për t’u mbuluar nga fitimet e periudhës që deklarohet.</w:t>
      </w:r>
    </w:p>
    <w:p w:rsidR="00205F07" w:rsidRPr="00585A71" w:rsidRDefault="00205F07" w:rsidP="00205F07">
      <w:pPr>
        <w:pStyle w:val="Paragrafi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1"/>
          <w:szCs w:val="21"/>
        </w:rPr>
      </w:pPr>
      <w:r w:rsidRPr="00585A71">
        <w:rPr>
          <w:sz w:val="21"/>
          <w:szCs w:val="21"/>
        </w:rPr>
        <w:t>18. Fitimi i tatueshëm (të ardhurat e tatueshme të biznesit të vogël) është fitimi që mbetet nga fitimi tatimor (kutia 16) pasi zbritet humbja e mbartur (kutia 17).</w:t>
      </w:r>
    </w:p>
    <w:p w:rsidR="00205F07" w:rsidRPr="00585A71" w:rsidRDefault="00205F07" w:rsidP="00205F07">
      <w:pPr>
        <w:pStyle w:val="Paragrafi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1"/>
          <w:szCs w:val="21"/>
        </w:rPr>
      </w:pPr>
      <w:r w:rsidRPr="00585A71">
        <w:rPr>
          <w:sz w:val="21"/>
          <w:szCs w:val="21"/>
        </w:rPr>
        <w:t>19. Tatim mbi të ardhurat personale të biznesit të vogël është shuma e tatimit të llogaritur mbi të ardhurat e tatueshme të biznesit të vogël (kutia 18) me shkallën tatimore standarde.</w:t>
      </w:r>
    </w:p>
    <w:p w:rsidR="00205F07" w:rsidRPr="00585A71" w:rsidRDefault="00205F07" w:rsidP="00205F07">
      <w:pPr>
        <w:pStyle w:val="Paragrafi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1"/>
          <w:szCs w:val="21"/>
        </w:rPr>
      </w:pPr>
      <w:r w:rsidRPr="00585A71">
        <w:rPr>
          <w:sz w:val="21"/>
          <w:szCs w:val="21"/>
        </w:rPr>
        <w:t>20. Parapagime është shuma e kësteve të paguara të taksës vendore mbi biznesin e vogël, gjatë periudhës tatimore.</w:t>
      </w:r>
    </w:p>
    <w:p w:rsidR="00205F07" w:rsidRPr="00585A71" w:rsidRDefault="00205F07" w:rsidP="00205F07">
      <w:pPr>
        <w:pStyle w:val="Paragrafi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1"/>
          <w:szCs w:val="21"/>
        </w:rPr>
      </w:pPr>
      <w:r w:rsidRPr="00585A71">
        <w:rPr>
          <w:sz w:val="21"/>
          <w:szCs w:val="21"/>
        </w:rPr>
        <w:t>21. Tatim i mbipaguar është diferenca e parapagimeve (kutia 20) me tatimin (kutia 19), kur parapagimet janë më të mëdha se tatim fitimi (kutia 19).</w:t>
      </w:r>
    </w:p>
    <w:p w:rsidR="00205F07" w:rsidRPr="00585A71" w:rsidRDefault="00205F07" w:rsidP="00205F07">
      <w:pPr>
        <w:pStyle w:val="Paragrafi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1"/>
          <w:szCs w:val="21"/>
        </w:rPr>
      </w:pPr>
      <w:r w:rsidRPr="00585A71">
        <w:rPr>
          <w:sz w:val="21"/>
          <w:szCs w:val="21"/>
        </w:rPr>
        <w:t>22. Tatim i detyrueshëm për t’u paguar është diferenca e tatimit (kutia 19) pasi të jetë zbritur parapagimet (kutia 20).</w:t>
      </w:r>
    </w:p>
    <w:p w:rsidR="00205F07" w:rsidRPr="00585A71" w:rsidRDefault="00205F07" w:rsidP="00205F07">
      <w:pPr>
        <w:pStyle w:val="Paragrafi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1"/>
          <w:szCs w:val="21"/>
        </w:rPr>
      </w:pPr>
      <w:r w:rsidRPr="00585A71">
        <w:rPr>
          <w:sz w:val="21"/>
          <w:szCs w:val="21"/>
        </w:rPr>
        <w:t>23. Dënime/interesa për vonesa janë dënimet dhe interesat për vonesat në deklarim ose pagesë që mund të llogariten paraprakisht dhe që mund të paguhen me deklaratën.</w:t>
      </w:r>
    </w:p>
    <w:p w:rsidR="00205F07" w:rsidRPr="00585A71" w:rsidRDefault="00205F07" w:rsidP="00205F07">
      <w:pPr>
        <w:pStyle w:val="Paragrafi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1"/>
          <w:szCs w:val="21"/>
        </w:rPr>
      </w:pPr>
      <w:r w:rsidRPr="00585A71">
        <w:rPr>
          <w:sz w:val="21"/>
          <w:szCs w:val="21"/>
        </w:rPr>
        <w:t>24. Totali për t’u paguar është shuma e tatimit të detyrueshëm për t’u paguar (kutia 22) me dënimet dhe interesat e llogaritura me deklaratën (kutia 23).</w:t>
      </w:r>
    </w:p>
    <w:sectPr w:rsidR="00205F07" w:rsidRPr="00585A71" w:rsidSect="00205F07">
      <w:footerReference w:type="even" r:id="rId7"/>
      <w:footerReference w:type="default" r:id="rId8"/>
      <w:pgSz w:w="11907" w:h="16839" w:code="9"/>
      <w:pgMar w:top="1418" w:right="1418" w:bottom="1418" w:left="1418" w:header="1304" w:footer="1134" w:gutter="0"/>
      <w:pgNumType w:start="1004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393115">
      <w:r>
        <w:separator/>
      </w:r>
    </w:p>
  </w:endnote>
  <w:endnote w:type="continuationSeparator" w:id="0">
    <w:p w:rsidR="00000000" w:rsidRDefault="003931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5F07" w:rsidRDefault="00205F07" w:rsidP="00205F07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05F07" w:rsidRDefault="00205F07" w:rsidP="00205F07">
    <w:pPr>
      <w:pStyle w:val="Footer"/>
      <w:ind w:right="360" w:firstLine="360"/>
      <w:rPr>
        <w:rStyle w:val="PageNumber"/>
      </w:rPr>
    </w:pPr>
  </w:p>
  <w:p w:rsidR="00205F07" w:rsidRDefault="00205F07" w:rsidP="00205F0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5F07" w:rsidRPr="00F93613" w:rsidRDefault="00205F07" w:rsidP="00205F07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F93613">
      <w:rPr>
        <w:rStyle w:val="PageNumber"/>
        <w:rFonts w:ascii="CG Times" w:hAnsi="CG Times"/>
        <w:sz w:val="22"/>
        <w:szCs w:val="22"/>
      </w:rPr>
      <w:fldChar w:fldCharType="begin"/>
    </w:r>
    <w:r w:rsidRPr="00F93613">
      <w:rPr>
        <w:rStyle w:val="PageNumber"/>
        <w:rFonts w:ascii="CG Times" w:hAnsi="CG Times"/>
        <w:sz w:val="22"/>
        <w:szCs w:val="22"/>
      </w:rPr>
      <w:instrText xml:space="preserve">PAGE  </w:instrText>
    </w:r>
    <w:r w:rsidRPr="00F93613">
      <w:rPr>
        <w:rStyle w:val="PageNumber"/>
        <w:rFonts w:ascii="CG Times" w:hAnsi="CG Times"/>
        <w:sz w:val="22"/>
        <w:szCs w:val="22"/>
      </w:rPr>
      <w:fldChar w:fldCharType="separate"/>
    </w:r>
    <w:r>
      <w:rPr>
        <w:rStyle w:val="PageNumber"/>
        <w:rFonts w:ascii="CG Times" w:hAnsi="CG Times"/>
        <w:noProof/>
        <w:sz w:val="22"/>
        <w:szCs w:val="22"/>
      </w:rPr>
      <w:t>1004</w:t>
    </w:r>
    <w:r w:rsidRPr="00F93613">
      <w:rPr>
        <w:rStyle w:val="PageNumber"/>
        <w:rFonts w:ascii="CG Times" w:hAnsi="CG Times"/>
        <w:sz w:val="22"/>
        <w:szCs w:val="22"/>
      </w:rPr>
      <w:fldChar w:fldCharType="end"/>
    </w:r>
  </w:p>
  <w:p w:rsidR="00205F07" w:rsidRPr="004C6C55" w:rsidRDefault="00205F07" w:rsidP="00205F07">
    <w:pPr>
      <w:pStyle w:val="Footer"/>
      <w:ind w:right="360" w:firstLine="360"/>
      <w:jc w:val="right"/>
      <w:rPr>
        <w:rFonts w:ascii="CG Times" w:hAnsi="CG Times"/>
        <w:sz w:val="22"/>
        <w:szCs w:val="22"/>
      </w:rPr>
    </w:pPr>
  </w:p>
  <w:p w:rsidR="00205F07" w:rsidRPr="00E23005" w:rsidRDefault="00205F07" w:rsidP="00205F0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393115">
      <w:r>
        <w:separator/>
      </w:r>
    </w:p>
  </w:footnote>
  <w:footnote w:type="continuationSeparator" w:id="0">
    <w:p w:rsidR="00000000" w:rsidRDefault="003931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05F07"/>
    <w:rsid w:val="00005805"/>
    <w:rsid w:val="000116E2"/>
    <w:rsid w:val="000152A2"/>
    <w:rsid w:val="00016505"/>
    <w:rsid w:val="00016606"/>
    <w:rsid w:val="00017EBE"/>
    <w:rsid w:val="0002384E"/>
    <w:rsid w:val="000239EC"/>
    <w:rsid w:val="000253C1"/>
    <w:rsid w:val="0002748B"/>
    <w:rsid w:val="00041A56"/>
    <w:rsid w:val="00042FCA"/>
    <w:rsid w:val="00053FD5"/>
    <w:rsid w:val="00055B92"/>
    <w:rsid w:val="00057B3F"/>
    <w:rsid w:val="00066D6B"/>
    <w:rsid w:val="00071072"/>
    <w:rsid w:val="000813AD"/>
    <w:rsid w:val="00081DED"/>
    <w:rsid w:val="000B3B20"/>
    <w:rsid w:val="000B7659"/>
    <w:rsid w:val="000C2D93"/>
    <w:rsid w:val="000C4FFA"/>
    <w:rsid w:val="000C61F8"/>
    <w:rsid w:val="000C750C"/>
    <w:rsid w:val="000D1F2B"/>
    <w:rsid w:val="000D65A1"/>
    <w:rsid w:val="000E0DE0"/>
    <w:rsid w:val="000E47F5"/>
    <w:rsid w:val="000F0EC8"/>
    <w:rsid w:val="00103440"/>
    <w:rsid w:val="00116E1D"/>
    <w:rsid w:val="00125054"/>
    <w:rsid w:val="00132DD0"/>
    <w:rsid w:val="00132FBB"/>
    <w:rsid w:val="00134231"/>
    <w:rsid w:val="00134F2A"/>
    <w:rsid w:val="0015202D"/>
    <w:rsid w:val="00152456"/>
    <w:rsid w:val="001532F4"/>
    <w:rsid w:val="00154D78"/>
    <w:rsid w:val="001743DB"/>
    <w:rsid w:val="001763D1"/>
    <w:rsid w:val="001952F8"/>
    <w:rsid w:val="001A2C51"/>
    <w:rsid w:val="001A3A7E"/>
    <w:rsid w:val="001B05F9"/>
    <w:rsid w:val="001B06BA"/>
    <w:rsid w:val="001B39D0"/>
    <w:rsid w:val="001C1609"/>
    <w:rsid w:val="001C345E"/>
    <w:rsid w:val="001C3F7F"/>
    <w:rsid w:val="001C407E"/>
    <w:rsid w:val="001C6FD6"/>
    <w:rsid w:val="001D52B7"/>
    <w:rsid w:val="001D6951"/>
    <w:rsid w:val="001E0AF3"/>
    <w:rsid w:val="001E3756"/>
    <w:rsid w:val="001F0318"/>
    <w:rsid w:val="001F45BB"/>
    <w:rsid w:val="00203073"/>
    <w:rsid w:val="00204565"/>
    <w:rsid w:val="002047F1"/>
    <w:rsid w:val="00205F07"/>
    <w:rsid w:val="00206485"/>
    <w:rsid w:val="002112FF"/>
    <w:rsid w:val="00211D2B"/>
    <w:rsid w:val="002218B3"/>
    <w:rsid w:val="0022239B"/>
    <w:rsid w:val="002278F6"/>
    <w:rsid w:val="00242E4B"/>
    <w:rsid w:val="00252D7E"/>
    <w:rsid w:val="002538A1"/>
    <w:rsid w:val="0025540D"/>
    <w:rsid w:val="002608DE"/>
    <w:rsid w:val="002612BA"/>
    <w:rsid w:val="00266A90"/>
    <w:rsid w:val="002819BD"/>
    <w:rsid w:val="0029358C"/>
    <w:rsid w:val="002B5A40"/>
    <w:rsid w:val="002B5C1F"/>
    <w:rsid w:val="002B7B90"/>
    <w:rsid w:val="002C2F7E"/>
    <w:rsid w:val="002C663A"/>
    <w:rsid w:val="002E64E8"/>
    <w:rsid w:val="002E6924"/>
    <w:rsid w:val="002E7680"/>
    <w:rsid w:val="002F3591"/>
    <w:rsid w:val="00304541"/>
    <w:rsid w:val="003107C7"/>
    <w:rsid w:val="00310CBB"/>
    <w:rsid w:val="0031550B"/>
    <w:rsid w:val="00323062"/>
    <w:rsid w:val="00324C47"/>
    <w:rsid w:val="0034544B"/>
    <w:rsid w:val="00354C70"/>
    <w:rsid w:val="00356EA6"/>
    <w:rsid w:val="00357FBC"/>
    <w:rsid w:val="00364171"/>
    <w:rsid w:val="003655DE"/>
    <w:rsid w:val="00371546"/>
    <w:rsid w:val="00373FD0"/>
    <w:rsid w:val="0037658A"/>
    <w:rsid w:val="00380843"/>
    <w:rsid w:val="003863E0"/>
    <w:rsid w:val="00393115"/>
    <w:rsid w:val="003A0F41"/>
    <w:rsid w:val="003A59E8"/>
    <w:rsid w:val="003B370C"/>
    <w:rsid w:val="003B7283"/>
    <w:rsid w:val="003C34AC"/>
    <w:rsid w:val="003C5597"/>
    <w:rsid w:val="003E29AB"/>
    <w:rsid w:val="003E5A3C"/>
    <w:rsid w:val="003F01F0"/>
    <w:rsid w:val="003F3FB6"/>
    <w:rsid w:val="00402051"/>
    <w:rsid w:val="004035B3"/>
    <w:rsid w:val="00411350"/>
    <w:rsid w:val="00412459"/>
    <w:rsid w:val="00413B02"/>
    <w:rsid w:val="0042500E"/>
    <w:rsid w:val="004257EA"/>
    <w:rsid w:val="00425AC9"/>
    <w:rsid w:val="00427F76"/>
    <w:rsid w:val="004476E3"/>
    <w:rsid w:val="004516B2"/>
    <w:rsid w:val="00453249"/>
    <w:rsid w:val="0045357A"/>
    <w:rsid w:val="004676E2"/>
    <w:rsid w:val="00471BC0"/>
    <w:rsid w:val="00474045"/>
    <w:rsid w:val="0047736D"/>
    <w:rsid w:val="004811FB"/>
    <w:rsid w:val="00481895"/>
    <w:rsid w:val="00494FC4"/>
    <w:rsid w:val="0049593A"/>
    <w:rsid w:val="004A7CD1"/>
    <w:rsid w:val="004B2212"/>
    <w:rsid w:val="004B4D1B"/>
    <w:rsid w:val="004C1AB1"/>
    <w:rsid w:val="004C505A"/>
    <w:rsid w:val="004C798A"/>
    <w:rsid w:val="004E72E6"/>
    <w:rsid w:val="004F5B0D"/>
    <w:rsid w:val="004F5C9A"/>
    <w:rsid w:val="004F6760"/>
    <w:rsid w:val="005009A9"/>
    <w:rsid w:val="00502300"/>
    <w:rsid w:val="00520904"/>
    <w:rsid w:val="005267D0"/>
    <w:rsid w:val="00530279"/>
    <w:rsid w:val="00557A25"/>
    <w:rsid w:val="00571417"/>
    <w:rsid w:val="00571B16"/>
    <w:rsid w:val="00572B76"/>
    <w:rsid w:val="00582220"/>
    <w:rsid w:val="005915C1"/>
    <w:rsid w:val="005A6181"/>
    <w:rsid w:val="005A76EA"/>
    <w:rsid w:val="005B3FEB"/>
    <w:rsid w:val="005C1ED6"/>
    <w:rsid w:val="005D3BF4"/>
    <w:rsid w:val="00602F29"/>
    <w:rsid w:val="00603BBB"/>
    <w:rsid w:val="0060696A"/>
    <w:rsid w:val="00614F77"/>
    <w:rsid w:val="00615823"/>
    <w:rsid w:val="00615F4E"/>
    <w:rsid w:val="00616583"/>
    <w:rsid w:val="0064249D"/>
    <w:rsid w:val="006425FC"/>
    <w:rsid w:val="00671577"/>
    <w:rsid w:val="00671C0A"/>
    <w:rsid w:val="00673FD9"/>
    <w:rsid w:val="00673FF0"/>
    <w:rsid w:val="006771AC"/>
    <w:rsid w:val="00682F33"/>
    <w:rsid w:val="00683536"/>
    <w:rsid w:val="006933FE"/>
    <w:rsid w:val="00694E32"/>
    <w:rsid w:val="006B2EF9"/>
    <w:rsid w:val="006C6838"/>
    <w:rsid w:val="006C6CC1"/>
    <w:rsid w:val="006D6EFE"/>
    <w:rsid w:val="006E0B99"/>
    <w:rsid w:val="006E2A46"/>
    <w:rsid w:val="006E3575"/>
    <w:rsid w:val="006F340A"/>
    <w:rsid w:val="006F3D8B"/>
    <w:rsid w:val="007071C1"/>
    <w:rsid w:val="00715049"/>
    <w:rsid w:val="007169FF"/>
    <w:rsid w:val="007235A2"/>
    <w:rsid w:val="00723C7E"/>
    <w:rsid w:val="007317E7"/>
    <w:rsid w:val="0073198A"/>
    <w:rsid w:val="007331A1"/>
    <w:rsid w:val="007355EB"/>
    <w:rsid w:val="00750536"/>
    <w:rsid w:val="00756B4E"/>
    <w:rsid w:val="0075728B"/>
    <w:rsid w:val="00760AA6"/>
    <w:rsid w:val="00761FEB"/>
    <w:rsid w:val="007708DE"/>
    <w:rsid w:val="0078151F"/>
    <w:rsid w:val="007819BC"/>
    <w:rsid w:val="0078554A"/>
    <w:rsid w:val="00785FFC"/>
    <w:rsid w:val="00786BC7"/>
    <w:rsid w:val="00792743"/>
    <w:rsid w:val="0079382F"/>
    <w:rsid w:val="007970A2"/>
    <w:rsid w:val="007C561F"/>
    <w:rsid w:val="007D12D3"/>
    <w:rsid w:val="007D3D1F"/>
    <w:rsid w:val="007D4410"/>
    <w:rsid w:val="007D4F2F"/>
    <w:rsid w:val="007E2FED"/>
    <w:rsid w:val="007E4705"/>
    <w:rsid w:val="007E4BB8"/>
    <w:rsid w:val="007E75E0"/>
    <w:rsid w:val="007F4A22"/>
    <w:rsid w:val="007F60D2"/>
    <w:rsid w:val="0080191A"/>
    <w:rsid w:val="008034BC"/>
    <w:rsid w:val="008041F7"/>
    <w:rsid w:val="008073B6"/>
    <w:rsid w:val="00814982"/>
    <w:rsid w:val="008162EE"/>
    <w:rsid w:val="00823050"/>
    <w:rsid w:val="0084152F"/>
    <w:rsid w:val="00844A57"/>
    <w:rsid w:val="008518B1"/>
    <w:rsid w:val="008533FC"/>
    <w:rsid w:val="008569AD"/>
    <w:rsid w:val="00883176"/>
    <w:rsid w:val="0088753F"/>
    <w:rsid w:val="00887EBD"/>
    <w:rsid w:val="00890E90"/>
    <w:rsid w:val="0089617E"/>
    <w:rsid w:val="008B10ED"/>
    <w:rsid w:val="008C0D19"/>
    <w:rsid w:val="008D242F"/>
    <w:rsid w:val="008D73A9"/>
    <w:rsid w:val="008E7307"/>
    <w:rsid w:val="008F0846"/>
    <w:rsid w:val="008F1BE3"/>
    <w:rsid w:val="008F71A1"/>
    <w:rsid w:val="009016F3"/>
    <w:rsid w:val="00913360"/>
    <w:rsid w:val="009166AF"/>
    <w:rsid w:val="0091681E"/>
    <w:rsid w:val="009221B5"/>
    <w:rsid w:val="009250E2"/>
    <w:rsid w:val="00927B74"/>
    <w:rsid w:val="0093145E"/>
    <w:rsid w:val="00943098"/>
    <w:rsid w:val="00952B82"/>
    <w:rsid w:val="00961AD4"/>
    <w:rsid w:val="00971B20"/>
    <w:rsid w:val="009865D7"/>
    <w:rsid w:val="00990A5D"/>
    <w:rsid w:val="00997B16"/>
    <w:rsid w:val="009A1FDB"/>
    <w:rsid w:val="009A7512"/>
    <w:rsid w:val="009B5DE8"/>
    <w:rsid w:val="009C244E"/>
    <w:rsid w:val="009C59E2"/>
    <w:rsid w:val="009C698B"/>
    <w:rsid w:val="009E12A3"/>
    <w:rsid w:val="009E196D"/>
    <w:rsid w:val="009F6FD2"/>
    <w:rsid w:val="00A06ECC"/>
    <w:rsid w:val="00A1081B"/>
    <w:rsid w:val="00A1481A"/>
    <w:rsid w:val="00A23238"/>
    <w:rsid w:val="00A308F3"/>
    <w:rsid w:val="00A30FB1"/>
    <w:rsid w:val="00A36F61"/>
    <w:rsid w:val="00A507D7"/>
    <w:rsid w:val="00A512E6"/>
    <w:rsid w:val="00A51C90"/>
    <w:rsid w:val="00A520E9"/>
    <w:rsid w:val="00A52E74"/>
    <w:rsid w:val="00A553C4"/>
    <w:rsid w:val="00A55AFE"/>
    <w:rsid w:val="00A56B57"/>
    <w:rsid w:val="00A67CEB"/>
    <w:rsid w:val="00A67D65"/>
    <w:rsid w:val="00A70520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B6ED0"/>
    <w:rsid w:val="00AE2C3A"/>
    <w:rsid w:val="00AF09C3"/>
    <w:rsid w:val="00AF6FC9"/>
    <w:rsid w:val="00B01885"/>
    <w:rsid w:val="00B0397B"/>
    <w:rsid w:val="00B231C6"/>
    <w:rsid w:val="00B304AB"/>
    <w:rsid w:val="00B30A87"/>
    <w:rsid w:val="00B31AA8"/>
    <w:rsid w:val="00B320FC"/>
    <w:rsid w:val="00B3592B"/>
    <w:rsid w:val="00B36C00"/>
    <w:rsid w:val="00B40E2A"/>
    <w:rsid w:val="00B4411A"/>
    <w:rsid w:val="00B65249"/>
    <w:rsid w:val="00B71539"/>
    <w:rsid w:val="00B8484C"/>
    <w:rsid w:val="00B87DCC"/>
    <w:rsid w:val="00B97FD5"/>
    <w:rsid w:val="00BB085C"/>
    <w:rsid w:val="00BC26E1"/>
    <w:rsid w:val="00BC5452"/>
    <w:rsid w:val="00BC6CE7"/>
    <w:rsid w:val="00BD0A02"/>
    <w:rsid w:val="00BE1622"/>
    <w:rsid w:val="00BE1DDF"/>
    <w:rsid w:val="00BF214C"/>
    <w:rsid w:val="00BF47D7"/>
    <w:rsid w:val="00BF6E17"/>
    <w:rsid w:val="00C04730"/>
    <w:rsid w:val="00C04C46"/>
    <w:rsid w:val="00C0606C"/>
    <w:rsid w:val="00C15A00"/>
    <w:rsid w:val="00C22D97"/>
    <w:rsid w:val="00C33F71"/>
    <w:rsid w:val="00C41A80"/>
    <w:rsid w:val="00C47B52"/>
    <w:rsid w:val="00C5019E"/>
    <w:rsid w:val="00C50C6D"/>
    <w:rsid w:val="00C63800"/>
    <w:rsid w:val="00C76C12"/>
    <w:rsid w:val="00C81682"/>
    <w:rsid w:val="00C82995"/>
    <w:rsid w:val="00C90A36"/>
    <w:rsid w:val="00C911CC"/>
    <w:rsid w:val="00CA0746"/>
    <w:rsid w:val="00CA07EF"/>
    <w:rsid w:val="00CA1E81"/>
    <w:rsid w:val="00CA4FE2"/>
    <w:rsid w:val="00CA51CA"/>
    <w:rsid w:val="00CB1A2D"/>
    <w:rsid w:val="00CC3C92"/>
    <w:rsid w:val="00CC7AA1"/>
    <w:rsid w:val="00CD3859"/>
    <w:rsid w:val="00CD5371"/>
    <w:rsid w:val="00CE179E"/>
    <w:rsid w:val="00CE6530"/>
    <w:rsid w:val="00CE6CC0"/>
    <w:rsid w:val="00D03F6E"/>
    <w:rsid w:val="00D14D49"/>
    <w:rsid w:val="00D14F5E"/>
    <w:rsid w:val="00D21120"/>
    <w:rsid w:val="00D32262"/>
    <w:rsid w:val="00D32652"/>
    <w:rsid w:val="00D4083D"/>
    <w:rsid w:val="00D55569"/>
    <w:rsid w:val="00D62D8F"/>
    <w:rsid w:val="00D65923"/>
    <w:rsid w:val="00D6683B"/>
    <w:rsid w:val="00D70F57"/>
    <w:rsid w:val="00D75EA0"/>
    <w:rsid w:val="00D8028C"/>
    <w:rsid w:val="00D838B0"/>
    <w:rsid w:val="00D83FA3"/>
    <w:rsid w:val="00D86C7B"/>
    <w:rsid w:val="00D91B15"/>
    <w:rsid w:val="00DA14E8"/>
    <w:rsid w:val="00DA5A2E"/>
    <w:rsid w:val="00DA7194"/>
    <w:rsid w:val="00DC22F7"/>
    <w:rsid w:val="00DC70E0"/>
    <w:rsid w:val="00DD0751"/>
    <w:rsid w:val="00E02A89"/>
    <w:rsid w:val="00E03C4C"/>
    <w:rsid w:val="00E262B2"/>
    <w:rsid w:val="00E269BA"/>
    <w:rsid w:val="00E35F12"/>
    <w:rsid w:val="00E367E4"/>
    <w:rsid w:val="00E47701"/>
    <w:rsid w:val="00E71D15"/>
    <w:rsid w:val="00E768E6"/>
    <w:rsid w:val="00E834AF"/>
    <w:rsid w:val="00E943E3"/>
    <w:rsid w:val="00E96895"/>
    <w:rsid w:val="00E977BC"/>
    <w:rsid w:val="00EA28AE"/>
    <w:rsid w:val="00EA4DF1"/>
    <w:rsid w:val="00EB1957"/>
    <w:rsid w:val="00EB24A9"/>
    <w:rsid w:val="00EC3315"/>
    <w:rsid w:val="00EC657B"/>
    <w:rsid w:val="00EE4BA9"/>
    <w:rsid w:val="00EE7A53"/>
    <w:rsid w:val="00EF7E31"/>
    <w:rsid w:val="00F02C33"/>
    <w:rsid w:val="00F042D3"/>
    <w:rsid w:val="00F15C00"/>
    <w:rsid w:val="00F2187B"/>
    <w:rsid w:val="00F25E06"/>
    <w:rsid w:val="00F37A38"/>
    <w:rsid w:val="00F37D59"/>
    <w:rsid w:val="00F43E17"/>
    <w:rsid w:val="00F46890"/>
    <w:rsid w:val="00F56840"/>
    <w:rsid w:val="00F6716B"/>
    <w:rsid w:val="00F7724A"/>
    <w:rsid w:val="00F81867"/>
    <w:rsid w:val="00F83DBC"/>
    <w:rsid w:val="00F84FFD"/>
    <w:rsid w:val="00F91553"/>
    <w:rsid w:val="00F9168A"/>
    <w:rsid w:val="00FA0E41"/>
    <w:rsid w:val="00FA247F"/>
    <w:rsid w:val="00FA796B"/>
    <w:rsid w:val="00FB7558"/>
    <w:rsid w:val="00FB7650"/>
    <w:rsid w:val="00FC19E3"/>
    <w:rsid w:val="00FC7E5F"/>
    <w:rsid w:val="00FD1061"/>
    <w:rsid w:val="00FD246D"/>
    <w:rsid w:val="00FE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027F8D0-6233-4F36-B1FB-0523E7D62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5F07"/>
    <w:pPr>
      <w:tabs>
        <w:tab w:val="left" w:pos="536"/>
      </w:tabs>
      <w:jc w:val="both"/>
    </w:pPr>
    <w:rPr>
      <w:rFonts w:ascii="Arial" w:hAnsi="Arial" w:cs="Arial"/>
      <w:sz w:val="24"/>
      <w:szCs w:val="24"/>
      <w:lang w:val="sq-AL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</w:pPr>
    <w:rPr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</w:pPr>
    <w:rPr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</w:pPr>
    <w:rPr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</w:pPr>
    <w:rPr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textAlignment w:val="baseline"/>
    </w:pPr>
    <w:rPr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textAlignment w:val="baseline"/>
    </w:pPr>
    <w:rPr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</w:pPr>
    <w:rPr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styleId="Footer">
    <w:name w:val="footer"/>
    <w:basedOn w:val="Normal"/>
    <w:link w:val="FooterChar"/>
    <w:rsid w:val="00205F0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205F07"/>
    <w:rPr>
      <w:rFonts w:ascii="Arial" w:hAnsi="Arial" w:cs="Arial"/>
      <w:sz w:val="24"/>
      <w:szCs w:val="24"/>
      <w:lang w:val="sq-AL" w:eastAsia="en-US" w:bidi="ar-SA"/>
    </w:rPr>
  </w:style>
  <w:style w:type="character" w:styleId="PageNumber">
    <w:name w:val="page number"/>
    <w:basedOn w:val="DefaultParagraphFont"/>
    <w:rsid w:val="00205F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676</Words>
  <Characters>3855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4522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QBZ Admin</cp:lastModifiedBy>
  <cp:revision>2</cp:revision>
  <dcterms:created xsi:type="dcterms:W3CDTF">2019-03-18T12:46:00Z</dcterms:created>
  <dcterms:modified xsi:type="dcterms:W3CDTF">2019-03-18T12:46:00Z</dcterms:modified>
</cp:coreProperties>
</file>