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291" w:rsidRPr="00644829" w:rsidRDefault="00D91291" w:rsidP="00D91291">
      <w:pPr>
        <w:pStyle w:val="Akti"/>
        <w:keepNext w:val="0"/>
        <w:rPr>
          <w:sz w:val="21"/>
          <w:szCs w:val="21"/>
        </w:rPr>
      </w:pPr>
      <w:bookmarkStart w:id="0" w:name="_GoBack"/>
      <w:bookmarkEnd w:id="0"/>
      <w:r w:rsidRPr="00644829">
        <w:rPr>
          <w:sz w:val="21"/>
          <w:szCs w:val="21"/>
        </w:rPr>
        <w:t>UDHËZIM</w:t>
      </w:r>
    </w:p>
    <w:p w:rsidR="00D91291" w:rsidRPr="00F034BA" w:rsidRDefault="00D91291" w:rsidP="00F034BA">
      <w:pPr>
        <w:pStyle w:val="NumriData"/>
      </w:pPr>
      <w:r w:rsidRPr="00F034BA">
        <w:t>Nr.38, datë 1.9.2009</w:t>
      </w:r>
    </w:p>
    <w:p w:rsidR="00D91291" w:rsidRPr="00644829" w:rsidRDefault="00D91291" w:rsidP="00D91291">
      <w:pPr>
        <w:pStyle w:val="Paragrafi0"/>
        <w:rPr>
          <w:sz w:val="21"/>
          <w:szCs w:val="21"/>
        </w:rPr>
      </w:pPr>
    </w:p>
    <w:p w:rsidR="00D91291" w:rsidRPr="00644829" w:rsidRDefault="00D91291" w:rsidP="00D91291">
      <w:pPr>
        <w:pStyle w:val="Titulli0"/>
        <w:keepNext w:val="0"/>
        <w:rPr>
          <w:sz w:val="21"/>
          <w:szCs w:val="21"/>
        </w:rPr>
      </w:pPr>
      <w:r w:rsidRPr="00644829">
        <w:rPr>
          <w:sz w:val="21"/>
          <w:szCs w:val="21"/>
        </w:rPr>
        <w:t>PËR DISA NDRYSHIME DHE SHTESA NË UDHËZIMIN NR.39, DATË 9.12.2008 “PËR ADMINISTRIMIN DHE DOKUMENTIMIN E PROCEDURAVE TË PAJISJEVE FISKALE”</w:t>
      </w:r>
    </w:p>
    <w:p w:rsidR="00D91291" w:rsidRPr="00644829" w:rsidRDefault="00D91291" w:rsidP="00D91291">
      <w:pPr>
        <w:pStyle w:val="Paragrafi0"/>
        <w:rPr>
          <w:sz w:val="21"/>
          <w:szCs w:val="21"/>
        </w:rPr>
      </w:pPr>
    </w:p>
    <w:p w:rsidR="00D91291" w:rsidRPr="00644829" w:rsidRDefault="00D91291" w:rsidP="00D91291">
      <w:pPr>
        <w:pStyle w:val="Paragrafi0"/>
        <w:rPr>
          <w:sz w:val="21"/>
          <w:szCs w:val="21"/>
        </w:rPr>
      </w:pPr>
      <w:r w:rsidRPr="00644829">
        <w:rPr>
          <w:sz w:val="21"/>
          <w:szCs w:val="21"/>
        </w:rPr>
        <w:t>Në zbatim të neneve 55 dhe 56 të ligjit nr.9920, datë 19.5.2008 “Për procedurat tatimore në Republikën e Shqipërisë”, të paragrafëve 17, 18 dhe 23 të vendimit të Këshillit të Ministrave nr.781, datë 14.11.2007 “Për karakteristikat teknike e funksionale të pajisjeve fiskale, sistemit të integruar të kompjuterizuar për transferimet periodike, automatike të deklarimeve financiare, sistemit të komunikimit, për procedurën e dokumentacionin për miratimin e tyre dhe për kriteret për pajisjen, me autorizim, të shoqërive të autorizuara për ofrimin e pajisjeve fiskale”, Ministri i Financave</w:t>
      </w:r>
    </w:p>
    <w:p w:rsidR="00D91291" w:rsidRPr="00644829" w:rsidRDefault="00D91291" w:rsidP="00D91291">
      <w:pPr>
        <w:pStyle w:val="Paragrafi0"/>
        <w:rPr>
          <w:sz w:val="21"/>
          <w:szCs w:val="21"/>
        </w:rPr>
      </w:pPr>
    </w:p>
    <w:p w:rsidR="00D91291" w:rsidRPr="00644829" w:rsidRDefault="00D91291" w:rsidP="00D91291">
      <w:pPr>
        <w:pStyle w:val="VENDOSI0"/>
        <w:keepNext w:val="0"/>
        <w:rPr>
          <w:sz w:val="21"/>
          <w:szCs w:val="21"/>
        </w:rPr>
      </w:pPr>
      <w:r w:rsidRPr="00644829">
        <w:rPr>
          <w:sz w:val="21"/>
          <w:szCs w:val="21"/>
        </w:rPr>
        <w:t>UDHËZON:</w:t>
      </w:r>
    </w:p>
    <w:p w:rsidR="00D91291" w:rsidRPr="00644829" w:rsidRDefault="00D91291" w:rsidP="00D91291">
      <w:pPr>
        <w:pStyle w:val="Paragrafi0"/>
        <w:rPr>
          <w:sz w:val="21"/>
          <w:szCs w:val="21"/>
        </w:rPr>
      </w:pPr>
    </w:p>
    <w:p w:rsidR="00D91291" w:rsidRPr="00644829" w:rsidRDefault="00D91291" w:rsidP="00D91291">
      <w:pPr>
        <w:pStyle w:val="Paragrafi0"/>
        <w:rPr>
          <w:sz w:val="21"/>
          <w:szCs w:val="21"/>
        </w:rPr>
      </w:pPr>
      <w:r w:rsidRPr="00644829">
        <w:rPr>
          <w:sz w:val="21"/>
          <w:szCs w:val="21"/>
        </w:rPr>
        <w:t>Pika 2.3 “Të dhënat e printuara” ndryshon si më poshtë:</w:t>
      </w:r>
    </w:p>
    <w:p w:rsidR="00D91291" w:rsidRPr="00644829" w:rsidRDefault="00D91291" w:rsidP="00D91291">
      <w:pPr>
        <w:pStyle w:val="Paragrafi0"/>
        <w:rPr>
          <w:sz w:val="21"/>
          <w:szCs w:val="21"/>
        </w:rPr>
      </w:pPr>
      <w:r w:rsidRPr="00644829">
        <w:rPr>
          <w:sz w:val="21"/>
          <w:szCs w:val="21"/>
        </w:rPr>
        <w:t>“Pajisja fiskale regjistron dhe certifikon shitjet dhe këtë e regjistron në të njëjtën kohë si në memorien fiskale, por edhe në qarkun e shiritit të kontrollit, i cili vërtetëson dhe nuk lejon ndryshimet e informacionit në memorien fiskale. Të dhënat e printuara mbi kuponin tatimor duhet të jenë identike me të dhënat mbi shiritin e kontrollit. Shiriti i kontrollit është i zbatuar në formë kujtese elektronike ose letër dhe emërtohet si Qarku i Shiritit të Kontrollit  ose shkurt QSHK.</w:t>
      </w:r>
    </w:p>
    <w:p w:rsidR="00D91291" w:rsidRPr="00644829" w:rsidRDefault="00D91291" w:rsidP="00D91291">
      <w:pPr>
        <w:pStyle w:val="Paragrafi0"/>
        <w:rPr>
          <w:sz w:val="21"/>
          <w:szCs w:val="21"/>
        </w:rPr>
      </w:pPr>
      <w:r w:rsidRPr="00644829">
        <w:rPr>
          <w:sz w:val="21"/>
          <w:szCs w:val="21"/>
        </w:rPr>
        <w:t>Qarqet e shiritit të kontrollit duhet të kenë një etiketë sipër, mbi të cilën shkruhet numri progresiv i tyre. Programi logjik i regjistruesit duhet të sigurojë bllokimin e regjistruesit nëse hiqet qarku i shiritit të kontrollit, të zëvendësohet me qarkun e ndonjë pajisjeje tjetër apo kur është i virgjër, të mos lejojë regjistrimin e qarkullimit pa e inicializuar atë. Ky qark duhet të njihet vetëm nga regjistruesi elektronik fiskal mbi të cilin është kryer inicializimi fillestar i tij dhe</w:t>
      </w:r>
      <w:r>
        <w:rPr>
          <w:sz w:val="21"/>
          <w:szCs w:val="21"/>
        </w:rPr>
        <w:t>,</w:t>
      </w:r>
      <w:r w:rsidRPr="00644829">
        <w:rPr>
          <w:sz w:val="21"/>
          <w:szCs w:val="21"/>
        </w:rPr>
        <w:t xml:space="preserve"> pasi mbushet plot</w:t>
      </w:r>
      <w:r>
        <w:rPr>
          <w:sz w:val="21"/>
          <w:szCs w:val="21"/>
        </w:rPr>
        <w:t>,</w:t>
      </w:r>
      <w:r w:rsidRPr="00644829">
        <w:rPr>
          <w:sz w:val="21"/>
          <w:szCs w:val="21"/>
        </w:rPr>
        <w:t xml:space="preserve"> ruhet dhe për së paku 5 (pesë) vjet.</w:t>
      </w:r>
    </w:p>
    <w:p w:rsidR="00D91291" w:rsidRPr="00644829" w:rsidRDefault="00D91291" w:rsidP="00D91291">
      <w:pPr>
        <w:pStyle w:val="Paragrafi0"/>
        <w:rPr>
          <w:sz w:val="21"/>
          <w:szCs w:val="21"/>
        </w:rPr>
      </w:pPr>
      <w:r w:rsidRPr="00644829">
        <w:rPr>
          <w:sz w:val="21"/>
          <w:szCs w:val="21"/>
        </w:rPr>
        <w:t>Përdorimi i qarkut të</w:t>
      </w:r>
      <w:r>
        <w:rPr>
          <w:sz w:val="21"/>
          <w:szCs w:val="21"/>
        </w:rPr>
        <w:t xml:space="preserve"> mbushur kryhet vetëm për efekt</w:t>
      </w:r>
      <w:r w:rsidRPr="00644829">
        <w:rPr>
          <w:sz w:val="21"/>
          <w:szCs w:val="21"/>
        </w:rPr>
        <w:t xml:space="preserve"> kontrolli dhe statistikore. Tregimi i të dhënave mbi shiritin e kontrollit dhe në memorien fiskale nuk duhet të bëhet nëpërmjet përdorimit të shkurtimeve të kodifikuara.</w:t>
      </w:r>
    </w:p>
    <w:p w:rsidR="00D91291" w:rsidRPr="00644829" w:rsidRDefault="00D91291" w:rsidP="00D91291">
      <w:pPr>
        <w:pStyle w:val="Paragrafi0"/>
        <w:rPr>
          <w:sz w:val="21"/>
          <w:szCs w:val="21"/>
        </w:rPr>
      </w:pPr>
    </w:p>
    <w:p w:rsidR="00D91291" w:rsidRPr="00644829" w:rsidRDefault="00D91291" w:rsidP="00D91291">
      <w:pPr>
        <w:pStyle w:val="Paragrafi0"/>
        <w:rPr>
          <w:sz w:val="21"/>
          <w:szCs w:val="21"/>
        </w:rPr>
      </w:pPr>
      <w:r w:rsidRPr="00644829">
        <w:rPr>
          <w:sz w:val="21"/>
          <w:szCs w:val="21"/>
        </w:rPr>
        <w:t xml:space="preserve">Shembull i etiketës mbi QSHK-në:       </w:t>
      </w:r>
    </w:p>
    <w:p w:rsidR="00D91291" w:rsidRPr="00644829" w:rsidRDefault="00D91291" w:rsidP="00D91291">
      <w:pPr>
        <w:pStyle w:val="Paragrafi0"/>
        <w:rPr>
          <w:sz w:val="21"/>
          <w:szCs w:val="21"/>
        </w:rPr>
      </w:pP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88"/>
        <w:gridCol w:w="236"/>
        <w:gridCol w:w="5164"/>
      </w:tblGrid>
      <w:tr w:rsidR="00D91291" w:rsidRPr="00644829" w:rsidTr="00D91291">
        <w:trPr>
          <w:trHeight w:val="1192"/>
        </w:trPr>
        <w:tc>
          <w:tcPr>
            <w:tcW w:w="3888" w:type="dxa"/>
            <w:tcBorders>
              <w:top w:val="single" w:sz="4" w:space="0" w:color="auto"/>
              <w:left w:val="single" w:sz="4" w:space="0" w:color="auto"/>
              <w:bottom w:val="single" w:sz="4" w:space="0" w:color="auto"/>
              <w:right w:val="single" w:sz="4" w:space="0" w:color="auto"/>
            </w:tcBorders>
          </w:tcPr>
          <w:p w:rsidR="00D91291" w:rsidRPr="00644829" w:rsidRDefault="00D91291" w:rsidP="00D91291">
            <w:pPr>
              <w:pStyle w:val="Paragrafi0"/>
              <w:ind w:firstLine="0"/>
              <w:rPr>
                <w:sz w:val="21"/>
                <w:szCs w:val="21"/>
              </w:rPr>
            </w:pPr>
            <w:r w:rsidRPr="00644829">
              <w:rPr>
                <w:sz w:val="21"/>
                <w:szCs w:val="21"/>
              </w:rPr>
              <w:t xml:space="preserve">QSHK nr.------------------------------------    </w:t>
            </w:r>
          </w:p>
          <w:p w:rsidR="00D91291" w:rsidRPr="00644829" w:rsidRDefault="00D91291" w:rsidP="00D91291">
            <w:pPr>
              <w:pStyle w:val="Paragrafi0"/>
              <w:ind w:firstLine="0"/>
              <w:rPr>
                <w:sz w:val="21"/>
                <w:szCs w:val="21"/>
              </w:rPr>
            </w:pPr>
            <w:r w:rsidRPr="00644829">
              <w:rPr>
                <w:sz w:val="21"/>
                <w:szCs w:val="21"/>
              </w:rPr>
              <w:t>Modeli i kasës-------------------------------</w:t>
            </w:r>
          </w:p>
          <w:p w:rsidR="00D91291" w:rsidRPr="00644829" w:rsidRDefault="00D91291" w:rsidP="00D91291">
            <w:pPr>
              <w:pStyle w:val="Paragrafi0"/>
              <w:ind w:firstLine="0"/>
              <w:rPr>
                <w:sz w:val="21"/>
                <w:szCs w:val="21"/>
              </w:rPr>
            </w:pPr>
            <w:r w:rsidRPr="00644829">
              <w:rPr>
                <w:sz w:val="21"/>
                <w:szCs w:val="21"/>
              </w:rPr>
              <w:t xml:space="preserve">Numri i identifikimit------------------------ </w:t>
            </w:r>
          </w:p>
          <w:p w:rsidR="00D91291" w:rsidRPr="00644829" w:rsidRDefault="00D91291" w:rsidP="00D91291">
            <w:pPr>
              <w:pStyle w:val="Paragrafi0"/>
              <w:ind w:firstLine="0"/>
              <w:rPr>
                <w:sz w:val="21"/>
                <w:szCs w:val="21"/>
              </w:rPr>
            </w:pPr>
            <w:r w:rsidRPr="00644829">
              <w:rPr>
                <w:sz w:val="21"/>
                <w:szCs w:val="21"/>
              </w:rPr>
              <w:t xml:space="preserve">Data e fillimit----------Data e mbarimit---   </w:t>
            </w:r>
          </w:p>
        </w:tc>
        <w:tc>
          <w:tcPr>
            <w:tcW w:w="236" w:type="dxa"/>
            <w:tcBorders>
              <w:left w:val="single" w:sz="4" w:space="0" w:color="auto"/>
            </w:tcBorders>
          </w:tcPr>
          <w:p w:rsidR="00D91291" w:rsidRPr="00644829" w:rsidRDefault="00D91291" w:rsidP="00D91291">
            <w:pPr>
              <w:pStyle w:val="Paragrafi0"/>
              <w:ind w:firstLine="0"/>
              <w:rPr>
                <w:sz w:val="21"/>
                <w:szCs w:val="21"/>
              </w:rPr>
            </w:pPr>
          </w:p>
        </w:tc>
        <w:tc>
          <w:tcPr>
            <w:tcW w:w="5164" w:type="dxa"/>
          </w:tcPr>
          <w:p w:rsidR="00D91291" w:rsidRPr="00644829" w:rsidRDefault="00D91291" w:rsidP="00D91291">
            <w:pPr>
              <w:pStyle w:val="Paragrafi0"/>
              <w:ind w:firstLine="0"/>
              <w:rPr>
                <w:sz w:val="21"/>
                <w:szCs w:val="21"/>
              </w:rPr>
            </w:pPr>
            <w:r w:rsidRPr="00644829">
              <w:rPr>
                <w:sz w:val="21"/>
                <w:szCs w:val="21"/>
              </w:rPr>
              <w:t>Numri progresiv i QSHK-së</w:t>
            </w:r>
            <w:r>
              <w:rPr>
                <w:sz w:val="21"/>
                <w:szCs w:val="21"/>
              </w:rPr>
              <w:t>,</w:t>
            </w:r>
            <w:r w:rsidRPr="00644829">
              <w:rPr>
                <w:sz w:val="21"/>
                <w:szCs w:val="21"/>
              </w:rPr>
              <w:t xml:space="preserve"> të inicializuara  </w:t>
            </w:r>
          </w:p>
          <w:p w:rsidR="00D91291" w:rsidRPr="00644829" w:rsidRDefault="00D91291" w:rsidP="00D91291">
            <w:pPr>
              <w:pStyle w:val="Paragrafi0"/>
              <w:ind w:firstLine="0"/>
              <w:rPr>
                <w:sz w:val="21"/>
                <w:szCs w:val="21"/>
              </w:rPr>
            </w:pPr>
            <w:r w:rsidRPr="00644829">
              <w:rPr>
                <w:sz w:val="21"/>
                <w:szCs w:val="21"/>
              </w:rPr>
              <w:t xml:space="preserve">Modeli i regjistruesit elektronik fiskal </w:t>
            </w:r>
          </w:p>
          <w:p w:rsidR="00D91291" w:rsidRPr="00644829" w:rsidRDefault="00D91291" w:rsidP="00D91291">
            <w:pPr>
              <w:pStyle w:val="Paragrafi0"/>
              <w:ind w:firstLine="0"/>
              <w:rPr>
                <w:sz w:val="21"/>
                <w:szCs w:val="21"/>
              </w:rPr>
            </w:pPr>
            <w:r w:rsidRPr="00644829">
              <w:rPr>
                <w:sz w:val="21"/>
                <w:szCs w:val="21"/>
              </w:rPr>
              <w:t>Numri i identifikimit të pajisjes fiskale ku është vendosur</w:t>
            </w:r>
          </w:p>
          <w:p w:rsidR="00D91291" w:rsidRPr="00644829" w:rsidRDefault="00D91291" w:rsidP="00D91291">
            <w:pPr>
              <w:pStyle w:val="Paragrafi0"/>
              <w:ind w:firstLine="0"/>
              <w:rPr>
                <w:sz w:val="21"/>
                <w:szCs w:val="21"/>
              </w:rPr>
            </w:pPr>
            <w:r>
              <w:rPr>
                <w:sz w:val="21"/>
                <w:szCs w:val="21"/>
              </w:rPr>
              <w:t>Data e fillimit dhe data e m</w:t>
            </w:r>
            <w:r w:rsidRPr="00644829">
              <w:rPr>
                <w:sz w:val="21"/>
                <w:szCs w:val="21"/>
              </w:rPr>
              <w:t>b</w:t>
            </w:r>
            <w:r>
              <w:rPr>
                <w:sz w:val="21"/>
                <w:szCs w:val="21"/>
              </w:rPr>
              <w:t>a</w:t>
            </w:r>
            <w:r w:rsidRPr="00644829">
              <w:rPr>
                <w:sz w:val="21"/>
                <w:szCs w:val="21"/>
              </w:rPr>
              <w:t>rimit të QSHK-së</w:t>
            </w:r>
            <w:r>
              <w:rPr>
                <w:sz w:val="21"/>
                <w:szCs w:val="21"/>
              </w:rPr>
              <w:t>”.</w:t>
            </w:r>
          </w:p>
        </w:tc>
      </w:tr>
    </w:tbl>
    <w:p w:rsidR="00D91291" w:rsidRPr="00644829" w:rsidRDefault="00D91291" w:rsidP="00D91291">
      <w:pPr>
        <w:pStyle w:val="Paragrafi0"/>
        <w:rPr>
          <w:sz w:val="21"/>
          <w:szCs w:val="21"/>
        </w:rPr>
      </w:pPr>
      <w:r w:rsidRPr="00644829">
        <w:rPr>
          <w:sz w:val="21"/>
          <w:szCs w:val="21"/>
        </w:rPr>
        <w:t xml:space="preserve">                            </w:t>
      </w:r>
    </w:p>
    <w:p w:rsidR="00D91291" w:rsidRPr="00644829" w:rsidRDefault="00D91291" w:rsidP="00D91291">
      <w:pPr>
        <w:pStyle w:val="Paragrafi0"/>
        <w:rPr>
          <w:sz w:val="21"/>
          <w:szCs w:val="21"/>
        </w:rPr>
      </w:pPr>
      <w:r w:rsidRPr="00644829">
        <w:rPr>
          <w:sz w:val="21"/>
          <w:szCs w:val="21"/>
        </w:rPr>
        <w:t>Pika 2.4 “Kujtesa fiskale”, paragrafi i parë ndryshon si më poshtë:</w:t>
      </w:r>
    </w:p>
    <w:p w:rsidR="00D91291" w:rsidRPr="00644829" w:rsidRDefault="00D91291" w:rsidP="00D91291">
      <w:pPr>
        <w:pStyle w:val="Paragrafi0"/>
        <w:rPr>
          <w:sz w:val="21"/>
          <w:szCs w:val="21"/>
        </w:rPr>
      </w:pPr>
      <w:r w:rsidRPr="00644829">
        <w:rPr>
          <w:sz w:val="21"/>
          <w:szCs w:val="21"/>
        </w:rPr>
        <w:t>“Regjistruesi elektronik siguron kujdes të qartë (paralajmërim) rreth numrit të raporteve të mbetura, që mund të futen në memorien fiskale, si dhe në qarkun e shiritit të kontrollit, që nuk mund të jetë më pak se 50 dhe tregon numrin e mundshëm të raporteve të mbetura fiskale, pas çdo raporti fiskal të regjistruar</w:t>
      </w:r>
      <w:r>
        <w:rPr>
          <w:sz w:val="21"/>
          <w:szCs w:val="21"/>
        </w:rPr>
        <w:t>a.</w:t>
      </w:r>
      <w:r w:rsidRPr="00644829">
        <w:rPr>
          <w:sz w:val="21"/>
          <w:szCs w:val="21"/>
        </w:rPr>
        <w:t>”.</w:t>
      </w:r>
    </w:p>
    <w:p w:rsidR="00D91291" w:rsidRPr="00644829" w:rsidRDefault="00D91291" w:rsidP="00D91291">
      <w:pPr>
        <w:pStyle w:val="Paragrafi0"/>
        <w:rPr>
          <w:sz w:val="21"/>
          <w:szCs w:val="21"/>
        </w:rPr>
      </w:pPr>
      <w:r w:rsidRPr="00644829">
        <w:rPr>
          <w:sz w:val="21"/>
          <w:szCs w:val="21"/>
        </w:rPr>
        <w:t>Pika 2.6 “Certifikimi i pajisjeve fiskale” ndryshon si më poshtë:</w:t>
      </w:r>
    </w:p>
    <w:p w:rsidR="00D91291" w:rsidRPr="00644829" w:rsidRDefault="00D91291" w:rsidP="00D91291">
      <w:pPr>
        <w:pStyle w:val="Paragrafi0"/>
        <w:rPr>
          <w:sz w:val="21"/>
          <w:szCs w:val="21"/>
        </w:rPr>
      </w:pPr>
      <w:r w:rsidRPr="00644829">
        <w:rPr>
          <w:sz w:val="21"/>
          <w:szCs w:val="21"/>
        </w:rPr>
        <w:t>“Shoqëritë e autorizuara për furnizimin e regjistruesve elektronikë, janë të detyruara të certifikojnë llojet e regjistruesve që do të hedhin në treg, në Drejtorinë e Përgjithshme të Metrologjisë, e cila verifikon nëse tipi i regjistruesit elektronik plotëson të gjitha kriteret e përcaktuara në këtë kontratë. Drejtoria e Përgjithshme e Metrologjisë, për çdo model të regjistruesve elektronikë fiskalë të certifikuar, i dërgon një raport teknik Drejtorisë së Përgjithshme të Tatimeve, ku përveç të dhënave teknike të modelit</w:t>
      </w:r>
      <w:r>
        <w:rPr>
          <w:sz w:val="21"/>
          <w:szCs w:val="21"/>
        </w:rPr>
        <w:t>,</w:t>
      </w:r>
      <w:r w:rsidRPr="00644829">
        <w:rPr>
          <w:sz w:val="21"/>
          <w:szCs w:val="21"/>
        </w:rPr>
        <w:t xml:space="preserve"> duhet të përmbajë edhe të dhëna identifikuese të modelit (kodin e shoqërisë dhe kodin e modelit).</w:t>
      </w:r>
    </w:p>
    <w:p w:rsidR="00D91291" w:rsidRDefault="00D91291" w:rsidP="00D91291">
      <w:pPr>
        <w:pStyle w:val="Paragrafi0"/>
        <w:rPr>
          <w:sz w:val="21"/>
          <w:szCs w:val="21"/>
        </w:rPr>
      </w:pPr>
      <w:r w:rsidRPr="00644829">
        <w:rPr>
          <w:sz w:val="21"/>
          <w:szCs w:val="21"/>
        </w:rPr>
        <w:t>Shoqëritë e autorizuara duhet të bëjnë ricertifikimin e pajisjeve fiskale në të gjitha rastet kur ndryshon udhëzimi i Ministrit të Financave dhe ndryshimet kanë të bëjnë me karakteristikat teknike dhe funksionale të regjistruesve elektronikë fiskalë.</w:t>
      </w:r>
    </w:p>
    <w:p w:rsidR="00D91291" w:rsidRPr="00644829" w:rsidRDefault="00D91291" w:rsidP="00D91291">
      <w:pPr>
        <w:pStyle w:val="Paragrafi0"/>
        <w:rPr>
          <w:sz w:val="21"/>
          <w:szCs w:val="21"/>
        </w:rPr>
      </w:pPr>
      <w:r w:rsidRPr="00644829">
        <w:rPr>
          <w:sz w:val="21"/>
          <w:szCs w:val="21"/>
        </w:rPr>
        <w:t>Subjektet tatimpaguese, të cilat kanë pasur në përdorim pajisje fiskale me karakteristika të ndryshme nga ato të kërkuara nga ky udhëzim, mund t’i përdorin këto pajisje për qëllime fiskale vetëm nëse pajisjet janë të certifikuara nga organi i ngarkuar për certifikimin e tyre. Subjekti përdorues i pajisjes fiskale, i drejtohet njërës prej shoqërive të autorizuara për shitjen dhe mirëmbajtjen e pajisjeve fiskale, për modifikimin dhe përshtatjen e pajisjes ekzistuese, sipas kërkesave të legjislacionit përkatës. Vetëm pasi pajisja është e certifikuar, ajo mund të përdoret nga subjekti tatimpagues. Nëse certifikimi dhe mirëmbajtja e këtyre pajisjeve nuk mund të realizohet nga shoqëritë e autorizuara, subjektet detyrohen të instalojnë dhe të përdorin pajisje fiskale të certifikuara sipas këtij udhëzimi</w:t>
      </w:r>
      <w:r>
        <w:rPr>
          <w:sz w:val="21"/>
          <w:szCs w:val="21"/>
        </w:rPr>
        <w:t>.</w:t>
      </w:r>
      <w:r w:rsidRPr="00644829">
        <w:rPr>
          <w:sz w:val="21"/>
          <w:szCs w:val="21"/>
        </w:rPr>
        <w:t>”.</w:t>
      </w:r>
    </w:p>
    <w:p w:rsidR="00D91291" w:rsidRPr="00644829" w:rsidRDefault="00D91291" w:rsidP="00D91291">
      <w:pPr>
        <w:pStyle w:val="Paragrafi0"/>
        <w:rPr>
          <w:sz w:val="21"/>
          <w:szCs w:val="21"/>
        </w:rPr>
      </w:pPr>
      <w:r w:rsidRPr="00644829">
        <w:rPr>
          <w:sz w:val="21"/>
          <w:szCs w:val="21"/>
        </w:rPr>
        <w:t>Në pikën 3.1 “Lidhja e pompave të karburantit me regjistruesit elektronikë fiskal</w:t>
      </w:r>
      <w:r>
        <w:rPr>
          <w:sz w:val="21"/>
          <w:szCs w:val="21"/>
        </w:rPr>
        <w:t>ë</w:t>
      </w:r>
      <w:r w:rsidRPr="00644829">
        <w:rPr>
          <w:sz w:val="21"/>
          <w:szCs w:val="21"/>
        </w:rPr>
        <w:t>” bëhen ndryshimet e mëposhtme:</w:t>
      </w:r>
    </w:p>
    <w:p w:rsidR="00D91291" w:rsidRPr="00644829" w:rsidRDefault="00D91291" w:rsidP="00D91291">
      <w:pPr>
        <w:pStyle w:val="Paragrafi0"/>
        <w:rPr>
          <w:sz w:val="21"/>
          <w:szCs w:val="21"/>
        </w:rPr>
      </w:pPr>
      <w:r w:rsidRPr="00644829">
        <w:rPr>
          <w:sz w:val="21"/>
          <w:szCs w:val="21"/>
        </w:rPr>
        <w:t>Shkronja “a” ndryshohet si më poshtë:</w:t>
      </w:r>
    </w:p>
    <w:p w:rsidR="00D91291" w:rsidRPr="00644829" w:rsidRDefault="00D91291" w:rsidP="00D91291">
      <w:pPr>
        <w:pStyle w:val="Paragrafi0"/>
        <w:rPr>
          <w:sz w:val="21"/>
          <w:szCs w:val="21"/>
        </w:rPr>
      </w:pPr>
      <w:r w:rsidRPr="00644829">
        <w:rPr>
          <w:sz w:val="21"/>
          <w:szCs w:val="21"/>
        </w:rPr>
        <w:t>“a) Pikat e shpërndarjes së karburantit dhe gazit të lëngshëm duhet të jenë të fiskalizuara me regjistrues elektronik</w:t>
      </w:r>
      <w:r>
        <w:rPr>
          <w:sz w:val="21"/>
          <w:szCs w:val="21"/>
        </w:rPr>
        <w:t>ë</w:t>
      </w:r>
      <w:r w:rsidRPr="00644829">
        <w:rPr>
          <w:sz w:val="21"/>
          <w:szCs w:val="21"/>
        </w:rPr>
        <w:t xml:space="preserve"> fiskal</w:t>
      </w:r>
      <w:r>
        <w:rPr>
          <w:sz w:val="21"/>
          <w:szCs w:val="21"/>
        </w:rPr>
        <w:t>ë</w:t>
      </w:r>
      <w:r w:rsidRPr="00644829">
        <w:rPr>
          <w:sz w:val="21"/>
          <w:szCs w:val="21"/>
        </w:rPr>
        <w:t>. Sistemi i regjistruesve elektronikë fiskalë duhet të garantojë funksionimin e çdo grupi pompash sipas parimit “Pa kupon tatimor-s’ka karburant.”.</w:t>
      </w:r>
    </w:p>
    <w:p w:rsidR="00D91291" w:rsidRPr="00644829" w:rsidRDefault="00D91291" w:rsidP="00D91291">
      <w:pPr>
        <w:pStyle w:val="Paragrafi0"/>
        <w:rPr>
          <w:sz w:val="21"/>
          <w:szCs w:val="21"/>
        </w:rPr>
      </w:pPr>
      <w:r w:rsidRPr="00644829">
        <w:rPr>
          <w:sz w:val="21"/>
          <w:szCs w:val="21"/>
        </w:rPr>
        <w:t>Shkronja “b” shfuqizohet.</w:t>
      </w:r>
    </w:p>
    <w:p w:rsidR="00D91291" w:rsidRPr="00644829" w:rsidRDefault="00D91291" w:rsidP="00D91291">
      <w:pPr>
        <w:pStyle w:val="Paragrafi0"/>
        <w:rPr>
          <w:sz w:val="21"/>
          <w:szCs w:val="21"/>
        </w:rPr>
      </w:pPr>
      <w:r w:rsidRPr="00644829">
        <w:rPr>
          <w:sz w:val="21"/>
          <w:szCs w:val="21"/>
        </w:rPr>
        <w:t>Shkronja “c” ndryshohet si më poshtë:</w:t>
      </w:r>
    </w:p>
    <w:p w:rsidR="00D91291" w:rsidRPr="00644829" w:rsidRDefault="00D91291" w:rsidP="00D91291">
      <w:pPr>
        <w:pStyle w:val="Paragrafi0"/>
        <w:rPr>
          <w:sz w:val="21"/>
          <w:szCs w:val="21"/>
        </w:rPr>
      </w:pPr>
      <w:r>
        <w:rPr>
          <w:sz w:val="21"/>
          <w:szCs w:val="21"/>
        </w:rPr>
        <w:t>“c</w:t>
      </w:r>
      <w:r w:rsidRPr="00644829">
        <w:rPr>
          <w:sz w:val="21"/>
          <w:szCs w:val="21"/>
        </w:rPr>
        <w:t>) Të dhënat mbi shitjen e karburantit duhet të ruhen automatikisht në memorien fiskale të regjistruesit elektronik</w:t>
      </w:r>
      <w:r>
        <w:rPr>
          <w:sz w:val="21"/>
          <w:szCs w:val="21"/>
        </w:rPr>
        <w:t>ë</w:t>
      </w:r>
      <w:r w:rsidRPr="00644829">
        <w:rPr>
          <w:sz w:val="21"/>
          <w:szCs w:val="21"/>
        </w:rPr>
        <w:t xml:space="preserve"> fis</w:t>
      </w:r>
      <w:r>
        <w:rPr>
          <w:sz w:val="21"/>
          <w:szCs w:val="21"/>
        </w:rPr>
        <w:t>k</w:t>
      </w:r>
      <w:r w:rsidRPr="00644829">
        <w:rPr>
          <w:sz w:val="21"/>
          <w:szCs w:val="21"/>
        </w:rPr>
        <w:t>al</w:t>
      </w:r>
      <w:r>
        <w:rPr>
          <w:sz w:val="21"/>
          <w:szCs w:val="21"/>
        </w:rPr>
        <w:t>ë</w:t>
      </w:r>
      <w:r w:rsidRPr="00644829">
        <w:rPr>
          <w:sz w:val="21"/>
          <w:szCs w:val="21"/>
        </w:rPr>
        <w:t>, si dhe në qarkun e shiritit të kontrollit. Vlerat e qarkulluara certifikohen në mënyrë automatike me lëshimin e kuponit tatimor nga regjistruesi elektronik fiskal. Kuponi tatimor duhet të përmbajë:</w:t>
      </w:r>
    </w:p>
    <w:p w:rsidR="00D91291" w:rsidRPr="00644829" w:rsidRDefault="00D91291" w:rsidP="00D91291">
      <w:pPr>
        <w:pStyle w:val="Paragrafi0"/>
        <w:rPr>
          <w:sz w:val="21"/>
          <w:szCs w:val="21"/>
        </w:rPr>
      </w:pPr>
      <w:r w:rsidRPr="00644829">
        <w:rPr>
          <w:sz w:val="21"/>
          <w:szCs w:val="21"/>
        </w:rPr>
        <w:t>- llojin e karburantit;</w:t>
      </w:r>
    </w:p>
    <w:p w:rsidR="00D91291" w:rsidRPr="00644829" w:rsidRDefault="00D91291" w:rsidP="00D91291">
      <w:pPr>
        <w:pStyle w:val="Paragrafi0"/>
        <w:rPr>
          <w:sz w:val="21"/>
          <w:szCs w:val="21"/>
        </w:rPr>
      </w:pPr>
      <w:r w:rsidRPr="00644829">
        <w:rPr>
          <w:sz w:val="21"/>
          <w:szCs w:val="21"/>
        </w:rPr>
        <w:t>- sasinë e shitur;</w:t>
      </w:r>
    </w:p>
    <w:p w:rsidR="00D91291" w:rsidRPr="00644829" w:rsidRDefault="00D91291" w:rsidP="00D91291">
      <w:pPr>
        <w:pStyle w:val="Paragrafi0"/>
        <w:rPr>
          <w:sz w:val="21"/>
          <w:szCs w:val="21"/>
        </w:rPr>
      </w:pPr>
      <w:r w:rsidRPr="00644829">
        <w:rPr>
          <w:sz w:val="21"/>
          <w:szCs w:val="21"/>
        </w:rPr>
        <w:t>- vlerën e karburantit të shitur;</w:t>
      </w:r>
    </w:p>
    <w:p w:rsidR="00D91291" w:rsidRPr="00644829" w:rsidRDefault="00D91291" w:rsidP="00D91291">
      <w:pPr>
        <w:pStyle w:val="Paragrafi0"/>
        <w:rPr>
          <w:sz w:val="21"/>
          <w:szCs w:val="21"/>
        </w:rPr>
      </w:pPr>
      <w:r w:rsidRPr="00644829">
        <w:rPr>
          <w:sz w:val="21"/>
          <w:szCs w:val="21"/>
        </w:rPr>
        <w:t>- vlerën e shitur sipas shkallës tatimore; vlera e shkallës tatimore;</w:t>
      </w:r>
    </w:p>
    <w:p w:rsidR="00D91291" w:rsidRPr="00644829" w:rsidRDefault="00D91291" w:rsidP="00D91291">
      <w:pPr>
        <w:pStyle w:val="Paragrafi0"/>
        <w:rPr>
          <w:sz w:val="21"/>
          <w:szCs w:val="21"/>
        </w:rPr>
      </w:pPr>
      <w:r w:rsidRPr="00644829">
        <w:rPr>
          <w:sz w:val="21"/>
          <w:szCs w:val="21"/>
        </w:rPr>
        <w:t>- numrin e pompës;</w:t>
      </w:r>
    </w:p>
    <w:p w:rsidR="00D91291" w:rsidRPr="00644829" w:rsidRDefault="00D91291" w:rsidP="00D91291">
      <w:pPr>
        <w:pStyle w:val="Paragrafi0"/>
        <w:rPr>
          <w:sz w:val="21"/>
          <w:szCs w:val="21"/>
        </w:rPr>
      </w:pPr>
      <w:r w:rsidRPr="00644829">
        <w:rPr>
          <w:sz w:val="21"/>
          <w:szCs w:val="21"/>
        </w:rPr>
        <w:t>- numrin e identifikimit të regjistruesit fiskal;</w:t>
      </w:r>
    </w:p>
    <w:p w:rsidR="00D91291" w:rsidRPr="00644829" w:rsidRDefault="00D91291" w:rsidP="00D91291">
      <w:pPr>
        <w:pStyle w:val="Paragrafi0"/>
        <w:rPr>
          <w:sz w:val="21"/>
          <w:szCs w:val="21"/>
        </w:rPr>
      </w:pPr>
      <w:r w:rsidRPr="00644829">
        <w:rPr>
          <w:sz w:val="21"/>
          <w:szCs w:val="21"/>
        </w:rPr>
        <w:t>- dat</w:t>
      </w:r>
      <w:r>
        <w:rPr>
          <w:sz w:val="21"/>
          <w:szCs w:val="21"/>
        </w:rPr>
        <w:t>ën</w:t>
      </w:r>
      <w:r w:rsidRPr="00644829">
        <w:rPr>
          <w:sz w:val="21"/>
          <w:szCs w:val="21"/>
        </w:rPr>
        <w:t>, or</w:t>
      </w:r>
      <w:r>
        <w:rPr>
          <w:sz w:val="21"/>
          <w:szCs w:val="21"/>
        </w:rPr>
        <w:t>ën</w:t>
      </w:r>
      <w:r w:rsidRPr="00644829">
        <w:rPr>
          <w:sz w:val="21"/>
          <w:szCs w:val="21"/>
        </w:rPr>
        <w:t xml:space="preserve"> e shitjes;</w:t>
      </w:r>
    </w:p>
    <w:p w:rsidR="00D91291" w:rsidRPr="00644829" w:rsidRDefault="00D91291" w:rsidP="00D91291">
      <w:pPr>
        <w:pStyle w:val="Paragrafi0"/>
        <w:rPr>
          <w:sz w:val="21"/>
          <w:szCs w:val="21"/>
        </w:rPr>
      </w:pPr>
      <w:r w:rsidRPr="00644829">
        <w:rPr>
          <w:sz w:val="21"/>
          <w:szCs w:val="21"/>
        </w:rPr>
        <w:t>- num</w:t>
      </w:r>
      <w:r>
        <w:rPr>
          <w:sz w:val="21"/>
          <w:szCs w:val="21"/>
        </w:rPr>
        <w:t>ë</w:t>
      </w:r>
      <w:r w:rsidRPr="00644829">
        <w:rPr>
          <w:sz w:val="21"/>
          <w:szCs w:val="21"/>
        </w:rPr>
        <w:t>ratori i kuponëve tatimorë;</w:t>
      </w:r>
    </w:p>
    <w:p w:rsidR="00D91291" w:rsidRPr="00644829" w:rsidRDefault="00D91291" w:rsidP="00D91291">
      <w:pPr>
        <w:pStyle w:val="Paragrafi0"/>
        <w:rPr>
          <w:sz w:val="21"/>
          <w:szCs w:val="21"/>
        </w:rPr>
      </w:pPr>
      <w:r w:rsidRPr="00644829">
        <w:rPr>
          <w:sz w:val="21"/>
          <w:szCs w:val="21"/>
        </w:rPr>
        <w:t>- logo</w:t>
      </w:r>
      <w:r>
        <w:rPr>
          <w:sz w:val="21"/>
          <w:szCs w:val="21"/>
        </w:rPr>
        <w:t>n</w:t>
      </w:r>
      <w:r w:rsidRPr="00644829">
        <w:rPr>
          <w:sz w:val="21"/>
          <w:szCs w:val="21"/>
        </w:rPr>
        <w:t xml:space="preserve"> fiskale.</w:t>
      </w:r>
    </w:p>
    <w:p w:rsidR="00D91291" w:rsidRPr="00644829" w:rsidRDefault="00D91291" w:rsidP="00D91291">
      <w:pPr>
        <w:pStyle w:val="Paragrafi0"/>
        <w:rPr>
          <w:sz w:val="21"/>
          <w:szCs w:val="21"/>
        </w:rPr>
      </w:pPr>
      <w:r w:rsidRPr="00644829">
        <w:rPr>
          <w:sz w:val="21"/>
          <w:szCs w:val="21"/>
        </w:rPr>
        <w:t>Struktura e numrit të identifikimit të regjistruesit elektronik fiskal të pompave dhe logo</w:t>
      </w:r>
      <w:r>
        <w:rPr>
          <w:sz w:val="21"/>
          <w:szCs w:val="21"/>
        </w:rPr>
        <w:t>ja jofiskale janë të njëjta me ato</w:t>
      </w:r>
      <w:r w:rsidRPr="00644829">
        <w:rPr>
          <w:sz w:val="21"/>
          <w:szCs w:val="21"/>
        </w:rPr>
        <w:t xml:space="preserve"> të përshkruara më lart në këtë udhëzim</w:t>
      </w:r>
      <w:r>
        <w:rPr>
          <w:sz w:val="21"/>
          <w:szCs w:val="21"/>
        </w:rPr>
        <w:t>.</w:t>
      </w:r>
      <w:r w:rsidRPr="00644829">
        <w:rPr>
          <w:sz w:val="21"/>
          <w:szCs w:val="21"/>
        </w:rPr>
        <w:t>”.</w:t>
      </w:r>
    </w:p>
    <w:p w:rsidR="00D91291" w:rsidRPr="00644829" w:rsidRDefault="00D91291" w:rsidP="00D91291">
      <w:pPr>
        <w:pStyle w:val="Paragrafi0"/>
        <w:rPr>
          <w:sz w:val="21"/>
          <w:szCs w:val="21"/>
        </w:rPr>
      </w:pPr>
      <w:r w:rsidRPr="00644829">
        <w:rPr>
          <w:sz w:val="21"/>
          <w:szCs w:val="21"/>
        </w:rPr>
        <w:t>Shkronja “e” ndryshohet si më poshtë:</w:t>
      </w:r>
    </w:p>
    <w:p w:rsidR="00D91291" w:rsidRPr="00644829" w:rsidRDefault="00D91291" w:rsidP="00D91291">
      <w:pPr>
        <w:pStyle w:val="Paragrafi0"/>
        <w:rPr>
          <w:sz w:val="21"/>
          <w:szCs w:val="21"/>
        </w:rPr>
      </w:pPr>
      <w:r w:rsidRPr="00644829">
        <w:rPr>
          <w:sz w:val="21"/>
          <w:szCs w:val="21"/>
        </w:rPr>
        <w:t>“e) Në rast defekti të regjistruesit elektronik fiskal, sistemi i fiskalizimit duhet:</w:t>
      </w:r>
    </w:p>
    <w:p w:rsidR="00D91291" w:rsidRPr="00644829" w:rsidRDefault="00D91291" w:rsidP="00D91291">
      <w:pPr>
        <w:pStyle w:val="Paragrafi0"/>
        <w:rPr>
          <w:sz w:val="21"/>
          <w:szCs w:val="21"/>
        </w:rPr>
      </w:pPr>
      <w:r w:rsidRPr="00644829">
        <w:rPr>
          <w:sz w:val="21"/>
          <w:szCs w:val="21"/>
        </w:rPr>
        <w:t>të sigurojë që pompa të vazhdojë të veprojë manualisht derisa dëmtimi të rregullohet, por të dhënat e shitjes gjatë veprimit manual të pompës duhet të ruhen në njësinë e ndërfaqes së pompës “PIR” e vendosur në pjesën elektronike të pompës. Këto të dhëna të regjistrohen automatikisht në memorien fiskale dhe në qarkun e shiritit të kontrollit të regjistruesit elektronik fiskal menjëherë pas riparimit të defektit, të cilat do të paraqiten në raportin tatimor ditor “Z” të ditës kur është riparuar regjistruesi elektronik fiskal. Riparimi i regjistruesit elektronik fiskal duhet të kryhet brenda 36 orëve. Në rast defekti të regjistruesit elektronik fiskal, tatimpaguesi  është i detyruar të lëshojë dëftesa tatimore për shitjet e kryera në regjimin manual të pompës</w:t>
      </w:r>
      <w:r>
        <w:rPr>
          <w:sz w:val="21"/>
          <w:szCs w:val="21"/>
        </w:rPr>
        <w:t>.</w:t>
      </w:r>
      <w:r w:rsidRPr="00644829">
        <w:rPr>
          <w:sz w:val="21"/>
          <w:szCs w:val="21"/>
        </w:rPr>
        <w:t>”.</w:t>
      </w:r>
    </w:p>
    <w:p w:rsidR="00D91291" w:rsidRPr="00644829" w:rsidRDefault="00D91291" w:rsidP="00D91291">
      <w:pPr>
        <w:pStyle w:val="Paragrafi0"/>
        <w:rPr>
          <w:sz w:val="21"/>
          <w:szCs w:val="21"/>
        </w:rPr>
      </w:pPr>
      <w:r w:rsidRPr="00644829">
        <w:rPr>
          <w:sz w:val="21"/>
          <w:szCs w:val="21"/>
        </w:rPr>
        <w:t xml:space="preserve">Shkronja </w:t>
      </w:r>
      <w:r>
        <w:rPr>
          <w:sz w:val="21"/>
          <w:szCs w:val="21"/>
        </w:rPr>
        <w:t>“</w:t>
      </w:r>
      <w:r w:rsidRPr="00644829">
        <w:rPr>
          <w:sz w:val="21"/>
          <w:szCs w:val="21"/>
        </w:rPr>
        <w:t>k</w:t>
      </w:r>
      <w:r>
        <w:rPr>
          <w:sz w:val="21"/>
          <w:szCs w:val="21"/>
        </w:rPr>
        <w:t>”</w:t>
      </w:r>
      <w:r w:rsidRPr="00644829">
        <w:rPr>
          <w:sz w:val="21"/>
          <w:szCs w:val="21"/>
        </w:rPr>
        <w:t xml:space="preserve"> e pikës 3.2 ndryshohet si më poshtë:</w:t>
      </w:r>
    </w:p>
    <w:p w:rsidR="00D91291" w:rsidRPr="00644829" w:rsidRDefault="00D91291" w:rsidP="00D91291">
      <w:pPr>
        <w:pStyle w:val="Paragrafi0"/>
        <w:rPr>
          <w:sz w:val="21"/>
          <w:szCs w:val="21"/>
        </w:rPr>
      </w:pPr>
      <w:r w:rsidRPr="00644829">
        <w:rPr>
          <w:sz w:val="21"/>
          <w:szCs w:val="21"/>
        </w:rPr>
        <w:t>“k) Të gjitha pompat duhet të garantojnë përdorimin e protokolleve të komunikimit</w:t>
      </w:r>
      <w:r>
        <w:rPr>
          <w:sz w:val="21"/>
          <w:szCs w:val="21"/>
        </w:rPr>
        <w:t>,</w:t>
      </w:r>
      <w:r w:rsidRPr="00644829">
        <w:rPr>
          <w:sz w:val="21"/>
          <w:szCs w:val="21"/>
        </w:rPr>
        <w:t xml:space="preserve"> të cilat bazohen mbi standardin global për lidhjen: IFSF”.</w:t>
      </w:r>
    </w:p>
    <w:p w:rsidR="00D91291" w:rsidRPr="00644829" w:rsidRDefault="00D91291" w:rsidP="00D91291">
      <w:pPr>
        <w:pStyle w:val="Paragrafi0"/>
        <w:rPr>
          <w:sz w:val="21"/>
          <w:szCs w:val="21"/>
        </w:rPr>
      </w:pPr>
      <w:r w:rsidRPr="00644829">
        <w:rPr>
          <w:sz w:val="21"/>
          <w:szCs w:val="21"/>
        </w:rPr>
        <w:t>Në pikën 4.5, paragrafi 4, shtohet fjalia e mëposhtme:</w:t>
      </w:r>
    </w:p>
    <w:p w:rsidR="00D91291" w:rsidRPr="00644829" w:rsidRDefault="00D91291" w:rsidP="00D91291">
      <w:pPr>
        <w:pStyle w:val="Paragrafi0"/>
        <w:rPr>
          <w:sz w:val="21"/>
          <w:szCs w:val="21"/>
        </w:rPr>
      </w:pPr>
      <w:r>
        <w:rPr>
          <w:sz w:val="21"/>
          <w:szCs w:val="21"/>
        </w:rPr>
        <w:t>“</w:t>
      </w:r>
      <w:r w:rsidRPr="00644829">
        <w:rPr>
          <w:sz w:val="21"/>
          <w:szCs w:val="21"/>
        </w:rPr>
        <w:t>- Drejtoria e Përgjithshme e Tatimeve i krijon çdo njësie të qeverisjes vendore, bashkie apo komune, mundësinë e aksesit në të dhënat e deklarimeve financiare të kasave regjistruese për bizneset të cilat janë në administrim nga organet e qeverisjes vendore (biznes i vogël) sipas juridiksionit  respektiv, pas paraqitjes së kërkesës me shkrim nga an</w:t>
      </w:r>
      <w:r>
        <w:rPr>
          <w:sz w:val="21"/>
          <w:szCs w:val="21"/>
        </w:rPr>
        <w:t>a e t</w:t>
      </w:r>
      <w:r w:rsidRPr="00644829">
        <w:rPr>
          <w:sz w:val="21"/>
          <w:szCs w:val="21"/>
        </w:rPr>
        <w:t>y</w:t>
      </w:r>
      <w:r>
        <w:rPr>
          <w:sz w:val="21"/>
          <w:szCs w:val="21"/>
        </w:rPr>
        <w:t>r</w:t>
      </w:r>
      <w:r w:rsidRPr="00644829">
        <w:rPr>
          <w:sz w:val="21"/>
          <w:szCs w:val="21"/>
        </w:rPr>
        <w:t>e</w:t>
      </w:r>
      <w:r>
        <w:rPr>
          <w:sz w:val="21"/>
          <w:szCs w:val="21"/>
        </w:rPr>
        <w:t>”</w:t>
      </w:r>
      <w:r w:rsidRPr="00644829">
        <w:rPr>
          <w:sz w:val="21"/>
          <w:szCs w:val="21"/>
        </w:rPr>
        <w:t>.</w:t>
      </w:r>
    </w:p>
    <w:p w:rsidR="00D91291" w:rsidRPr="00644829" w:rsidRDefault="00D91291" w:rsidP="00D91291">
      <w:pPr>
        <w:pStyle w:val="Paragrafi0"/>
        <w:rPr>
          <w:sz w:val="21"/>
          <w:szCs w:val="21"/>
        </w:rPr>
      </w:pPr>
      <w:r w:rsidRPr="00644829">
        <w:rPr>
          <w:sz w:val="21"/>
          <w:szCs w:val="21"/>
        </w:rPr>
        <w:t>Ky udhëzim hyn në fuqi menjëherë dhe botohet në Fletoren Zyrtare.</w:t>
      </w:r>
    </w:p>
    <w:p w:rsidR="00D91291" w:rsidRPr="00644829" w:rsidRDefault="00D91291" w:rsidP="00D91291">
      <w:pPr>
        <w:pStyle w:val="Paragrafi0"/>
        <w:rPr>
          <w:sz w:val="21"/>
          <w:szCs w:val="21"/>
        </w:rPr>
      </w:pPr>
    </w:p>
    <w:p w:rsidR="00D91291" w:rsidRPr="00644829" w:rsidRDefault="00D91291" w:rsidP="00D91291">
      <w:pPr>
        <w:pStyle w:val="Autoriteti"/>
        <w:keepNext w:val="0"/>
        <w:rPr>
          <w:sz w:val="21"/>
          <w:szCs w:val="21"/>
        </w:rPr>
      </w:pPr>
      <w:r w:rsidRPr="00644829">
        <w:rPr>
          <w:sz w:val="21"/>
          <w:szCs w:val="21"/>
        </w:rPr>
        <w:t>MINISTRI I FINANCAVE</w:t>
      </w:r>
    </w:p>
    <w:p w:rsidR="00D91291" w:rsidRPr="00644829" w:rsidRDefault="00D91291" w:rsidP="00D91291">
      <w:pPr>
        <w:pStyle w:val="AutoritetiEmer"/>
        <w:rPr>
          <w:sz w:val="21"/>
          <w:szCs w:val="21"/>
        </w:rPr>
      </w:pPr>
      <w:r w:rsidRPr="00644829">
        <w:rPr>
          <w:sz w:val="21"/>
          <w:szCs w:val="21"/>
        </w:rPr>
        <w:t>Ridvan Bode</w:t>
      </w:r>
    </w:p>
    <w:sectPr w:rsidR="00D91291" w:rsidRPr="0064482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91291"/>
    <w:rsid w:val="00001ED4"/>
    <w:rsid w:val="0000253A"/>
    <w:rsid w:val="0000363C"/>
    <w:rsid w:val="00004CDC"/>
    <w:rsid w:val="00005805"/>
    <w:rsid w:val="00010C90"/>
    <w:rsid w:val="000116E2"/>
    <w:rsid w:val="00013366"/>
    <w:rsid w:val="00013A4D"/>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B50"/>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115"/>
    <w:rsid w:val="00186D2B"/>
    <w:rsid w:val="00191231"/>
    <w:rsid w:val="00191FDA"/>
    <w:rsid w:val="00194A4D"/>
    <w:rsid w:val="001952F8"/>
    <w:rsid w:val="0019562E"/>
    <w:rsid w:val="00196A02"/>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4DCD"/>
    <w:rsid w:val="001D52B7"/>
    <w:rsid w:val="001D6951"/>
    <w:rsid w:val="001D69B9"/>
    <w:rsid w:val="001D7F75"/>
    <w:rsid w:val="001D7F98"/>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6D5C"/>
    <w:rsid w:val="00397546"/>
    <w:rsid w:val="003A0F41"/>
    <w:rsid w:val="003A18A9"/>
    <w:rsid w:val="003A1EDA"/>
    <w:rsid w:val="003A2ADD"/>
    <w:rsid w:val="003A34DD"/>
    <w:rsid w:val="003A3C7E"/>
    <w:rsid w:val="003A4F0D"/>
    <w:rsid w:val="003A54C3"/>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2F59"/>
    <w:rsid w:val="004330D6"/>
    <w:rsid w:val="00434A36"/>
    <w:rsid w:val="00435F64"/>
    <w:rsid w:val="00436E88"/>
    <w:rsid w:val="00437C52"/>
    <w:rsid w:val="0044061A"/>
    <w:rsid w:val="00440A12"/>
    <w:rsid w:val="00441BE8"/>
    <w:rsid w:val="00443FF0"/>
    <w:rsid w:val="00444BBA"/>
    <w:rsid w:val="004450DD"/>
    <w:rsid w:val="00445FEE"/>
    <w:rsid w:val="00446666"/>
    <w:rsid w:val="004475C5"/>
    <w:rsid w:val="004476E3"/>
    <w:rsid w:val="00450263"/>
    <w:rsid w:val="004516B2"/>
    <w:rsid w:val="00453249"/>
    <w:rsid w:val="0045357A"/>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5FF"/>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1FF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66C91"/>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A83"/>
    <w:rsid w:val="005A1632"/>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0533"/>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4D51"/>
    <w:rsid w:val="00675F2C"/>
    <w:rsid w:val="0067601E"/>
    <w:rsid w:val="006771AC"/>
    <w:rsid w:val="006810AB"/>
    <w:rsid w:val="00682F33"/>
    <w:rsid w:val="00683536"/>
    <w:rsid w:val="006837F1"/>
    <w:rsid w:val="00683F12"/>
    <w:rsid w:val="00686B41"/>
    <w:rsid w:val="00687609"/>
    <w:rsid w:val="00687A9B"/>
    <w:rsid w:val="00691A67"/>
    <w:rsid w:val="00691B49"/>
    <w:rsid w:val="00692183"/>
    <w:rsid w:val="006924B9"/>
    <w:rsid w:val="00692B75"/>
    <w:rsid w:val="006933FE"/>
    <w:rsid w:val="00694E32"/>
    <w:rsid w:val="00696466"/>
    <w:rsid w:val="006965EA"/>
    <w:rsid w:val="00696A0C"/>
    <w:rsid w:val="00697647"/>
    <w:rsid w:val="006A03BF"/>
    <w:rsid w:val="006A06CF"/>
    <w:rsid w:val="006A4083"/>
    <w:rsid w:val="006A504D"/>
    <w:rsid w:val="006A5EAF"/>
    <w:rsid w:val="006A712B"/>
    <w:rsid w:val="006A74B6"/>
    <w:rsid w:val="006B0DDC"/>
    <w:rsid w:val="006B211A"/>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71B3"/>
    <w:rsid w:val="007B1ED0"/>
    <w:rsid w:val="007B335A"/>
    <w:rsid w:val="007B39AC"/>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5911"/>
    <w:rsid w:val="008066EE"/>
    <w:rsid w:val="008073B6"/>
    <w:rsid w:val="0081025B"/>
    <w:rsid w:val="008109DA"/>
    <w:rsid w:val="008122FC"/>
    <w:rsid w:val="00812A62"/>
    <w:rsid w:val="00812F5F"/>
    <w:rsid w:val="00814982"/>
    <w:rsid w:val="008153DB"/>
    <w:rsid w:val="008156C4"/>
    <w:rsid w:val="008162EE"/>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3D68"/>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13EB"/>
    <w:rsid w:val="00913360"/>
    <w:rsid w:val="00913BAD"/>
    <w:rsid w:val="00916097"/>
    <w:rsid w:val="00916215"/>
    <w:rsid w:val="009166AF"/>
    <w:rsid w:val="0091681E"/>
    <w:rsid w:val="00917E4C"/>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6A8"/>
    <w:rsid w:val="009669EF"/>
    <w:rsid w:val="00970750"/>
    <w:rsid w:val="00970BA4"/>
    <w:rsid w:val="00970CB4"/>
    <w:rsid w:val="00970DF8"/>
    <w:rsid w:val="009710C4"/>
    <w:rsid w:val="00971B20"/>
    <w:rsid w:val="0097217B"/>
    <w:rsid w:val="00975979"/>
    <w:rsid w:val="00975C48"/>
    <w:rsid w:val="00977D61"/>
    <w:rsid w:val="009820D2"/>
    <w:rsid w:val="0098361D"/>
    <w:rsid w:val="00984C25"/>
    <w:rsid w:val="00984E74"/>
    <w:rsid w:val="009865D7"/>
    <w:rsid w:val="0098676C"/>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B7B52"/>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D21"/>
    <w:rsid w:val="00A308F3"/>
    <w:rsid w:val="00A30FB1"/>
    <w:rsid w:val="00A32061"/>
    <w:rsid w:val="00A32DBB"/>
    <w:rsid w:val="00A33AF7"/>
    <w:rsid w:val="00A36EFF"/>
    <w:rsid w:val="00A36F61"/>
    <w:rsid w:val="00A4003A"/>
    <w:rsid w:val="00A40556"/>
    <w:rsid w:val="00A41480"/>
    <w:rsid w:val="00A420F2"/>
    <w:rsid w:val="00A436B5"/>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8DD"/>
    <w:rsid w:val="00A55A29"/>
    <w:rsid w:val="00A55AA8"/>
    <w:rsid w:val="00A55AFE"/>
    <w:rsid w:val="00A55E9F"/>
    <w:rsid w:val="00A564F3"/>
    <w:rsid w:val="00A56B57"/>
    <w:rsid w:val="00A622B5"/>
    <w:rsid w:val="00A64DC9"/>
    <w:rsid w:val="00A67172"/>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316E"/>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73F9"/>
    <w:rsid w:val="00C57901"/>
    <w:rsid w:val="00C57CE2"/>
    <w:rsid w:val="00C619EA"/>
    <w:rsid w:val="00C61AA2"/>
    <w:rsid w:val="00C622F4"/>
    <w:rsid w:val="00C63338"/>
    <w:rsid w:val="00C63800"/>
    <w:rsid w:val="00C638FA"/>
    <w:rsid w:val="00C65B4F"/>
    <w:rsid w:val="00C6764A"/>
    <w:rsid w:val="00C701EB"/>
    <w:rsid w:val="00C70D0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5DD8"/>
    <w:rsid w:val="00D869A8"/>
    <w:rsid w:val="00D86C7B"/>
    <w:rsid w:val="00D9091F"/>
    <w:rsid w:val="00D91291"/>
    <w:rsid w:val="00D91B15"/>
    <w:rsid w:val="00D93269"/>
    <w:rsid w:val="00D93740"/>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2436"/>
    <w:rsid w:val="00E02A89"/>
    <w:rsid w:val="00E02E71"/>
    <w:rsid w:val="00E03C4C"/>
    <w:rsid w:val="00E03CC8"/>
    <w:rsid w:val="00E04ECB"/>
    <w:rsid w:val="00E10CA3"/>
    <w:rsid w:val="00E12A78"/>
    <w:rsid w:val="00E13CBA"/>
    <w:rsid w:val="00E140A1"/>
    <w:rsid w:val="00E146F6"/>
    <w:rsid w:val="00E150BE"/>
    <w:rsid w:val="00E16045"/>
    <w:rsid w:val="00E17C29"/>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978F5"/>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5AB3"/>
    <w:rsid w:val="00ED6362"/>
    <w:rsid w:val="00EE0D44"/>
    <w:rsid w:val="00EE26E8"/>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34BA"/>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4189"/>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FC794C1-9CE3-442A-8790-6BC5920F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1291"/>
    <w:rPr>
      <w:sz w:val="24"/>
      <w:szCs w:val="24"/>
      <w:lang w:val="it-IT"/>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D912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ulliChar">
    <w:name w:val="Titulli Char"/>
    <w:basedOn w:val="DefaultParagraphFont"/>
    <w:link w:val="Titulli0"/>
    <w:rsid w:val="00D91291"/>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7546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2019-03-18T13:51:00Z</dcterms:created>
  <dcterms:modified xsi:type="dcterms:W3CDTF">2019-03-18T13:51:00Z</dcterms:modified>
</cp:coreProperties>
</file>