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FB8" w:rsidRDefault="00235FB8" w:rsidP="00235FB8">
      <w:pPr>
        <w:pStyle w:val="Akti"/>
        <w:keepNext w:val="0"/>
      </w:pPr>
      <w:bookmarkStart w:id="0" w:name="_GoBack"/>
      <w:bookmarkEnd w:id="0"/>
      <w:r>
        <w:t>Udhëzim</w:t>
      </w:r>
    </w:p>
    <w:p w:rsidR="00235FB8" w:rsidRDefault="00235FB8" w:rsidP="00235FB8">
      <w:pPr>
        <w:pStyle w:val="NumriData"/>
        <w:keepNext w:val="0"/>
      </w:pPr>
      <w:r>
        <w:t>Nr.1240/5, datë 15.9.2009</w:t>
      </w:r>
    </w:p>
    <w:p w:rsidR="00235FB8" w:rsidRDefault="00235FB8" w:rsidP="00235FB8">
      <w:pPr>
        <w:pStyle w:val="Paragrafi0"/>
      </w:pPr>
    </w:p>
    <w:p w:rsidR="00235FB8" w:rsidRDefault="00235FB8" w:rsidP="00235FB8">
      <w:pPr>
        <w:pStyle w:val="Titulli0"/>
        <w:keepNext w:val="0"/>
      </w:pPr>
      <w:r>
        <w:t>Për caktimin e tarifave për shërbimet e ofruara nga shërbimi përmbarimor gjyqësor privat</w:t>
      </w:r>
    </w:p>
    <w:p w:rsidR="00235FB8" w:rsidRDefault="00235FB8" w:rsidP="00235FB8">
      <w:pPr>
        <w:pStyle w:val="Paragrafi0"/>
      </w:pPr>
    </w:p>
    <w:p w:rsidR="00235FB8" w:rsidRDefault="00235FB8" w:rsidP="00235FB8">
      <w:pPr>
        <w:pStyle w:val="Paragrafi0"/>
      </w:pPr>
      <w:r>
        <w:t>Në mbështetje të nenit 102, pika 4 të Kushtetutës dhe paragrafit të dytë të nenit 47 dhe nenit 48 të ligjit nr.10031, datë 11.12.2009 “Për shërbimin përmbarimor gjyqësor privat”, Ministri i Financave dhe Ministri i Drejtësisë</w:t>
      </w:r>
    </w:p>
    <w:p w:rsidR="00235FB8" w:rsidRDefault="00235FB8" w:rsidP="00235FB8">
      <w:pPr>
        <w:pStyle w:val="Paragrafi0"/>
      </w:pPr>
    </w:p>
    <w:p w:rsidR="00235FB8" w:rsidRDefault="00235FB8" w:rsidP="00235FB8">
      <w:pPr>
        <w:pStyle w:val="VENDOSI0"/>
        <w:keepNext w:val="0"/>
      </w:pPr>
      <w:r>
        <w:t>Udhëzojnë:</w:t>
      </w:r>
    </w:p>
    <w:p w:rsidR="00235FB8" w:rsidRDefault="00235FB8" w:rsidP="00235FB8">
      <w:pPr>
        <w:pStyle w:val="Paragrafi0"/>
      </w:pPr>
    </w:p>
    <w:p w:rsidR="00235FB8" w:rsidRDefault="00235FB8" w:rsidP="00235FB8">
      <w:pPr>
        <w:pStyle w:val="Paragrafi0"/>
      </w:pPr>
      <w:r>
        <w:t>I. Shpërblimi i subjekteve përmbaruese</w:t>
      </w:r>
    </w:p>
    <w:p w:rsidR="00235FB8" w:rsidRDefault="00235FB8" w:rsidP="00235FB8">
      <w:pPr>
        <w:pStyle w:val="Paragrafi0"/>
      </w:pPr>
      <w:r>
        <w:t>1. Tarifa vihet për një veprim procedural të një subjekti përmbarues.</w:t>
      </w:r>
    </w:p>
    <w:p w:rsidR="00235FB8" w:rsidRDefault="00235FB8" w:rsidP="00235FB8">
      <w:pPr>
        <w:pStyle w:val="Paragrafi0"/>
      </w:pPr>
      <w:r>
        <w:t>2. Subjekti përmbarues ka të drejtë të vendosë një tarifë në masën dhe sipas procedurës së parashikuar në këtë akt.</w:t>
      </w:r>
    </w:p>
    <w:p w:rsidR="00235FB8" w:rsidRDefault="00235FB8" w:rsidP="00235FB8">
      <w:pPr>
        <w:pStyle w:val="Paragrafi0"/>
      </w:pPr>
      <w:r>
        <w:t>II. Parime për përcaktimin e tarifës përmbarimore</w:t>
      </w:r>
    </w:p>
    <w:p w:rsidR="00235FB8" w:rsidRDefault="00235FB8" w:rsidP="00235FB8">
      <w:pPr>
        <w:pStyle w:val="Paragrafi0"/>
      </w:pPr>
      <w:r>
        <w:t>1. Tarifa i një subjekti përmbarimor përbëhet nga një tarifë normale, përveç tarifës shtesë që mund të vihet sipas kushteve të nenit 48 të ligjit nr.10031, datë 11.12.2009 “Për shërbimin përmbarimor privat” dhe shpenzimeve, sipas nenit 525 të Kodit të Procedurës Civile. Norma e tarifës bazë të subjektit përmbarimor përcaktohet si një shumë fikse, bazuar në vlerën e tarifës dhe shpenzimeve të nevojshme për kryerjen e një veprimi përmbarimor.</w:t>
      </w:r>
    </w:p>
    <w:p w:rsidR="00235FB8" w:rsidRDefault="00235FB8" w:rsidP="00235FB8">
      <w:pPr>
        <w:pStyle w:val="Paragrafi0"/>
      </w:pPr>
      <w:r>
        <w:t>2. Në rastet e parashikuara me ligj, një subjekt përmbarimor ka të drejtë të kërkojë tarifë shtesë për kryerjen e veprimeve përmbarimore.</w:t>
      </w:r>
    </w:p>
    <w:p w:rsidR="00235FB8" w:rsidRDefault="00235FB8" w:rsidP="00235FB8">
      <w:pPr>
        <w:pStyle w:val="Paragrafi0"/>
      </w:pPr>
      <w:r>
        <w:t>III. Shpenzimet sipas nenit 525 të Kodit të Procedurës Civile</w:t>
      </w:r>
    </w:p>
    <w:p w:rsidR="00235FB8" w:rsidRDefault="00235FB8" w:rsidP="00235FB8">
      <w:pPr>
        <w:pStyle w:val="Paragrafi0"/>
      </w:pPr>
      <w:r>
        <w:t>Shpenzimet sipas nenit 525 të Kodit të Procedurës Civile përbëhen nga shpenzimet e nevojshme për kryerjen e procedurës përmbarimore për ekzekutimin e një titulli ekzekutiv, duke përfshirë:</w:t>
      </w:r>
    </w:p>
    <w:p w:rsidR="00235FB8" w:rsidRDefault="00235FB8" w:rsidP="00235FB8">
      <w:pPr>
        <w:pStyle w:val="Paragrafi0"/>
      </w:pPr>
      <w:r>
        <w:t>1. shpenzimet për administrimin e të dhënave të nevojshme për kryerjen e procedurave të ekzekutimit;</w:t>
      </w:r>
    </w:p>
    <w:p w:rsidR="00235FB8" w:rsidRDefault="00235FB8" w:rsidP="00235FB8">
      <w:pPr>
        <w:pStyle w:val="Paragrafi0"/>
      </w:pPr>
      <w:r>
        <w:t>2. shpenzimet për korrespondencën në lidhje me procedurën përmbarimore;</w:t>
      </w:r>
    </w:p>
    <w:p w:rsidR="00235FB8" w:rsidRDefault="00235FB8" w:rsidP="00235FB8">
      <w:pPr>
        <w:pStyle w:val="Paragrafi0"/>
      </w:pPr>
      <w:r>
        <w:t>3. shpenzimet në lidhje me transportin, magazinimin, ruajtjen e sendeve të sekuestruara dhe shpenzime të tjera në lidhje me ruajtjen e pasurisë;</w:t>
      </w:r>
    </w:p>
    <w:p w:rsidR="00235FB8" w:rsidRDefault="00235FB8" w:rsidP="00235FB8">
      <w:pPr>
        <w:pStyle w:val="Paragrafi0"/>
      </w:pPr>
      <w:r>
        <w:t>4. shpenzimet në lidhje me hapjen, inventarizimin, mbylljen, lëvizjen, prishjen dhe pastrimin e ambienteve ose subjekteve të tjera në proces ekzekutimi;</w:t>
      </w:r>
    </w:p>
    <w:p w:rsidR="00235FB8" w:rsidRDefault="00235FB8" w:rsidP="00235FB8">
      <w:pPr>
        <w:pStyle w:val="Paragrafi0"/>
      </w:pPr>
      <w:r>
        <w:t>5. shpenzimet në lidhje me praninë e detyruar të debitorit;</w:t>
      </w:r>
    </w:p>
    <w:p w:rsidR="00235FB8" w:rsidRDefault="00235FB8" w:rsidP="00235FB8">
      <w:pPr>
        <w:pStyle w:val="Paragrafi0"/>
      </w:pPr>
      <w:r>
        <w:t>6. shpenzimet e organizimit të ankandit, duke përfshirë shpenzimet në lidhje me pagesën e çmimit të blerjes.</w:t>
      </w:r>
    </w:p>
    <w:p w:rsidR="00235FB8" w:rsidRDefault="00235FB8" w:rsidP="00235FB8">
      <w:pPr>
        <w:pStyle w:val="Paragrafi0"/>
      </w:pPr>
      <w:r>
        <w:t>Shpenzimet e ndihmës ligjore të përdorura nga subjekti përmbarimor ose paditësi, me qëllim zgjidhjen e çështjeve ligjore, që kanë dalë me fillimin e procedurës përmbarimore ose gjatë gjykimit, nuk janë konsideruar të jenë shpenzime të nevojshme. Shpenzimet e menaxhimit të zyrës së subjektit përmbarimor nuk konsiderohen të jenë shpenzime të nevojshme.</w:t>
      </w:r>
    </w:p>
    <w:p w:rsidR="00235FB8" w:rsidRDefault="00235FB8" w:rsidP="00235FB8">
      <w:pPr>
        <w:pStyle w:val="Paragrafi0"/>
      </w:pPr>
      <w:r>
        <w:t>IV. Personat që duhet të paguajnë tarifën e subjektit përmbarues</w:t>
      </w:r>
    </w:p>
    <w:p w:rsidR="00235FB8" w:rsidRDefault="00235FB8" w:rsidP="00235FB8">
      <w:pPr>
        <w:pStyle w:val="Paragrafi0"/>
      </w:pPr>
      <w:r>
        <w:t>1. Debitori, ndaj të cilit ka filluar procedura e ekzekutimit të urdhrit të ekzekutimit, detyrohet t’i paguajë tarifën subjektit përmbarimor në përfundim të procesit të ekzekutimit. Në rastet e ekzekutimeve të pasuksesshme, personi përgjegjës për pagimin e tarifës është kreditori.</w:t>
      </w:r>
    </w:p>
    <w:p w:rsidR="00235FB8" w:rsidRDefault="00235FB8" w:rsidP="00235FB8">
      <w:pPr>
        <w:pStyle w:val="Paragrafi0"/>
      </w:pPr>
      <w:r>
        <w:t>2. Debitori solidar është në mënyrë solidare përgjegjës për pagesën e tarifës së subjektit përmbarues.</w:t>
      </w:r>
    </w:p>
    <w:p w:rsidR="00235FB8" w:rsidRDefault="00235FB8" w:rsidP="00235FB8">
      <w:pPr>
        <w:pStyle w:val="Paragrafi0"/>
      </w:pPr>
      <w:r>
        <w:t>3. Me kërkesë të një debitori ose kërkuesi, një subjekt përmbarues paraqet provë dokumentuese për kostot e përmbarimit.</w:t>
      </w:r>
    </w:p>
    <w:p w:rsidR="00235FB8" w:rsidRDefault="00235FB8" w:rsidP="00235FB8">
      <w:pPr>
        <w:pStyle w:val="Paragrafi0"/>
      </w:pPr>
      <w:r>
        <w:t>V. Mbledhja e tarifave përmbarimore</w:t>
      </w:r>
    </w:p>
    <w:p w:rsidR="00235FB8" w:rsidRDefault="00235FB8" w:rsidP="00235FB8">
      <w:pPr>
        <w:pStyle w:val="Paragrafi0"/>
      </w:pPr>
      <w:r>
        <w:t>1. Në rast të përmbushjes së detyrimeve financiare ose përmbushjes së detyrimeve jo financiare, tarifat mblidhen me përfundimin e veprimeve përmbarimore, përveç rasteve të parashikuara në ligj.</w:t>
      </w:r>
    </w:p>
    <w:p w:rsidR="00235FB8" w:rsidRDefault="00235FB8" w:rsidP="00235FB8">
      <w:pPr>
        <w:pStyle w:val="Paragrafi0"/>
      </w:pPr>
      <w:r>
        <w:t>2. Në rast të përmbushjes së detyrimit përpara përfundimit të afatit të ekzekutimit vullnetar, tarifa bazë e subjektit përmbarues, që është paguar nga debitori, kthehet në masën e gjysmës së shumës të parashikuar në këtë udhëzim.</w:t>
      </w:r>
    </w:p>
    <w:p w:rsidR="00235FB8" w:rsidRDefault="00235FB8" w:rsidP="00235FB8">
      <w:pPr>
        <w:pStyle w:val="Paragrafi0"/>
      </w:pPr>
      <w:r>
        <w:t>3. Nëse ky detyrim financiar, që i nënshtrohet ekzekutimit të detyrueshën mblidhet pjesërisht, subjekti përmbarues mund të mbledhë, si tarifë të tij/saj, vetëm një shumë proporcionale me vlerën e mbledhur të detyrimit.</w:t>
      </w:r>
    </w:p>
    <w:p w:rsidR="00235FB8" w:rsidRDefault="00235FB8" w:rsidP="00235FB8">
      <w:pPr>
        <w:pStyle w:val="Paragrafi0"/>
      </w:pPr>
      <w:r>
        <w:t>4. Tarifa shtesë për një veprim përmbarimor specifik mblidhet menjëherë pas kryerjes së veprimit përmbarimor, siç është parashikuar në nenin 48 të ligjit.</w:t>
      </w:r>
    </w:p>
    <w:p w:rsidR="00235FB8" w:rsidRDefault="00235FB8" w:rsidP="00235FB8">
      <w:pPr>
        <w:pStyle w:val="Paragrafi0"/>
      </w:pPr>
      <w:r>
        <w:t>VI. Parapagimi i tarifës përmbarimore</w:t>
      </w:r>
    </w:p>
    <w:p w:rsidR="00235FB8" w:rsidRDefault="00235FB8" w:rsidP="00235FB8">
      <w:pPr>
        <w:pStyle w:val="Paragrafi0"/>
      </w:pPr>
      <w:r>
        <w:t>1. Një subjekt përmbarues është i detyruar të marrë parapagim nga kreditori kërkuesi përpara procedurës së ekzekutimit, siç parashikohet në ligj. Nëse kreditori kërkuesi nuk parapaguan, një subjekti përmbarues nuk i lejohet të fillojë procedurën e ekzekutimit. Në këtë rast, subjekti përmbarues i kthen kreditorit (kërkuesit) menjëherë dokumentet ligjore të paraqitura prej tij.</w:t>
      </w:r>
    </w:p>
    <w:p w:rsidR="00235FB8" w:rsidRDefault="00235FB8" w:rsidP="00235FB8">
      <w:pPr>
        <w:pStyle w:val="Paragrafi0"/>
      </w:pPr>
      <w:r>
        <w:t>2. Parapagimi nuk kërkohet nga:</w:t>
      </w:r>
    </w:p>
    <w:p w:rsidR="00235FB8" w:rsidRDefault="00235FB8" w:rsidP="00235FB8">
      <w:pPr>
        <w:pStyle w:val="Paragrafi0"/>
      </w:pPr>
      <w:r>
        <w:t>a) një person fizik që paraqet për ekzekutim një vendim të marrë gjatë procedimit gjyqësor, ku personi fizik ka qenë plotësisht ose pjesërisht i çliruar nga pagesa për ndihmë juridike ose pagesa e një tarife shtetërore, për shkak të paaftësisë paguese;</w:t>
      </w:r>
    </w:p>
    <w:p w:rsidR="00235FB8" w:rsidRDefault="00235FB8" w:rsidP="00235FB8">
      <w:pPr>
        <w:pStyle w:val="Paragrafi0"/>
      </w:pPr>
      <w:r>
        <w:t>b) një person fizik që paraqet për ekzekutim një vendim të marrë gjatë procedimit penal me të cilin shlyhet një detyrim për kompensim të një dëmi të shkaktuar personit fizik në një vepër penale;</w:t>
      </w:r>
    </w:p>
    <w:p w:rsidR="00235FB8" w:rsidRDefault="00235FB8" w:rsidP="00235FB8">
      <w:pPr>
        <w:pStyle w:val="Paragrafi0"/>
      </w:pPr>
      <w:r>
        <w:t>c) një person fizik që paraqet për ekzekutim një pretendim për detyrim ushqimor.</w:t>
      </w:r>
    </w:p>
    <w:p w:rsidR="00235FB8" w:rsidRDefault="00235FB8" w:rsidP="00235FB8">
      <w:pPr>
        <w:pStyle w:val="Paragrafi0"/>
      </w:pPr>
      <w:r>
        <w:t>3. Nëse ka kreditorë të ndryshëm për vënien në ekzekutim të një urdhri ekzekutimi, ata parapaguajnë sipas marrëveshjes reciproke.</w:t>
      </w:r>
    </w:p>
    <w:p w:rsidR="00235FB8" w:rsidRDefault="00235FB8" w:rsidP="00235FB8">
      <w:pPr>
        <w:pStyle w:val="Paragrafi0"/>
      </w:pPr>
      <w:r>
        <w:t>VII. Procedura për marrjen dhe kthimin e parapagesës të tarifës për subjektin përmbarues</w:t>
      </w:r>
    </w:p>
    <w:p w:rsidR="00235FB8" w:rsidRDefault="00235FB8" w:rsidP="00235FB8">
      <w:pPr>
        <w:pStyle w:val="Paragrafi0"/>
      </w:pPr>
      <w:r>
        <w:t>1. Parapagimi i në tarife të subjektit përmbarues bëhet në llogarinë bankare zyrtare të një subjekti përmbarues. Një subjekt përmbarues i lëshon kreditorit një faturë për parapagesën, që përcakton të dhënat e dokumentit të ekzekutimit dhe emrin e debitorit.</w:t>
      </w:r>
    </w:p>
    <w:p w:rsidR="00235FB8" w:rsidRDefault="00235FB8" w:rsidP="00235FB8">
      <w:pPr>
        <w:pStyle w:val="Paragrafi0"/>
      </w:pPr>
      <w:r>
        <w:t>2. Nëse një tarifë e subjektit përmbarues mblidhet nga debitori plotësisht, subjekti përmbarues i kthen kreditorit parapagesën brenda dhjetë ditë pune pas marrjes së tarifës nga debitori.</w:t>
      </w:r>
    </w:p>
    <w:p w:rsidR="00235FB8" w:rsidRDefault="00235FB8" w:rsidP="00235FB8">
      <w:pPr>
        <w:pStyle w:val="Paragrafi0"/>
      </w:pPr>
      <w:r>
        <w:t>3. Nëse procedura e ekzekutimit përfundon pa shlyerjen e detyrimit ose debitori ka përmbushur pretendimin në lidhje me kreditorin në përputhje me kërkesat përpara se ai të paraqesë një ankesë te subjekti përmbarues, parapagesa nuk i kthehet kreditorit dhe subjekti përmbarues mban tarifën për mbulimin e kostove të procedurës së ekzekutimit. Kreditori informohet me shkrim nga subjekti përmbarues për refuzimin e kthimit të parapagesës.</w:t>
      </w:r>
    </w:p>
    <w:p w:rsidR="00235FB8" w:rsidRDefault="00235FB8" w:rsidP="00235FB8">
      <w:pPr>
        <w:pStyle w:val="Paragrafi0"/>
      </w:pPr>
      <w:r>
        <w:t>VIII. Tatimi mbi vlerën e shtuar</w:t>
      </w:r>
    </w:p>
    <w:p w:rsidR="00235FB8" w:rsidRPr="006B2B96" w:rsidRDefault="00235FB8" w:rsidP="00235FB8">
      <w:pPr>
        <w:pStyle w:val="Paragrafi0"/>
        <w:rPr>
          <w:szCs w:val="22"/>
        </w:rPr>
      </w:pPr>
      <w:r w:rsidRPr="006B2B96">
        <w:rPr>
          <w:szCs w:val="22"/>
        </w:rPr>
        <w:t>1.</w:t>
      </w:r>
      <w:r>
        <w:rPr>
          <w:szCs w:val="22"/>
        </w:rPr>
        <w:t xml:space="preserve"> </w:t>
      </w:r>
      <w:r w:rsidRPr="006B2B96">
        <w:rPr>
          <w:szCs w:val="22"/>
        </w:rPr>
        <w:t>Tatimi mbi vler</w:t>
      </w:r>
      <w:r>
        <w:rPr>
          <w:szCs w:val="22"/>
        </w:rPr>
        <w:t>ë</w:t>
      </w:r>
      <w:r w:rsidRPr="006B2B96">
        <w:rPr>
          <w:szCs w:val="22"/>
        </w:rPr>
        <w:t>n e shtuar i shtohet tarif</w:t>
      </w:r>
      <w:r>
        <w:rPr>
          <w:szCs w:val="22"/>
        </w:rPr>
        <w:t>ë</w:t>
      </w:r>
      <w:r w:rsidRPr="006B2B96">
        <w:rPr>
          <w:szCs w:val="22"/>
        </w:rPr>
        <w:t>s s</w:t>
      </w:r>
      <w:r>
        <w:rPr>
          <w:szCs w:val="22"/>
        </w:rPr>
        <w:t>ë</w:t>
      </w:r>
      <w:r w:rsidRPr="006B2B96">
        <w:rPr>
          <w:szCs w:val="22"/>
        </w:rPr>
        <w:t xml:space="preserve"> mbledhur nga nj</w:t>
      </w:r>
      <w:r>
        <w:rPr>
          <w:szCs w:val="22"/>
        </w:rPr>
        <w:t>ë</w:t>
      </w:r>
      <w:r w:rsidRPr="006B2B96">
        <w:rPr>
          <w:szCs w:val="22"/>
        </w:rPr>
        <w:t xml:space="preserve"> subjekt p</w:t>
      </w:r>
      <w:r>
        <w:rPr>
          <w:szCs w:val="22"/>
        </w:rPr>
        <w:t>ë</w:t>
      </w:r>
      <w:r w:rsidRPr="006B2B96">
        <w:rPr>
          <w:szCs w:val="22"/>
        </w:rPr>
        <w:t>rmbarues privat.</w:t>
      </w:r>
    </w:p>
    <w:p w:rsidR="00235FB8" w:rsidRPr="006B2B96" w:rsidRDefault="00235FB8" w:rsidP="00235FB8">
      <w:pPr>
        <w:pStyle w:val="Paragrafi0"/>
        <w:rPr>
          <w:szCs w:val="22"/>
        </w:rPr>
      </w:pPr>
      <w:r w:rsidRPr="006B2B96">
        <w:rPr>
          <w:szCs w:val="22"/>
        </w:rPr>
        <w:t>2.</w:t>
      </w:r>
      <w:r>
        <w:rPr>
          <w:szCs w:val="22"/>
        </w:rPr>
        <w:t xml:space="preserve"> </w:t>
      </w:r>
      <w:r w:rsidRPr="006B2B96">
        <w:rPr>
          <w:szCs w:val="22"/>
        </w:rPr>
        <w:t>Tarifat p</w:t>
      </w:r>
      <w:r>
        <w:rPr>
          <w:szCs w:val="22"/>
        </w:rPr>
        <w:t>ë</w:t>
      </w:r>
      <w:r w:rsidRPr="006B2B96">
        <w:rPr>
          <w:szCs w:val="22"/>
        </w:rPr>
        <w:t>rmbarimore i n</w:t>
      </w:r>
      <w:r>
        <w:rPr>
          <w:szCs w:val="22"/>
        </w:rPr>
        <w:t>ë</w:t>
      </w:r>
      <w:r w:rsidRPr="006B2B96">
        <w:rPr>
          <w:szCs w:val="22"/>
        </w:rPr>
        <w:t>nshtrohen ligjit nr.9975, dat</w:t>
      </w:r>
      <w:r>
        <w:rPr>
          <w:szCs w:val="22"/>
        </w:rPr>
        <w:t>ë</w:t>
      </w:r>
      <w:r w:rsidRPr="006B2B96">
        <w:rPr>
          <w:szCs w:val="22"/>
        </w:rPr>
        <w:t xml:space="preserve"> 28.7.2008 “P</w:t>
      </w:r>
      <w:r>
        <w:rPr>
          <w:szCs w:val="22"/>
        </w:rPr>
        <w:t>ë</w:t>
      </w:r>
      <w:r w:rsidRPr="006B2B96">
        <w:rPr>
          <w:szCs w:val="22"/>
        </w:rPr>
        <w:t>r taksat komb</w:t>
      </w:r>
      <w:r>
        <w:rPr>
          <w:szCs w:val="22"/>
        </w:rPr>
        <w:t>ë</w:t>
      </w:r>
      <w:r w:rsidRPr="006B2B96">
        <w:rPr>
          <w:szCs w:val="22"/>
        </w:rPr>
        <w:t>tare”.</w:t>
      </w:r>
    </w:p>
    <w:p w:rsidR="00235FB8" w:rsidRDefault="00235FB8" w:rsidP="00235FB8">
      <w:pPr>
        <w:pStyle w:val="Paragrafi0"/>
        <w:rPr>
          <w:szCs w:val="22"/>
        </w:rPr>
      </w:pPr>
      <w:r w:rsidRPr="006B2B96">
        <w:rPr>
          <w:szCs w:val="22"/>
        </w:rPr>
        <w:t>IX.</w:t>
      </w:r>
      <w:r>
        <w:rPr>
          <w:szCs w:val="22"/>
        </w:rPr>
        <w:t xml:space="preserve"> </w:t>
      </w:r>
      <w:r w:rsidRPr="006B2B96">
        <w:rPr>
          <w:szCs w:val="22"/>
        </w:rPr>
        <w:t>Normat e tarifave q</w:t>
      </w:r>
      <w:r>
        <w:rPr>
          <w:szCs w:val="22"/>
        </w:rPr>
        <w:t>ë</w:t>
      </w:r>
      <w:r w:rsidRPr="006B2B96">
        <w:rPr>
          <w:szCs w:val="22"/>
        </w:rPr>
        <w:t xml:space="preserve"> duhen paguar bazuar n</w:t>
      </w:r>
      <w:r>
        <w:rPr>
          <w:szCs w:val="22"/>
        </w:rPr>
        <w:t>ë</w:t>
      </w:r>
      <w:r w:rsidRPr="006B2B96">
        <w:rPr>
          <w:szCs w:val="22"/>
        </w:rPr>
        <w:t xml:space="preserve"> vler</w:t>
      </w:r>
      <w:r>
        <w:rPr>
          <w:szCs w:val="22"/>
        </w:rPr>
        <w:t>ë</w:t>
      </w:r>
      <w:r w:rsidRPr="006B2B96">
        <w:rPr>
          <w:szCs w:val="22"/>
        </w:rPr>
        <w:t>n e padis</w:t>
      </w:r>
      <w:r>
        <w:rPr>
          <w:szCs w:val="22"/>
        </w:rPr>
        <w:t>ë</w:t>
      </w:r>
    </w:p>
    <w:p w:rsidR="00235FB8" w:rsidRDefault="00235FB8" w:rsidP="00235FB8">
      <w:pPr>
        <w:pStyle w:val="Paragrafi0"/>
        <w:rPr>
          <w:szCs w:val="22"/>
        </w:rPr>
      </w:pPr>
      <w:r>
        <w:rPr>
          <w:szCs w:val="22"/>
        </w:rPr>
        <w:t>1. Nëse urdhri i ekzekutimit për pagesën nga debitori të një shume deri në 500 000 lekë për kreditorin dorëzohet për ekzekutim, parapagesa e tarifës të subjektit përmbarues llogaritet sipas vlerës së detyrimit dhe normës së tarifës së subjektit përmbarues, të përcaktuar në tabelën e mëposhtme:</w:t>
      </w:r>
    </w:p>
    <w:p w:rsidR="00235FB8" w:rsidRDefault="00235FB8" w:rsidP="00235FB8">
      <w:pPr>
        <w:pStyle w:val="Paragrafi0"/>
        <w:rPr>
          <w:szCs w:val="22"/>
        </w:rPr>
      </w:pPr>
    </w:p>
    <w:p w:rsidR="00235FB8" w:rsidRDefault="00235FB8" w:rsidP="00235FB8">
      <w:pPr>
        <w:pStyle w:val="Paragrafi0"/>
        <w:rPr>
          <w:szCs w:val="22"/>
        </w:rPr>
      </w:pPr>
    </w:p>
    <w:p w:rsidR="00235FB8" w:rsidRDefault="00235FB8" w:rsidP="00235FB8">
      <w:pPr>
        <w:pStyle w:val="Paragrafi0"/>
        <w:rPr>
          <w:szCs w:val="22"/>
        </w:rPr>
      </w:pPr>
    </w:p>
    <w:p w:rsidR="00235FB8" w:rsidRDefault="00235FB8" w:rsidP="00235FB8">
      <w:pPr>
        <w:pStyle w:val="Paragrafi0"/>
        <w:rPr>
          <w:szCs w:val="22"/>
        </w:rPr>
      </w:pPr>
    </w:p>
    <w:tbl>
      <w:tblPr>
        <w:tblStyle w:val="TableGrid"/>
        <w:tblW w:w="0" w:type="auto"/>
        <w:jc w:val="center"/>
        <w:tblLook w:val="01E0" w:firstRow="1" w:lastRow="1" w:firstColumn="1" w:lastColumn="1" w:noHBand="0" w:noVBand="0"/>
      </w:tblPr>
      <w:tblGrid>
        <w:gridCol w:w="2875"/>
        <w:gridCol w:w="2741"/>
        <w:gridCol w:w="3240"/>
      </w:tblGrid>
      <w:tr w:rsidR="00235FB8" w:rsidRPr="0024768B" w:rsidTr="00235FB8">
        <w:trPr>
          <w:jc w:val="center"/>
        </w:trPr>
        <w:tc>
          <w:tcPr>
            <w:tcW w:w="0" w:type="auto"/>
          </w:tcPr>
          <w:p w:rsidR="00235FB8" w:rsidRPr="0024768B" w:rsidRDefault="00235FB8" w:rsidP="00235FB8">
            <w:pPr>
              <w:pStyle w:val="Tabele"/>
              <w:widowControl w:val="0"/>
              <w:jc w:val="center"/>
            </w:pPr>
            <w:r w:rsidRPr="0024768B">
              <w:t>Vlera e padisë për pagesë deri në…lekë</w:t>
            </w:r>
          </w:p>
        </w:tc>
        <w:tc>
          <w:tcPr>
            <w:tcW w:w="2741" w:type="dxa"/>
          </w:tcPr>
          <w:p w:rsidR="00235FB8" w:rsidRPr="0024768B" w:rsidRDefault="00235FB8" w:rsidP="00235FB8">
            <w:pPr>
              <w:pStyle w:val="Tabele"/>
              <w:widowControl w:val="0"/>
              <w:jc w:val="center"/>
            </w:pPr>
            <w:r w:rsidRPr="0024768B">
              <w:t xml:space="preserve">Norma e tarifës së subjektit përmbarues në lekë. </w:t>
            </w:r>
          </w:p>
          <w:p w:rsidR="00235FB8" w:rsidRPr="0024768B" w:rsidRDefault="00235FB8" w:rsidP="00235FB8">
            <w:pPr>
              <w:pStyle w:val="Tabele"/>
              <w:widowControl w:val="0"/>
              <w:jc w:val="center"/>
            </w:pPr>
            <w:r w:rsidRPr="0024768B">
              <w:t>Tarifa bazë</w:t>
            </w:r>
          </w:p>
        </w:tc>
        <w:tc>
          <w:tcPr>
            <w:tcW w:w="3240" w:type="dxa"/>
          </w:tcPr>
          <w:p w:rsidR="00235FB8" w:rsidRPr="0024768B" w:rsidRDefault="00235FB8" w:rsidP="00235FB8">
            <w:pPr>
              <w:pStyle w:val="Tabele"/>
              <w:widowControl w:val="0"/>
              <w:jc w:val="center"/>
            </w:pPr>
            <w:r w:rsidRPr="0024768B">
              <w:t>Parapagesa e tarifës së subjektit përmbarues në lekë.</w:t>
            </w:r>
          </w:p>
          <w:p w:rsidR="00235FB8" w:rsidRPr="0024768B" w:rsidRDefault="00235FB8" w:rsidP="00235FB8">
            <w:pPr>
              <w:pStyle w:val="Tabele"/>
              <w:widowControl w:val="0"/>
              <w:jc w:val="center"/>
            </w:pPr>
            <w:r w:rsidRPr="0024768B">
              <w:t>Tarifa për veprime procedurale</w:t>
            </w:r>
          </w:p>
        </w:tc>
      </w:tr>
      <w:tr w:rsidR="00235FB8" w:rsidTr="00235FB8">
        <w:trPr>
          <w:jc w:val="center"/>
        </w:trPr>
        <w:tc>
          <w:tcPr>
            <w:tcW w:w="0" w:type="auto"/>
          </w:tcPr>
          <w:p w:rsidR="00235FB8" w:rsidRDefault="00235FB8" w:rsidP="00235FB8">
            <w:pPr>
              <w:pStyle w:val="Tabele"/>
              <w:widowControl w:val="0"/>
            </w:pPr>
            <w:r>
              <w:t>10 000</w:t>
            </w:r>
          </w:p>
        </w:tc>
        <w:tc>
          <w:tcPr>
            <w:tcW w:w="2741" w:type="dxa"/>
          </w:tcPr>
          <w:p w:rsidR="00235FB8" w:rsidRDefault="00235FB8" w:rsidP="00235FB8">
            <w:pPr>
              <w:pStyle w:val="Tabele"/>
              <w:widowControl w:val="0"/>
              <w:jc w:val="center"/>
            </w:pPr>
            <w:r>
              <w:t>6000</w:t>
            </w:r>
          </w:p>
        </w:tc>
        <w:tc>
          <w:tcPr>
            <w:tcW w:w="3240" w:type="dxa"/>
          </w:tcPr>
          <w:p w:rsidR="00235FB8" w:rsidRDefault="00235FB8" w:rsidP="00235FB8">
            <w:pPr>
              <w:pStyle w:val="Tabele"/>
              <w:widowControl w:val="0"/>
              <w:jc w:val="center"/>
            </w:pPr>
            <w:r>
              <w:t>5000</w:t>
            </w:r>
          </w:p>
        </w:tc>
      </w:tr>
      <w:tr w:rsidR="00235FB8" w:rsidTr="00235FB8">
        <w:trPr>
          <w:jc w:val="center"/>
        </w:trPr>
        <w:tc>
          <w:tcPr>
            <w:tcW w:w="0" w:type="auto"/>
          </w:tcPr>
          <w:p w:rsidR="00235FB8" w:rsidRDefault="00235FB8" w:rsidP="00235FB8">
            <w:pPr>
              <w:pStyle w:val="Tabele"/>
              <w:widowControl w:val="0"/>
            </w:pPr>
            <w:r>
              <w:t>20 000</w:t>
            </w:r>
          </w:p>
        </w:tc>
        <w:tc>
          <w:tcPr>
            <w:tcW w:w="2741" w:type="dxa"/>
          </w:tcPr>
          <w:p w:rsidR="00235FB8" w:rsidRDefault="00235FB8" w:rsidP="00235FB8">
            <w:pPr>
              <w:pStyle w:val="Tabele"/>
              <w:widowControl w:val="0"/>
              <w:jc w:val="center"/>
            </w:pPr>
            <w:r>
              <w:t>7000</w:t>
            </w:r>
          </w:p>
        </w:tc>
        <w:tc>
          <w:tcPr>
            <w:tcW w:w="3240" w:type="dxa"/>
          </w:tcPr>
          <w:p w:rsidR="00235FB8" w:rsidRDefault="00235FB8" w:rsidP="00235FB8">
            <w:pPr>
              <w:pStyle w:val="Tabele"/>
              <w:widowControl w:val="0"/>
              <w:jc w:val="center"/>
            </w:pPr>
            <w:r>
              <w:t>5200</w:t>
            </w:r>
          </w:p>
        </w:tc>
      </w:tr>
      <w:tr w:rsidR="00235FB8" w:rsidTr="00235FB8">
        <w:trPr>
          <w:jc w:val="center"/>
        </w:trPr>
        <w:tc>
          <w:tcPr>
            <w:tcW w:w="0" w:type="auto"/>
          </w:tcPr>
          <w:p w:rsidR="00235FB8" w:rsidRDefault="00235FB8" w:rsidP="00235FB8">
            <w:pPr>
              <w:pStyle w:val="Tabele"/>
              <w:widowControl w:val="0"/>
            </w:pPr>
            <w:r>
              <w:t>30 000</w:t>
            </w:r>
          </w:p>
        </w:tc>
        <w:tc>
          <w:tcPr>
            <w:tcW w:w="2741" w:type="dxa"/>
          </w:tcPr>
          <w:p w:rsidR="00235FB8" w:rsidRDefault="00235FB8" w:rsidP="00235FB8">
            <w:pPr>
              <w:pStyle w:val="Tabele"/>
              <w:widowControl w:val="0"/>
              <w:jc w:val="center"/>
            </w:pPr>
            <w:r>
              <w:t>8000</w:t>
            </w:r>
          </w:p>
        </w:tc>
        <w:tc>
          <w:tcPr>
            <w:tcW w:w="3240" w:type="dxa"/>
          </w:tcPr>
          <w:p w:rsidR="00235FB8" w:rsidRDefault="00235FB8" w:rsidP="00235FB8">
            <w:pPr>
              <w:pStyle w:val="Tabele"/>
              <w:widowControl w:val="0"/>
              <w:jc w:val="center"/>
            </w:pPr>
            <w:r>
              <w:t>5300</w:t>
            </w:r>
          </w:p>
        </w:tc>
      </w:tr>
      <w:tr w:rsidR="00235FB8" w:rsidTr="00235FB8">
        <w:trPr>
          <w:jc w:val="center"/>
        </w:trPr>
        <w:tc>
          <w:tcPr>
            <w:tcW w:w="0" w:type="auto"/>
          </w:tcPr>
          <w:p w:rsidR="00235FB8" w:rsidRDefault="00235FB8" w:rsidP="00235FB8">
            <w:pPr>
              <w:pStyle w:val="Tabele"/>
              <w:widowControl w:val="0"/>
            </w:pPr>
            <w:r>
              <w:t>40 000</w:t>
            </w:r>
          </w:p>
        </w:tc>
        <w:tc>
          <w:tcPr>
            <w:tcW w:w="2741" w:type="dxa"/>
          </w:tcPr>
          <w:p w:rsidR="00235FB8" w:rsidRDefault="00235FB8" w:rsidP="00235FB8">
            <w:pPr>
              <w:pStyle w:val="Tabele"/>
              <w:widowControl w:val="0"/>
              <w:jc w:val="center"/>
            </w:pPr>
            <w:r>
              <w:t>9000</w:t>
            </w:r>
          </w:p>
        </w:tc>
        <w:tc>
          <w:tcPr>
            <w:tcW w:w="3240" w:type="dxa"/>
          </w:tcPr>
          <w:p w:rsidR="00235FB8" w:rsidRDefault="00235FB8" w:rsidP="00235FB8">
            <w:pPr>
              <w:pStyle w:val="Tabele"/>
              <w:widowControl w:val="0"/>
              <w:jc w:val="center"/>
            </w:pPr>
            <w:r>
              <w:t>5400</w:t>
            </w:r>
          </w:p>
        </w:tc>
      </w:tr>
      <w:tr w:rsidR="00235FB8" w:rsidTr="00235FB8">
        <w:trPr>
          <w:jc w:val="center"/>
        </w:trPr>
        <w:tc>
          <w:tcPr>
            <w:tcW w:w="0" w:type="auto"/>
          </w:tcPr>
          <w:p w:rsidR="00235FB8" w:rsidRDefault="00235FB8" w:rsidP="00235FB8">
            <w:pPr>
              <w:pStyle w:val="Tabele"/>
              <w:widowControl w:val="0"/>
            </w:pPr>
            <w:r>
              <w:t>50 000</w:t>
            </w:r>
          </w:p>
        </w:tc>
        <w:tc>
          <w:tcPr>
            <w:tcW w:w="2741" w:type="dxa"/>
          </w:tcPr>
          <w:p w:rsidR="00235FB8" w:rsidRDefault="00235FB8" w:rsidP="00235FB8">
            <w:pPr>
              <w:pStyle w:val="Tabele"/>
              <w:widowControl w:val="0"/>
              <w:jc w:val="center"/>
            </w:pPr>
            <w:r>
              <w:t>10 000</w:t>
            </w:r>
          </w:p>
        </w:tc>
        <w:tc>
          <w:tcPr>
            <w:tcW w:w="3240" w:type="dxa"/>
          </w:tcPr>
          <w:p w:rsidR="00235FB8" w:rsidRDefault="00235FB8" w:rsidP="00235FB8">
            <w:pPr>
              <w:pStyle w:val="Tabele"/>
              <w:widowControl w:val="0"/>
              <w:jc w:val="center"/>
            </w:pPr>
            <w:r>
              <w:t>5500</w:t>
            </w:r>
          </w:p>
        </w:tc>
      </w:tr>
      <w:tr w:rsidR="00235FB8" w:rsidTr="00235FB8">
        <w:trPr>
          <w:jc w:val="center"/>
        </w:trPr>
        <w:tc>
          <w:tcPr>
            <w:tcW w:w="0" w:type="auto"/>
          </w:tcPr>
          <w:p w:rsidR="00235FB8" w:rsidRDefault="00235FB8" w:rsidP="00235FB8">
            <w:pPr>
              <w:pStyle w:val="Tabele"/>
              <w:widowControl w:val="0"/>
            </w:pPr>
            <w:r>
              <w:t>60 000</w:t>
            </w:r>
          </w:p>
        </w:tc>
        <w:tc>
          <w:tcPr>
            <w:tcW w:w="2741" w:type="dxa"/>
          </w:tcPr>
          <w:p w:rsidR="00235FB8" w:rsidRDefault="00235FB8" w:rsidP="00235FB8">
            <w:pPr>
              <w:pStyle w:val="Tabele"/>
              <w:widowControl w:val="0"/>
              <w:jc w:val="center"/>
            </w:pPr>
            <w:r>
              <w:t>11 000</w:t>
            </w:r>
          </w:p>
        </w:tc>
        <w:tc>
          <w:tcPr>
            <w:tcW w:w="3240" w:type="dxa"/>
          </w:tcPr>
          <w:p w:rsidR="00235FB8" w:rsidRDefault="00235FB8" w:rsidP="00235FB8">
            <w:pPr>
              <w:pStyle w:val="Tabele"/>
              <w:widowControl w:val="0"/>
              <w:jc w:val="center"/>
            </w:pPr>
            <w:r>
              <w:t>5600</w:t>
            </w:r>
          </w:p>
        </w:tc>
      </w:tr>
      <w:tr w:rsidR="00235FB8" w:rsidTr="00235FB8">
        <w:trPr>
          <w:jc w:val="center"/>
        </w:trPr>
        <w:tc>
          <w:tcPr>
            <w:tcW w:w="0" w:type="auto"/>
          </w:tcPr>
          <w:p w:rsidR="00235FB8" w:rsidRDefault="00235FB8" w:rsidP="00235FB8">
            <w:pPr>
              <w:pStyle w:val="Tabele"/>
              <w:widowControl w:val="0"/>
            </w:pPr>
            <w:r>
              <w:t>70 000</w:t>
            </w:r>
          </w:p>
        </w:tc>
        <w:tc>
          <w:tcPr>
            <w:tcW w:w="2741" w:type="dxa"/>
          </w:tcPr>
          <w:p w:rsidR="00235FB8" w:rsidRDefault="00235FB8" w:rsidP="00235FB8">
            <w:pPr>
              <w:pStyle w:val="Tabele"/>
              <w:widowControl w:val="0"/>
              <w:jc w:val="center"/>
            </w:pPr>
            <w:r>
              <w:t>12 000</w:t>
            </w:r>
          </w:p>
        </w:tc>
        <w:tc>
          <w:tcPr>
            <w:tcW w:w="3240" w:type="dxa"/>
          </w:tcPr>
          <w:p w:rsidR="00235FB8" w:rsidRDefault="00235FB8" w:rsidP="00235FB8">
            <w:pPr>
              <w:pStyle w:val="Tabele"/>
              <w:widowControl w:val="0"/>
              <w:jc w:val="center"/>
            </w:pPr>
            <w:r>
              <w:t>5700</w:t>
            </w:r>
          </w:p>
        </w:tc>
      </w:tr>
      <w:tr w:rsidR="00235FB8" w:rsidTr="00235FB8">
        <w:trPr>
          <w:jc w:val="center"/>
        </w:trPr>
        <w:tc>
          <w:tcPr>
            <w:tcW w:w="0" w:type="auto"/>
          </w:tcPr>
          <w:p w:rsidR="00235FB8" w:rsidRDefault="00235FB8" w:rsidP="00235FB8">
            <w:pPr>
              <w:pStyle w:val="Tabele"/>
              <w:widowControl w:val="0"/>
            </w:pPr>
            <w:r>
              <w:t>80 000</w:t>
            </w:r>
          </w:p>
        </w:tc>
        <w:tc>
          <w:tcPr>
            <w:tcW w:w="2741" w:type="dxa"/>
          </w:tcPr>
          <w:p w:rsidR="00235FB8" w:rsidRDefault="00235FB8" w:rsidP="00235FB8">
            <w:pPr>
              <w:pStyle w:val="Tabele"/>
              <w:widowControl w:val="0"/>
              <w:jc w:val="center"/>
            </w:pPr>
            <w:r>
              <w:t>13 000</w:t>
            </w:r>
          </w:p>
        </w:tc>
        <w:tc>
          <w:tcPr>
            <w:tcW w:w="3240" w:type="dxa"/>
          </w:tcPr>
          <w:p w:rsidR="00235FB8" w:rsidRDefault="00235FB8" w:rsidP="00235FB8">
            <w:pPr>
              <w:pStyle w:val="Tabele"/>
              <w:widowControl w:val="0"/>
              <w:jc w:val="center"/>
            </w:pPr>
            <w:r>
              <w:t>5800</w:t>
            </w:r>
          </w:p>
        </w:tc>
      </w:tr>
      <w:tr w:rsidR="00235FB8" w:rsidTr="00235FB8">
        <w:trPr>
          <w:jc w:val="center"/>
        </w:trPr>
        <w:tc>
          <w:tcPr>
            <w:tcW w:w="0" w:type="auto"/>
          </w:tcPr>
          <w:p w:rsidR="00235FB8" w:rsidRDefault="00235FB8" w:rsidP="00235FB8">
            <w:pPr>
              <w:pStyle w:val="Tabele"/>
              <w:widowControl w:val="0"/>
            </w:pPr>
            <w:r>
              <w:t>90 000</w:t>
            </w:r>
          </w:p>
        </w:tc>
        <w:tc>
          <w:tcPr>
            <w:tcW w:w="2741" w:type="dxa"/>
          </w:tcPr>
          <w:p w:rsidR="00235FB8" w:rsidRDefault="00235FB8" w:rsidP="00235FB8">
            <w:pPr>
              <w:pStyle w:val="Tabele"/>
              <w:widowControl w:val="0"/>
              <w:jc w:val="center"/>
            </w:pPr>
            <w:r>
              <w:t>14 000</w:t>
            </w:r>
          </w:p>
        </w:tc>
        <w:tc>
          <w:tcPr>
            <w:tcW w:w="3240" w:type="dxa"/>
          </w:tcPr>
          <w:p w:rsidR="00235FB8" w:rsidRDefault="00235FB8" w:rsidP="00235FB8">
            <w:pPr>
              <w:pStyle w:val="Tabele"/>
              <w:widowControl w:val="0"/>
              <w:jc w:val="center"/>
            </w:pPr>
            <w:r>
              <w:t>5900</w:t>
            </w:r>
          </w:p>
        </w:tc>
      </w:tr>
      <w:tr w:rsidR="00235FB8" w:rsidTr="00235FB8">
        <w:trPr>
          <w:jc w:val="center"/>
        </w:trPr>
        <w:tc>
          <w:tcPr>
            <w:tcW w:w="0" w:type="auto"/>
          </w:tcPr>
          <w:p w:rsidR="00235FB8" w:rsidRDefault="00235FB8" w:rsidP="00235FB8">
            <w:pPr>
              <w:pStyle w:val="Tabele"/>
              <w:widowControl w:val="0"/>
            </w:pPr>
            <w:r>
              <w:t>100 000</w:t>
            </w:r>
          </w:p>
        </w:tc>
        <w:tc>
          <w:tcPr>
            <w:tcW w:w="2741" w:type="dxa"/>
          </w:tcPr>
          <w:p w:rsidR="00235FB8" w:rsidRDefault="00235FB8" w:rsidP="00235FB8">
            <w:pPr>
              <w:pStyle w:val="Tabele"/>
              <w:widowControl w:val="0"/>
              <w:jc w:val="center"/>
            </w:pPr>
            <w:r>
              <w:t>15 000</w:t>
            </w:r>
          </w:p>
        </w:tc>
        <w:tc>
          <w:tcPr>
            <w:tcW w:w="3240" w:type="dxa"/>
          </w:tcPr>
          <w:p w:rsidR="00235FB8" w:rsidRDefault="00235FB8" w:rsidP="00235FB8">
            <w:pPr>
              <w:pStyle w:val="Tabele"/>
              <w:widowControl w:val="0"/>
              <w:jc w:val="center"/>
            </w:pPr>
            <w:r>
              <w:t>6000</w:t>
            </w:r>
          </w:p>
        </w:tc>
      </w:tr>
      <w:tr w:rsidR="00235FB8" w:rsidTr="00235FB8">
        <w:trPr>
          <w:jc w:val="center"/>
        </w:trPr>
        <w:tc>
          <w:tcPr>
            <w:tcW w:w="0" w:type="auto"/>
          </w:tcPr>
          <w:p w:rsidR="00235FB8" w:rsidRDefault="00235FB8" w:rsidP="00235FB8">
            <w:pPr>
              <w:pStyle w:val="Tabele"/>
              <w:widowControl w:val="0"/>
            </w:pPr>
            <w:r>
              <w:t>150 000</w:t>
            </w:r>
          </w:p>
        </w:tc>
        <w:tc>
          <w:tcPr>
            <w:tcW w:w="2741" w:type="dxa"/>
          </w:tcPr>
          <w:p w:rsidR="00235FB8" w:rsidRDefault="00235FB8" w:rsidP="00235FB8">
            <w:pPr>
              <w:pStyle w:val="Tabele"/>
              <w:widowControl w:val="0"/>
              <w:jc w:val="center"/>
            </w:pPr>
            <w:r>
              <w:t>17 000</w:t>
            </w:r>
          </w:p>
        </w:tc>
        <w:tc>
          <w:tcPr>
            <w:tcW w:w="3240" w:type="dxa"/>
          </w:tcPr>
          <w:p w:rsidR="00235FB8" w:rsidRDefault="00235FB8" w:rsidP="00235FB8">
            <w:pPr>
              <w:pStyle w:val="Tabele"/>
              <w:widowControl w:val="0"/>
              <w:jc w:val="center"/>
            </w:pPr>
            <w:r>
              <w:t>6500</w:t>
            </w:r>
          </w:p>
        </w:tc>
      </w:tr>
      <w:tr w:rsidR="00235FB8" w:rsidTr="00235FB8">
        <w:trPr>
          <w:jc w:val="center"/>
        </w:trPr>
        <w:tc>
          <w:tcPr>
            <w:tcW w:w="0" w:type="auto"/>
          </w:tcPr>
          <w:p w:rsidR="00235FB8" w:rsidRDefault="00235FB8" w:rsidP="00235FB8">
            <w:pPr>
              <w:pStyle w:val="Tabele"/>
              <w:widowControl w:val="0"/>
            </w:pPr>
            <w:r>
              <w:t>200 000</w:t>
            </w:r>
          </w:p>
        </w:tc>
        <w:tc>
          <w:tcPr>
            <w:tcW w:w="2741" w:type="dxa"/>
          </w:tcPr>
          <w:p w:rsidR="00235FB8" w:rsidRDefault="00235FB8" w:rsidP="00235FB8">
            <w:pPr>
              <w:pStyle w:val="Tabele"/>
              <w:widowControl w:val="0"/>
              <w:jc w:val="center"/>
            </w:pPr>
            <w:r>
              <w:t>18 000</w:t>
            </w:r>
          </w:p>
        </w:tc>
        <w:tc>
          <w:tcPr>
            <w:tcW w:w="3240" w:type="dxa"/>
          </w:tcPr>
          <w:p w:rsidR="00235FB8" w:rsidRDefault="00235FB8" w:rsidP="00235FB8">
            <w:pPr>
              <w:pStyle w:val="Tabele"/>
              <w:widowControl w:val="0"/>
              <w:jc w:val="center"/>
            </w:pPr>
            <w:r>
              <w:t>7000</w:t>
            </w:r>
          </w:p>
        </w:tc>
      </w:tr>
      <w:tr w:rsidR="00235FB8" w:rsidTr="00235FB8">
        <w:trPr>
          <w:jc w:val="center"/>
        </w:trPr>
        <w:tc>
          <w:tcPr>
            <w:tcW w:w="0" w:type="auto"/>
          </w:tcPr>
          <w:p w:rsidR="00235FB8" w:rsidRDefault="00235FB8" w:rsidP="00235FB8">
            <w:pPr>
              <w:pStyle w:val="Tabele"/>
              <w:widowControl w:val="0"/>
            </w:pPr>
            <w:r>
              <w:t>250 000</w:t>
            </w:r>
          </w:p>
        </w:tc>
        <w:tc>
          <w:tcPr>
            <w:tcW w:w="2741" w:type="dxa"/>
          </w:tcPr>
          <w:p w:rsidR="00235FB8" w:rsidRDefault="00235FB8" w:rsidP="00235FB8">
            <w:pPr>
              <w:pStyle w:val="Tabele"/>
              <w:widowControl w:val="0"/>
              <w:jc w:val="center"/>
            </w:pPr>
            <w:r>
              <w:t>20 000</w:t>
            </w:r>
          </w:p>
        </w:tc>
        <w:tc>
          <w:tcPr>
            <w:tcW w:w="3240" w:type="dxa"/>
          </w:tcPr>
          <w:p w:rsidR="00235FB8" w:rsidRDefault="00235FB8" w:rsidP="00235FB8">
            <w:pPr>
              <w:pStyle w:val="Tabele"/>
              <w:widowControl w:val="0"/>
              <w:jc w:val="center"/>
            </w:pPr>
            <w:r>
              <w:t>7500</w:t>
            </w:r>
          </w:p>
        </w:tc>
      </w:tr>
      <w:tr w:rsidR="00235FB8" w:rsidTr="00235FB8">
        <w:trPr>
          <w:jc w:val="center"/>
        </w:trPr>
        <w:tc>
          <w:tcPr>
            <w:tcW w:w="0" w:type="auto"/>
          </w:tcPr>
          <w:p w:rsidR="00235FB8" w:rsidRDefault="00235FB8" w:rsidP="00235FB8">
            <w:pPr>
              <w:pStyle w:val="Tabele"/>
              <w:widowControl w:val="0"/>
            </w:pPr>
            <w:r>
              <w:t>300 000</w:t>
            </w:r>
          </w:p>
        </w:tc>
        <w:tc>
          <w:tcPr>
            <w:tcW w:w="2741" w:type="dxa"/>
          </w:tcPr>
          <w:p w:rsidR="00235FB8" w:rsidRDefault="00235FB8" w:rsidP="00235FB8">
            <w:pPr>
              <w:pStyle w:val="Tabele"/>
              <w:widowControl w:val="0"/>
              <w:jc w:val="center"/>
            </w:pPr>
            <w:r>
              <w:t>22 000</w:t>
            </w:r>
          </w:p>
        </w:tc>
        <w:tc>
          <w:tcPr>
            <w:tcW w:w="3240" w:type="dxa"/>
          </w:tcPr>
          <w:p w:rsidR="00235FB8" w:rsidRDefault="00235FB8" w:rsidP="00235FB8">
            <w:pPr>
              <w:pStyle w:val="Tabele"/>
              <w:widowControl w:val="0"/>
              <w:jc w:val="center"/>
            </w:pPr>
            <w:r>
              <w:t>8000</w:t>
            </w:r>
          </w:p>
        </w:tc>
      </w:tr>
      <w:tr w:rsidR="00235FB8" w:rsidTr="00235FB8">
        <w:trPr>
          <w:jc w:val="center"/>
        </w:trPr>
        <w:tc>
          <w:tcPr>
            <w:tcW w:w="0" w:type="auto"/>
          </w:tcPr>
          <w:p w:rsidR="00235FB8" w:rsidRDefault="00235FB8" w:rsidP="00235FB8">
            <w:pPr>
              <w:pStyle w:val="Tabele"/>
              <w:widowControl w:val="0"/>
            </w:pPr>
            <w:r>
              <w:t>350 000</w:t>
            </w:r>
          </w:p>
        </w:tc>
        <w:tc>
          <w:tcPr>
            <w:tcW w:w="2741" w:type="dxa"/>
          </w:tcPr>
          <w:p w:rsidR="00235FB8" w:rsidRDefault="00235FB8" w:rsidP="00235FB8">
            <w:pPr>
              <w:pStyle w:val="Tabele"/>
              <w:widowControl w:val="0"/>
              <w:jc w:val="center"/>
            </w:pPr>
            <w:r>
              <w:t>24 000</w:t>
            </w:r>
          </w:p>
        </w:tc>
        <w:tc>
          <w:tcPr>
            <w:tcW w:w="3240" w:type="dxa"/>
          </w:tcPr>
          <w:p w:rsidR="00235FB8" w:rsidRDefault="00235FB8" w:rsidP="00235FB8">
            <w:pPr>
              <w:pStyle w:val="Tabele"/>
              <w:widowControl w:val="0"/>
              <w:jc w:val="center"/>
            </w:pPr>
            <w:r>
              <w:t>8500</w:t>
            </w:r>
          </w:p>
        </w:tc>
      </w:tr>
      <w:tr w:rsidR="00235FB8" w:rsidTr="00235FB8">
        <w:trPr>
          <w:jc w:val="center"/>
        </w:trPr>
        <w:tc>
          <w:tcPr>
            <w:tcW w:w="0" w:type="auto"/>
          </w:tcPr>
          <w:p w:rsidR="00235FB8" w:rsidRDefault="00235FB8" w:rsidP="00235FB8">
            <w:pPr>
              <w:pStyle w:val="Tabele"/>
              <w:widowControl w:val="0"/>
            </w:pPr>
            <w:r>
              <w:t>400 000</w:t>
            </w:r>
          </w:p>
        </w:tc>
        <w:tc>
          <w:tcPr>
            <w:tcW w:w="2741" w:type="dxa"/>
          </w:tcPr>
          <w:p w:rsidR="00235FB8" w:rsidRDefault="00235FB8" w:rsidP="00235FB8">
            <w:pPr>
              <w:pStyle w:val="Tabele"/>
              <w:widowControl w:val="0"/>
              <w:jc w:val="center"/>
            </w:pPr>
            <w:r>
              <w:t>26 000</w:t>
            </w:r>
          </w:p>
        </w:tc>
        <w:tc>
          <w:tcPr>
            <w:tcW w:w="3240" w:type="dxa"/>
          </w:tcPr>
          <w:p w:rsidR="00235FB8" w:rsidRDefault="00235FB8" w:rsidP="00235FB8">
            <w:pPr>
              <w:pStyle w:val="Tabele"/>
              <w:widowControl w:val="0"/>
              <w:jc w:val="center"/>
            </w:pPr>
            <w:r>
              <w:t>9000</w:t>
            </w:r>
          </w:p>
        </w:tc>
      </w:tr>
      <w:tr w:rsidR="00235FB8" w:rsidTr="00235FB8">
        <w:trPr>
          <w:jc w:val="center"/>
        </w:trPr>
        <w:tc>
          <w:tcPr>
            <w:tcW w:w="0" w:type="auto"/>
          </w:tcPr>
          <w:p w:rsidR="00235FB8" w:rsidRDefault="00235FB8" w:rsidP="00235FB8">
            <w:pPr>
              <w:pStyle w:val="Tabele"/>
              <w:widowControl w:val="0"/>
            </w:pPr>
            <w:r>
              <w:t>450 000</w:t>
            </w:r>
          </w:p>
        </w:tc>
        <w:tc>
          <w:tcPr>
            <w:tcW w:w="2741" w:type="dxa"/>
          </w:tcPr>
          <w:p w:rsidR="00235FB8" w:rsidRDefault="00235FB8" w:rsidP="00235FB8">
            <w:pPr>
              <w:pStyle w:val="Tabele"/>
              <w:widowControl w:val="0"/>
              <w:jc w:val="center"/>
            </w:pPr>
            <w:r>
              <w:t>28 000</w:t>
            </w:r>
          </w:p>
        </w:tc>
        <w:tc>
          <w:tcPr>
            <w:tcW w:w="3240" w:type="dxa"/>
          </w:tcPr>
          <w:p w:rsidR="00235FB8" w:rsidRDefault="00235FB8" w:rsidP="00235FB8">
            <w:pPr>
              <w:pStyle w:val="Tabele"/>
              <w:widowControl w:val="0"/>
              <w:jc w:val="center"/>
            </w:pPr>
            <w:r>
              <w:t>9500</w:t>
            </w:r>
          </w:p>
        </w:tc>
      </w:tr>
      <w:tr w:rsidR="00235FB8" w:rsidTr="00235FB8">
        <w:trPr>
          <w:jc w:val="center"/>
        </w:trPr>
        <w:tc>
          <w:tcPr>
            <w:tcW w:w="0" w:type="auto"/>
          </w:tcPr>
          <w:p w:rsidR="00235FB8" w:rsidRDefault="00235FB8" w:rsidP="00235FB8">
            <w:pPr>
              <w:pStyle w:val="Tabele"/>
              <w:widowControl w:val="0"/>
            </w:pPr>
            <w:r>
              <w:t>500 000</w:t>
            </w:r>
          </w:p>
        </w:tc>
        <w:tc>
          <w:tcPr>
            <w:tcW w:w="2741" w:type="dxa"/>
          </w:tcPr>
          <w:p w:rsidR="00235FB8" w:rsidRDefault="00235FB8" w:rsidP="00235FB8">
            <w:pPr>
              <w:pStyle w:val="Tabele"/>
              <w:widowControl w:val="0"/>
              <w:jc w:val="center"/>
            </w:pPr>
            <w:r>
              <w:t>30 000</w:t>
            </w:r>
          </w:p>
        </w:tc>
        <w:tc>
          <w:tcPr>
            <w:tcW w:w="3240" w:type="dxa"/>
          </w:tcPr>
          <w:p w:rsidR="00235FB8" w:rsidRDefault="00235FB8" w:rsidP="00235FB8">
            <w:pPr>
              <w:pStyle w:val="Tabele"/>
              <w:widowControl w:val="0"/>
              <w:jc w:val="center"/>
            </w:pPr>
            <w:r>
              <w:t>10 000</w:t>
            </w:r>
          </w:p>
        </w:tc>
      </w:tr>
    </w:tbl>
    <w:p w:rsidR="00235FB8" w:rsidRDefault="00235FB8" w:rsidP="00235FB8">
      <w:pPr>
        <w:pStyle w:val="Paragrafi0"/>
        <w:rPr>
          <w:szCs w:val="22"/>
        </w:rPr>
      </w:pPr>
    </w:p>
    <w:p w:rsidR="00235FB8" w:rsidRDefault="00235FB8" w:rsidP="00235FB8">
      <w:pPr>
        <w:pStyle w:val="Paragrafi0"/>
        <w:rPr>
          <w:szCs w:val="22"/>
        </w:rPr>
      </w:pPr>
      <w:r>
        <w:rPr>
          <w:szCs w:val="22"/>
        </w:rPr>
        <w:t>2. Nëse paraqiten për ekzekutim nga kërkuesi dokumentet ligjore për pagimin e detyrimit nga debitori të një shume që kalon 500 000 lekë, tarifa e subjektit përmbarues llogaritet si më poshtë:</w:t>
      </w:r>
    </w:p>
    <w:p w:rsidR="00235FB8" w:rsidRDefault="00235FB8" w:rsidP="00235FB8">
      <w:pPr>
        <w:pStyle w:val="Paragrafi0"/>
        <w:rPr>
          <w:szCs w:val="22"/>
        </w:rPr>
      </w:pPr>
      <w:r>
        <w:rPr>
          <w:szCs w:val="22"/>
        </w:rPr>
        <w:t>a) tarifa e subjektit përmbarues për një vlerë padie prej 500 001 deri në 600 000 lekë, është 5.8% e vlerës së padisë;</w:t>
      </w:r>
    </w:p>
    <w:p w:rsidR="00235FB8" w:rsidRDefault="00235FB8" w:rsidP="00235FB8">
      <w:pPr>
        <w:pStyle w:val="Paragrafi0"/>
        <w:rPr>
          <w:szCs w:val="22"/>
        </w:rPr>
      </w:pPr>
      <w:r>
        <w:rPr>
          <w:szCs w:val="22"/>
        </w:rPr>
        <w:t>b) tarifa e subjektit përmbarues për një vlerë padie prej 600 001 deri në 700 000 lekë është 5.6% e vlerës së padisë;</w:t>
      </w:r>
    </w:p>
    <w:p w:rsidR="00235FB8" w:rsidRDefault="00235FB8" w:rsidP="00235FB8">
      <w:pPr>
        <w:pStyle w:val="Paragrafi0"/>
        <w:rPr>
          <w:szCs w:val="22"/>
        </w:rPr>
      </w:pPr>
      <w:r>
        <w:rPr>
          <w:szCs w:val="22"/>
        </w:rPr>
        <w:t>c) tarifa e subjektit përmbarues për një vlerë padie prej 700 001 deri në 800 000 lekë është 5.4% e vlerës së padisë;</w:t>
      </w:r>
    </w:p>
    <w:p w:rsidR="00235FB8" w:rsidRDefault="00235FB8" w:rsidP="00235FB8">
      <w:pPr>
        <w:pStyle w:val="Paragrafi0"/>
        <w:rPr>
          <w:szCs w:val="22"/>
        </w:rPr>
      </w:pPr>
      <w:r>
        <w:rPr>
          <w:szCs w:val="22"/>
        </w:rPr>
        <w:t>d) tarifa e subjektit përmbarues për një vlerë padie prej 800 001 deri në 900 000 lekë është 5.2% e vlerës së padisë;</w:t>
      </w:r>
    </w:p>
    <w:p w:rsidR="00235FB8" w:rsidRDefault="00235FB8" w:rsidP="00235FB8">
      <w:pPr>
        <w:pStyle w:val="Paragrafi0"/>
        <w:rPr>
          <w:szCs w:val="22"/>
        </w:rPr>
      </w:pPr>
      <w:r>
        <w:rPr>
          <w:szCs w:val="22"/>
        </w:rPr>
        <w:t>e) tarifa e subjektit përmbarues për një vlerë padie prej 900 001 deri në 1 000 000 lekë është 5.0% e vlerës së padisë;</w:t>
      </w:r>
    </w:p>
    <w:p w:rsidR="00235FB8" w:rsidRDefault="00235FB8" w:rsidP="00235FB8">
      <w:pPr>
        <w:pStyle w:val="Paragrafi0"/>
        <w:rPr>
          <w:szCs w:val="22"/>
        </w:rPr>
      </w:pPr>
      <w:r>
        <w:rPr>
          <w:szCs w:val="22"/>
        </w:rPr>
        <w:t>f) tarifa e subjektit përmbarues për një vlerë 1 000 001 deri në 2 000 000 lekë është 4.8% e vlerës së padisë;</w:t>
      </w:r>
    </w:p>
    <w:p w:rsidR="00235FB8" w:rsidRDefault="00235FB8" w:rsidP="00235FB8">
      <w:pPr>
        <w:pStyle w:val="Paragrafi0"/>
        <w:rPr>
          <w:szCs w:val="22"/>
        </w:rPr>
      </w:pPr>
      <w:r>
        <w:rPr>
          <w:szCs w:val="22"/>
        </w:rPr>
        <w:t>g) tarifa e subjektit përmbarues për një vlerë padie prej 2 000 001 deri në 4 000 000 lekë është 4.6% e vlerës së padisë;</w:t>
      </w:r>
    </w:p>
    <w:p w:rsidR="00235FB8" w:rsidRDefault="00235FB8" w:rsidP="00235FB8">
      <w:pPr>
        <w:pStyle w:val="Paragrafi0"/>
        <w:rPr>
          <w:szCs w:val="22"/>
        </w:rPr>
      </w:pPr>
      <w:r>
        <w:rPr>
          <w:szCs w:val="22"/>
        </w:rPr>
        <w:t>h) tarifa e subjektit përmbarues për një vlerë padie prej 4 000 001 deri në 6 000 000 lekë është 4.4% e vlerës së padisë;</w:t>
      </w:r>
    </w:p>
    <w:p w:rsidR="00235FB8" w:rsidRDefault="00235FB8" w:rsidP="00235FB8">
      <w:pPr>
        <w:pStyle w:val="Paragrafi0"/>
        <w:rPr>
          <w:szCs w:val="22"/>
        </w:rPr>
      </w:pPr>
      <w:r>
        <w:rPr>
          <w:szCs w:val="22"/>
        </w:rPr>
        <w:t>i) tarifa e subjektit përmbarues për një vlerë padie prej 6 000 001 deri në 8 000 000 lekë është 4.2% e vlerës së padisë;</w:t>
      </w:r>
    </w:p>
    <w:p w:rsidR="00235FB8" w:rsidRDefault="00235FB8" w:rsidP="00235FB8">
      <w:pPr>
        <w:pStyle w:val="Paragrafi0"/>
        <w:rPr>
          <w:szCs w:val="22"/>
        </w:rPr>
      </w:pPr>
      <w:r>
        <w:rPr>
          <w:szCs w:val="22"/>
        </w:rPr>
        <w:t>j) tarifa e subjektit përmbarues për një vlerë prej 8 000 001 deri në 10 000 000 lekë është 4.0% e vlerës së padisë;</w:t>
      </w:r>
    </w:p>
    <w:p w:rsidR="00235FB8" w:rsidRDefault="00235FB8" w:rsidP="00235FB8">
      <w:pPr>
        <w:pStyle w:val="Paragrafi0"/>
        <w:rPr>
          <w:szCs w:val="22"/>
        </w:rPr>
      </w:pPr>
      <w:r>
        <w:rPr>
          <w:szCs w:val="22"/>
        </w:rPr>
        <w:t>k) tarifa e subjektit përmbarues për një vlerë padie prej 10 000 001 deri në 20 000 000 lekë është 3.8% e vlerës së padisë;</w:t>
      </w:r>
    </w:p>
    <w:p w:rsidR="00235FB8" w:rsidRDefault="00235FB8" w:rsidP="00235FB8">
      <w:pPr>
        <w:pStyle w:val="Paragrafi0"/>
        <w:rPr>
          <w:szCs w:val="22"/>
        </w:rPr>
      </w:pPr>
      <w:r>
        <w:rPr>
          <w:szCs w:val="22"/>
        </w:rPr>
        <w:t>l. Tarifa e subjektit përmbarues për një vlerë padie prej 20 000 001 deri në 30 000 000 lekë është 3.6% e vlerës së padisë;</w:t>
      </w:r>
    </w:p>
    <w:p w:rsidR="00235FB8" w:rsidRDefault="00235FB8" w:rsidP="00235FB8">
      <w:pPr>
        <w:pStyle w:val="Paragrafi0"/>
        <w:rPr>
          <w:szCs w:val="22"/>
        </w:rPr>
      </w:pPr>
      <w:r>
        <w:rPr>
          <w:szCs w:val="22"/>
        </w:rPr>
        <w:t>m) tarifa e subjektit përmbarues për një vlerë padie prej 30 000 001 deri në 40 000 000 lekë është 3.4% e vlerës së padisë;</w:t>
      </w:r>
    </w:p>
    <w:p w:rsidR="00235FB8" w:rsidRDefault="00235FB8" w:rsidP="00235FB8">
      <w:pPr>
        <w:pStyle w:val="Paragrafi0"/>
        <w:rPr>
          <w:szCs w:val="22"/>
        </w:rPr>
      </w:pPr>
    </w:p>
    <w:p w:rsidR="00235FB8" w:rsidRDefault="00235FB8" w:rsidP="00235FB8">
      <w:pPr>
        <w:pStyle w:val="Paragrafi0"/>
        <w:rPr>
          <w:szCs w:val="22"/>
        </w:rPr>
      </w:pPr>
      <w:r>
        <w:rPr>
          <w:szCs w:val="22"/>
        </w:rPr>
        <w:t>n) tarifa e subjektit përmbarues për një vlerë padie prej 40 000 001 deri në 50 000 000 lekë është 3.2% e vlerës së padisë;</w:t>
      </w:r>
    </w:p>
    <w:p w:rsidR="00235FB8" w:rsidRDefault="00235FB8" w:rsidP="00235FB8">
      <w:pPr>
        <w:pStyle w:val="Paragrafi0"/>
        <w:rPr>
          <w:szCs w:val="22"/>
        </w:rPr>
      </w:pPr>
      <w:r>
        <w:rPr>
          <w:szCs w:val="22"/>
        </w:rPr>
        <w:t>s) tarifa e subjektit përmbarues për një vlerë prej 50 000 001 deri në 60 000 000 lekë është 3.0% e vlerës së padisë;</w:t>
      </w:r>
    </w:p>
    <w:p w:rsidR="00235FB8" w:rsidRDefault="00235FB8" w:rsidP="00235FB8">
      <w:pPr>
        <w:pStyle w:val="Paragrafi0"/>
        <w:rPr>
          <w:szCs w:val="22"/>
        </w:rPr>
      </w:pPr>
      <w:r>
        <w:rPr>
          <w:szCs w:val="22"/>
        </w:rPr>
        <w:t>t) tarifa e subjektit përmbarues për një vlerë prej 60 000 001 deri në 70 000 000 lekë është 2.8% e vlerës së padisë;</w:t>
      </w:r>
    </w:p>
    <w:p w:rsidR="00235FB8" w:rsidRDefault="00235FB8" w:rsidP="00235FB8">
      <w:pPr>
        <w:pStyle w:val="Paragrafi0"/>
        <w:rPr>
          <w:szCs w:val="22"/>
        </w:rPr>
      </w:pPr>
      <w:r>
        <w:rPr>
          <w:szCs w:val="22"/>
        </w:rPr>
        <w:t>v) tarifa e subjektit përmbarues për një vlerë prej 70 000 001 deri në 80 000 000 lekë është 2.6% e vlerës së padisë;</w:t>
      </w:r>
    </w:p>
    <w:p w:rsidR="00235FB8" w:rsidRDefault="00235FB8" w:rsidP="00235FB8">
      <w:pPr>
        <w:pStyle w:val="Paragrafi0"/>
        <w:rPr>
          <w:szCs w:val="22"/>
        </w:rPr>
      </w:pPr>
      <w:r>
        <w:rPr>
          <w:szCs w:val="22"/>
        </w:rPr>
        <w:t>x) tarifa e subjektit përmbarues për një vlerë padie prej 80 000 001 deri në 90 000 000 lekë është 2.4% e vlerës së padisë.</w:t>
      </w:r>
    </w:p>
    <w:p w:rsidR="00235FB8" w:rsidRDefault="00235FB8" w:rsidP="00235FB8">
      <w:pPr>
        <w:pStyle w:val="Paragrafi0"/>
        <w:rPr>
          <w:szCs w:val="22"/>
        </w:rPr>
      </w:pPr>
      <w:r>
        <w:rPr>
          <w:szCs w:val="22"/>
        </w:rPr>
        <w:t>3. Norma e tarifës së subjektit përmbarues për një padi, vlera e së cilës është më e madhe se 90 000 000 lekë është 2 160 000 lekë+0.1% për një vlerë që kalon 90 000 000 lekë.</w:t>
      </w:r>
    </w:p>
    <w:p w:rsidR="00235FB8" w:rsidRDefault="00235FB8" w:rsidP="00235FB8">
      <w:pPr>
        <w:pStyle w:val="Paragrafi0"/>
        <w:rPr>
          <w:szCs w:val="22"/>
        </w:rPr>
      </w:pPr>
      <w:r>
        <w:rPr>
          <w:szCs w:val="22"/>
        </w:rPr>
        <w:t>4. Parapagimi i një tarife të subjektit përmbarues është 20 000 lekë për vlerat e padisë, të specifikuara në nënndarjen 2 të këtij seksioni dhe 30 000 lekë për vlera të padisë të specifikuara në nënndarjen 3 të këtij seksioni.</w:t>
      </w:r>
    </w:p>
    <w:p w:rsidR="00235FB8" w:rsidRDefault="00235FB8" w:rsidP="00235FB8">
      <w:pPr>
        <w:pStyle w:val="Paragrafi0"/>
        <w:rPr>
          <w:szCs w:val="22"/>
        </w:rPr>
      </w:pPr>
      <w:r>
        <w:rPr>
          <w:szCs w:val="22"/>
        </w:rPr>
        <w:t>X. Veprimet përmbarimore me norma tarifë për objekte të pavlerësueshme</w:t>
      </w:r>
    </w:p>
    <w:p w:rsidR="00235FB8" w:rsidRDefault="00235FB8" w:rsidP="00235FB8">
      <w:pPr>
        <w:pStyle w:val="Paragrafi0"/>
        <w:rPr>
          <w:szCs w:val="22"/>
        </w:rPr>
      </w:pPr>
      <w:r>
        <w:rPr>
          <w:szCs w:val="22"/>
        </w:rPr>
        <w:t>1. Tarifa e subjektit të përmbarimit paguhet mbi bazën e një norme fikse për veprimet e mëposhtme përmbarimore:</w:t>
      </w:r>
    </w:p>
    <w:p w:rsidR="00235FB8" w:rsidRDefault="00235FB8" w:rsidP="00235FB8">
      <w:pPr>
        <w:pStyle w:val="Paragrafi0"/>
        <w:rPr>
          <w:szCs w:val="22"/>
        </w:rPr>
      </w:pPr>
      <w:r>
        <w:rPr>
          <w:szCs w:val="22"/>
        </w:rPr>
        <w:t>a) reklamimin e një sendi të luajtshëm;</w:t>
      </w:r>
    </w:p>
    <w:p w:rsidR="00235FB8" w:rsidRDefault="00235FB8" w:rsidP="00235FB8">
      <w:pPr>
        <w:pStyle w:val="Paragrafi0"/>
        <w:rPr>
          <w:szCs w:val="22"/>
        </w:rPr>
      </w:pPr>
      <w:r>
        <w:rPr>
          <w:szCs w:val="22"/>
        </w:rPr>
        <w:t>b) lirim sendi të paluajtshëm;</w:t>
      </w:r>
    </w:p>
    <w:p w:rsidR="00235FB8" w:rsidRDefault="00235FB8" w:rsidP="00235FB8">
      <w:pPr>
        <w:pStyle w:val="Paragrafi0"/>
        <w:rPr>
          <w:szCs w:val="22"/>
        </w:rPr>
      </w:pPr>
      <w:r>
        <w:rPr>
          <w:szCs w:val="22"/>
        </w:rPr>
        <w:t>c) marrje fëmije dhe lejimi i së drejtës së vizitës;</w:t>
      </w:r>
    </w:p>
    <w:p w:rsidR="00235FB8" w:rsidRDefault="00235FB8" w:rsidP="00235FB8">
      <w:pPr>
        <w:pStyle w:val="Paragrafi0"/>
        <w:rPr>
          <w:szCs w:val="22"/>
        </w:rPr>
      </w:pPr>
      <w:r>
        <w:rPr>
          <w:szCs w:val="22"/>
        </w:rPr>
        <w:t>d) organizimi i ankandit;</w:t>
      </w:r>
    </w:p>
    <w:p w:rsidR="00235FB8" w:rsidRDefault="00235FB8" w:rsidP="00235FB8">
      <w:pPr>
        <w:pStyle w:val="Paragrafi0"/>
        <w:rPr>
          <w:szCs w:val="22"/>
        </w:rPr>
      </w:pPr>
      <w:r>
        <w:rPr>
          <w:szCs w:val="22"/>
        </w:rPr>
        <w:t>e) zbatimi i një vendimi gjykate, nëpërmjet të cilit debitori duhet të përmbushë një detyrim të caktuar.</w:t>
      </w:r>
    </w:p>
    <w:p w:rsidR="00235FB8" w:rsidRDefault="00235FB8" w:rsidP="00235FB8">
      <w:pPr>
        <w:pStyle w:val="Paragrafi0"/>
        <w:rPr>
          <w:szCs w:val="22"/>
        </w:rPr>
      </w:pPr>
      <w:r>
        <w:rPr>
          <w:szCs w:val="22"/>
        </w:rPr>
        <w:t>2. Për një veprim të përcaktuar në pikat 1,a,c, dhe e të këtij seksioni, tarifa e subjektit përmbarimor është një shumë e barabartë me gjysmën e minimumit zyrtar të pagës mujore dhe parapagimi i një tarife të subjektit përmbarimor është një shumë e barabartë me një të tretën e pagës minimale zyrtare mujore.</w:t>
      </w:r>
    </w:p>
    <w:p w:rsidR="00235FB8" w:rsidRDefault="00235FB8" w:rsidP="00235FB8">
      <w:pPr>
        <w:pStyle w:val="Paragrafi0"/>
        <w:rPr>
          <w:szCs w:val="22"/>
        </w:rPr>
      </w:pPr>
      <w:r>
        <w:rPr>
          <w:szCs w:val="22"/>
        </w:rPr>
        <w:t>3. Në rastin e një ankandi, tarifa e subjektit përmbarimor do të jetë një shumë e barabartë me pagën minimale mujore zyrtare.</w:t>
      </w:r>
    </w:p>
    <w:p w:rsidR="00235FB8" w:rsidRDefault="00235FB8" w:rsidP="00235FB8">
      <w:pPr>
        <w:pStyle w:val="Paragrafi0"/>
        <w:rPr>
          <w:szCs w:val="22"/>
        </w:rPr>
      </w:pPr>
      <w:r>
        <w:rPr>
          <w:szCs w:val="22"/>
        </w:rPr>
        <w:t>Tarifa do të paguhet nga bashkëpronari që bën ofertën më të mirë.</w:t>
      </w:r>
    </w:p>
    <w:p w:rsidR="00235FB8" w:rsidRDefault="00235FB8" w:rsidP="00235FB8">
      <w:pPr>
        <w:pStyle w:val="Paragrafi0"/>
        <w:rPr>
          <w:szCs w:val="22"/>
        </w:rPr>
      </w:pPr>
      <w:r>
        <w:rPr>
          <w:szCs w:val="22"/>
        </w:rPr>
        <w:t>4. Tarifa për lirimin e sendit të paluajtshëm është e barabartë me shumën e dy pagave minimale zyrtare mujore.</w:t>
      </w:r>
    </w:p>
    <w:p w:rsidR="00235FB8" w:rsidRDefault="00235FB8" w:rsidP="00235FB8">
      <w:pPr>
        <w:pStyle w:val="Paragrafi0"/>
        <w:rPr>
          <w:szCs w:val="22"/>
        </w:rPr>
      </w:pPr>
      <w:r>
        <w:rPr>
          <w:szCs w:val="22"/>
        </w:rPr>
        <w:t>XI. Tarifa që kërkohet për paditë me objekt detyrimi ushqimor</w:t>
      </w:r>
    </w:p>
    <w:p w:rsidR="00235FB8" w:rsidRDefault="00235FB8" w:rsidP="00235FB8">
      <w:pPr>
        <w:pStyle w:val="Paragrafi0"/>
        <w:rPr>
          <w:szCs w:val="22"/>
        </w:rPr>
      </w:pPr>
      <w:r>
        <w:rPr>
          <w:szCs w:val="22"/>
        </w:rPr>
        <w:t>1.Tarifa bazë që paguhet për një padi me objekt detyrim ushqimor është një shumë e plotë që përputhet me normën minimale të detyrimit ushqimor të përcaktuar me ligj. Kjo tarifë arkëtohet së bashku me pagesën e parë mujore. Nëse debitori paguan vetëm një pjesë të pagesës së detyrimit ushqimor, subjekti i përmbarimit arkëton një tarifë që është në raport me shumën e pretenduar.</w:t>
      </w:r>
    </w:p>
    <w:p w:rsidR="00235FB8" w:rsidRDefault="00235FB8" w:rsidP="00235FB8">
      <w:pPr>
        <w:pStyle w:val="Paragrafi0"/>
        <w:rPr>
          <w:szCs w:val="22"/>
        </w:rPr>
      </w:pPr>
      <w:r>
        <w:rPr>
          <w:szCs w:val="22"/>
        </w:rPr>
        <w:t>2. Nëse debitori i pezullon pagesat e detyrimit ushqimor, si rezultat i të cilave kryhen veprime përmbarimore shtesë, me qëllim që të sigurohet përmbushja e mëtejshme e pretendimit, subjekti i përmbarimit ka të drejtë të kërkojë një tarifë shtesë në një shumë që përputhet me gjysmën e normës minimale të detyrimit ushqimor të parashikuar me ligj.</w:t>
      </w:r>
    </w:p>
    <w:p w:rsidR="00235FB8" w:rsidRDefault="00235FB8" w:rsidP="00235FB8">
      <w:pPr>
        <w:pStyle w:val="Paragrafi0"/>
        <w:rPr>
          <w:szCs w:val="22"/>
        </w:rPr>
      </w:pPr>
      <w:r>
        <w:rPr>
          <w:szCs w:val="22"/>
        </w:rPr>
        <w:t>3. Nëse ka vonesa në pagesat e detyrimit ushqimor dhe është përcaktuar shuma e këtyre prapambetjeve, tarifa për arkëtimin e shumës së borxhit llogaritet sipas tabelës së normës së tarifave.</w:t>
      </w:r>
    </w:p>
    <w:p w:rsidR="00235FB8" w:rsidRDefault="00235FB8" w:rsidP="00235FB8">
      <w:pPr>
        <w:pStyle w:val="Paragrafi0"/>
        <w:rPr>
          <w:szCs w:val="22"/>
        </w:rPr>
      </w:pPr>
      <w:r>
        <w:rPr>
          <w:szCs w:val="22"/>
        </w:rPr>
        <w:t>4. Me transferimin e një çështjeje përmbarimore nga një subjekt përmbarimor në një tjetër, nuk kërkohet pagesa e përsëritur e tarifës bazë nga debitori, me kusht që subjekti përmbarues që transferon çështjen ta ketë arkëtuar këtë tarifë.</w:t>
      </w:r>
    </w:p>
    <w:p w:rsidR="00235FB8" w:rsidRDefault="00235FB8" w:rsidP="00235FB8">
      <w:pPr>
        <w:pStyle w:val="Paragrafi0"/>
        <w:rPr>
          <w:szCs w:val="22"/>
        </w:rPr>
      </w:pPr>
      <w:r>
        <w:rPr>
          <w:szCs w:val="22"/>
        </w:rPr>
        <w:t>XII. Tarifat për sigurimin e padisë</w:t>
      </w:r>
    </w:p>
    <w:p w:rsidR="00235FB8" w:rsidRDefault="00235FB8" w:rsidP="00235FB8">
      <w:pPr>
        <w:pStyle w:val="Paragrafi0"/>
        <w:rPr>
          <w:szCs w:val="22"/>
        </w:rPr>
      </w:pPr>
      <w:r>
        <w:rPr>
          <w:szCs w:val="22"/>
        </w:rPr>
        <w:t>1. Një tarifë për ekzekutimin e një vendimi të ndërmjetëm, për sigurimin e padisë, bazohet në vlerën e padisë dhe paguhet si më poshtë:</w:t>
      </w:r>
    </w:p>
    <w:p w:rsidR="00235FB8" w:rsidRDefault="00235FB8" w:rsidP="00235FB8">
      <w:pPr>
        <w:pStyle w:val="Paragrafi0"/>
        <w:rPr>
          <w:szCs w:val="22"/>
        </w:rPr>
      </w:pPr>
      <w:r>
        <w:rPr>
          <w:szCs w:val="22"/>
        </w:rPr>
        <w:t>a) nëse vlera e padisë është deri në 500 000 lekë, tarifa është një shumë e barabartë me një të katërtën e pagës minimale mujore zyrtare;</w:t>
      </w:r>
    </w:p>
    <w:p w:rsidR="00235FB8" w:rsidRDefault="00235FB8" w:rsidP="00235FB8">
      <w:pPr>
        <w:pStyle w:val="Paragrafi0"/>
        <w:rPr>
          <w:szCs w:val="22"/>
        </w:rPr>
      </w:pPr>
      <w:r>
        <w:rPr>
          <w:szCs w:val="22"/>
        </w:rPr>
        <w:t>b) nëse vlera e padisë është ndërmjet 500 001 dhe 2 000 000 lekë, tarifa është një shumë e barabartë me gjysmën e pagës mujore minimale zyrtare;</w:t>
      </w:r>
    </w:p>
    <w:p w:rsidR="00235FB8" w:rsidRDefault="00235FB8" w:rsidP="00235FB8">
      <w:pPr>
        <w:pStyle w:val="Paragrafi0"/>
        <w:rPr>
          <w:szCs w:val="22"/>
        </w:rPr>
      </w:pPr>
      <w:r>
        <w:rPr>
          <w:szCs w:val="22"/>
        </w:rPr>
        <w:t>c) nëse vlera e padisë është më shumë se 200 000 lekë, tarifa është një shumë e barabartë me pagën minimale zyrtare mujore.</w:t>
      </w:r>
    </w:p>
    <w:p w:rsidR="00235FB8" w:rsidRDefault="00235FB8" w:rsidP="00235FB8">
      <w:pPr>
        <w:pStyle w:val="Paragrafi0"/>
        <w:rPr>
          <w:szCs w:val="22"/>
        </w:rPr>
      </w:pPr>
      <w:r>
        <w:rPr>
          <w:szCs w:val="22"/>
        </w:rPr>
        <w:t>2. Nëse vendimi për sigurimin e një padie ka të bëjë me një pretendim jomonetar ose vlera e padisë nuk është e përcaktuar, në rastin e ekzekutimit të një vendimi me këtë objekt ose të revokimit të tij, tarifa e subjektit përmbarimor është një shumë e barabartë me një të tretën e pagës minimale zyrtare mujore.</w:t>
      </w:r>
    </w:p>
    <w:p w:rsidR="00235FB8" w:rsidRDefault="00235FB8" w:rsidP="00235FB8">
      <w:pPr>
        <w:pStyle w:val="Paragrafi0"/>
        <w:rPr>
          <w:szCs w:val="22"/>
        </w:rPr>
      </w:pPr>
      <w:r>
        <w:rPr>
          <w:szCs w:val="22"/>
        </w:rPr>
        <w:t>3. Nëse një vendim për sigurimin e padisë ka të bëjë me një pretendim monetar dhe jomonetar, normat e tarifave të përshkruara në nënseksionet 1 dhe 2 të këtij seksioni merren në total.</w:t>
      </w:r>
    </w:p>
    <w:p w:rsidR="00235FB8" w:rsidRDefault="00235FB8" w:rsidP="00235FB8">
      <w:pPr>
        <w:pStyle w:val="Paragrafi0"/>
        <w:rPr>
          <w:szCs w:val="22"/>
        </w:rPr>
      </w:pPr>
      <w:r>
        <w:rPr>
          <w:szCs w:val="22"/>
        </w:rPr>
        <w:t>4. Në rastin e ekzekutimit të një vendimi për sigurimin e padisë ose me revokimin e tij, tarifat e subjektit përmbarimor paguhen nga personi që ka bërë kërkesë për zbatimin e masës për sigurimin e padisë.</w:t>
      </w:r>
    </w:p>
    <w:p w:rsidR="00235FB8" w:rsidRDefault="00235FB8" w:rsidP="00235FB8">
      <w:pPr>
        <w:pStyle w:val="Paragrafi0"/>
        <w:rPr>
          <w:szCs w:val="22"/>
        </w:rPr>
      </w:pPr>
      <w:r>
        <w:rPr>
          <w:szCs w:val="22"/>
        </w:rPr>
        <w:t>5. Tarifat e subjektit përmbarimor bëhen të arkëtueshme me paraqitjen, në rastin e ekzekutimit të detyruar, të një vendimi për sigurimin e padisë. Nëse një paditës nuk paguan tarifën e subjektit përmbarimor, ky i fundit nuk lejohet të nisë procedime përmbarimore.</w:t>
      </w:r>
    </w:p>
    <w:p w:rsidR="00235FB8" w:rsidRDefault="00235FB8" w:rsidP="00235FB8">
      <w:pPr>
        <w:pStyle w:val="Paragrafi0"/>
        <w:rPr>
          <w:szCs w:val="22"/>
        </w:rPr>
      </w:pPr>
      <w:r>
        <w:rPr>
          <w:szCs w:val="22"/>
        </w:rPr>
        <w:t>XIII. Tarifat e pagueshme për kopjen e dokumenteve dhe lëshimin e certifikatave</w:t>
      </w:r>
    </w:p>
    <w:p w:rsidR="00235FB8" w:rsidRDefault="00235FB8" w:rsidP="00235FB8">
      <w:pPr>
        <w:pStyle w:val="Paragrafi0"/>
        <w:rPr>
          <w:szCs w:val="22"/>
        </w:rPr>
      </w:pPr>
      <w:r>
        <w:rPr>
          <w:szCs w:val="22"/>
        </w:rPr>
        <w:t>1. Një person, që kërkon lëshimin e një kopjeje paguan për këtë kopje. Kjo dispozitë nuk zbatohet për një autoritet administrativ ose pjesëmarrës në procedim që ka të drejtë të marrë një raport mbi kryerjen e një veprimi përmbarimor, nëse ky dokument i lëshohet personit për herë të parë.</w:t>
      </w:r>
    </w:p>
    <w:p w:rsidR="00235FB8" w:rsidRDefault="00235FB8" w:rsidP="00235FB8">
      <w:pPr>
        <w:pStyle w:val="Paragrafi0"/>
        <w:rPr>
          <w:szCs w:val="22"/>
        </w:rPr>
      </w:pPr>
      <w:r>
        <w:rPr>
          <w:szCs w:val="22"/>
        </w:rPr>
        <w:t>2. Tarifa e subjektit përmbarimor, për përgatitjen e një kopjeje të një dokumenti është:</w:t>
      </w:r>
    </w:p>
    <w:p w:rsidR="00235FB8" w:rsidRDefault="00235FB8" w:rsidP="00235FB8">
      <w:pPr>
        <w:pStyle w:val="Paragrafi0"/>
        <w:rPr>
          <w:szCs w:val="22"/>
        </w:rPr>
      </w:pPr>
      <w:r>
        <w:rPr>
          <w:szCs w:val="22"/>
        </w:rPr>
        <w:t>a) 20 lekë për një faqe formati A4;</w:t>
      </w:r>
    </w:p>
    <w:p w:rsidR="00235FB8" w:rsidRDefault="00235FB8" w:rsidP="00235FB8">
      <w:pPr>
        <w:pStyle w:val="Paragrafi0"/>
        <w:rPr>
          <w:szCs w:val="22"/>
        </w:rPr>
      </w:pPr>
      <w:r>
        <w:rPr>
          <w:szCs w:val="22"/>
        </w:rPr>
        <w:t>b) 25 lekë për një faqe format A3.</w:t>
      </w:r>
    </w:p>
    <w:p w:rsidR="00235FB8" w:rsidRDefault="00235FB8" w:rsidP="00235FB8">
      <w:pPr>
        <w:pStyle w:val="Paragrafi0"/>
        <w:rPr>
          <w:szCs w:val="22"/>
        </w:rPr>
      </w:pPr>
      <w:r>
        <w:rPr>
          <w:szCs w:val="22"/>
        </w:rPr>
        <w:t>3. Një subjekt përmbarimor merr një tarifë prej 200 lekësh për lëshimin e një certifikate në lidhje me një veprim përmbarimor. Nëse certifikata jepet në lidhje me një çështje me objekt detyrim ushqimor, tarifa i subjektit përmbarimor është 60 lekë.</w:t>
      </w:r>
    </w:p>
    <w:p w:rsidR="00235FB8" w:rsidRDefault="00235FB8" w:rsidP="00235FB8">
      <w:pPr>
        <w:pStyle w:val="Paragrafi0"/>
        <w:rPr>
          <w:szCs w:val="22"/>
        </w:rPr>
      </w:pPr>
      <w:r>
        <w:rPr>
          <w:szCs w:val="22"/>
        </w:rPr>
        <w:t>XIV. Tarifa shtesë e subjektit përmbarimor.</w:t>
      </w:r>
    </w:p>
    <w:p w:rsidR="00235FB8" w:rsidRDefault="00235FB8" w:rsidP="00235FB8">
      <w:pPr>
        <w:pStyle w:val="Paragrafi0"/>
        <w:rPr>
          <w:szCs w:val="22"/>
        </w:rPr>
      </w:pPr>
      <w:r>
        <w:rPr>
          <w:szCs w:val="22"/>
        </w:rPr>
        <w:t>1. Një subjekt përmbarimor ka të drejtë të kërkojë një tarifë shtesë mbi bazën dhe në masën e parashikuar në ligjin përmbarimor privat, për veprimet përmbarimore teknikisht, ligjërisht komplekse ose që kërkojnë kohë. Tarifa shtesë përcaktohet në formën e një shume të plotë ose tarifë me orë. Tarifa shtesë i shtohet tarifës bazë dhe subjekti përmbarimor ka të drejtën të kërkojë pagesën e kësaj tarife vetëm nëse debitori nuk ka përmbushur detyrimin gjatë afatit të përmbushjes vullnetare dhe subjekti përmbarimor kryen një veprim përmbarimor për të cilën ai ose ajo ka të drejtë të marrë një tarifë shtesë.</w:t>
      </w:r>
    </w:p>
    <w:p w:rsidR="00235FB8" w:rsidRDefault="00235FB8" w:rsidP="00235FB8">
      <w:pPr>
        <w:pStyle w:val="Paragrafi0"/>
        <w:rPr>
          <w:szCs w:val="22"/>
        </w:rPr>
      </w:pPr>
      <w:r>
        <w:rPr>
          <w:szCs w:val="22"/>
        </w:rPr>
        <w:t>2. Përveç kur parashikohet ndryshe me ligj, tarifa shtesë arkëtohet së bashku me tarifën bazë.</w:t>
      </w:r>
    </w:p>
    <w:p w:rsidR="00235FB8" w:rsidRDefault="00235FB8" w:rsidP="00235FB8">
      <w:pPr>
        <w:pStyle w:val="Paragrafi0"/>
        <w:rPr>
          <w:szCs w:val="22"/>
        </w:rPr>
      </w:pPr>
      <w:r>
        <w:rPr>
          <w:szCs w:val="22"/>
        </w:rPr>
        <w:t>XV. Tarifa shtesë për veprimet e sekuestrimit</w:t>
      </w:r>
    </w:p>
    <w:p w:rsidR="00235FB8" w:rsidRDefault="00235FB8" w:rsidP="00235FB8">
      <w:pPr>
        <w:pStyle w:val="Paragrafi0"/>
        <w:rPr>
          <w:szCs w:val="22"/>
        </w:rPr>
      </w:pPr>
      <w:r>
        <w:rPr>
          <w:szCs w:val="22"/>
        </w:rPr>
        <w:t>1. Një subjekt përmbarimor arkëton një tarifë shtesë në masën 0.1% të vlerës së sendit të sekuestruar për një veprim sekuestrimi të kryer jashtë zyrës së subjektit përmbarimor që përbëhet nga sekuestrimi i sendeve të luajtshme në posedim të debitorit ose për një veprim sekuestrimi në lidhje me një send të paluajtshëm.</w:t>
      </w:r>
    </w:p>
    <w:p w:rsidR="00235FB8" w:rsidRDefault="00235FB8" w:rsidP="00235FB8">
      <w:pPr>
        <w:pStyle w:val="Paragrafi0"/>
        <w:rPr>
          <w:szCs w:val="22"/>
        </w:rPr>
      </w:pPr>
      <w:r>
        <w:rPr>
          <w:szCs w:val="22"/>
        </w:rPr>
        <w:t>2. Vendimi që urdhëron pagesën e një tarife shtesë nxirret pas veprimit të sekuestrimit dhe vlerësimit të sendit. Në rastin e një mosmarrëveshjeje në lidhje me sendin e sekuestruar ose çmimin e tij, vendimi që urdhëron pagesën e një tarife shtesë nxirret pas zgjidhjes së mosmarrëveshjes me kusht që sendi të mbetet i sekuestruar dhe të jetë vlerësuar.</w:t>
      </w:r>
    </w:p>
    <w:p w:rsidR="00235FB8" w:rsidRDefault="00235FB8" w:rsidP="00235FB8">
      <w:pPr>
        <w:pStyle w:val="Paragrafi0"/>
        <w:rPr>
          <w:szCs w:val="22"/>
        </w:rPr>
      </w:pPr>
      <w:r>
        <w:rPr>
          <w:szCs w:val="22"/>
        </w:rPr>
        <w:t>XVI. Tarifa shtesë për mënyrat e shitjes së sendeve pasurore</w:t>
      </w:r>
    </w:p>
    <w:p w:rsidR="00235FB8" w:rsidRDefault="00235FB8" w:rsidP="00235FB8">
      <w:pPr>
        <w:pStyle w:val="Paragrafi0"/>
        <w:rPr>
          <w:szCs w:val="22"/>
        </w:rPr>
      </w:pPr>
      <w:r>
        <w:rPr>
          <w:szCs w:val="22"/>
        </w:rPr>
        <w:t>Një subjekt përmbarimor merr një tarifë shtesë në një shumë prej 1% të çmimit të shitjeve të sendeve pasurore për shitjen e tyre në ankand ose në një mënyrë tjetër të lejuar nga ligji.</w:t>
      </w:r>
    </w:p>
    <w:p w:rsidR="00235FB8" w:rsidRDefault="00235FB8" w:rsidP="00235FB8">
      <w:pPr>
        <w:pStyle w:val="Paragrafi0"/>
        <w:rPr>
          <w:szCs w:val="22"/>
        </w:rPr>
      </w:pPr>
    </w:p>
    <w:p w:rsidR="00235FB8" w:rsidRDefault="00235FB8" w:rsidP="00235FB8">
      <w:pPr>
        <w:pStyle w:val="Paragrafi0"/>
        <w:rPr>
          <w:szCs w:val="22"/>
        </w:rPr>
      </w:pPr>
    </w:p>
    <w:p w:rsidR="00235FB8" w:rsidRDefault="00235FB8" w:rsidP="00235FB8">
      <w:pPr>
        <w:pStyle w:val="Paragrafi0"/>
        <w:rPr>
          <w:szCs w:val="22"/>
        </w:rPr>
      </w:pPr>
    </w:p>
    <w:p w:rsidR="00235FB8" w:rsidRDefault="00235FB8" w:rsidP="00235FB8">
      <w:pPr>
        <w:pStyle w:val="Paragrafi0"/>
        <w:rPr>
          <w:szCs w:val="22"/>
        </w:rPr>
      </w:pPr>
      <w:r>
        <w:rPr>
          <w:szCs w:val="22"/>
        </w:rPr>
        <w:t>XVII. Tarifa shtesë në formën e tarifave për orë</w:t>
      </w:r>
    </w:p>
    <w:p w:rsidR="00235FB8" w:rsidRDefault="00235FB8" w:rsidP="00235FB8">
      <w:pPr>
        <w:pStyle w:val="Paragrafi0"/>
        <w:rPr>
          <w:szCs w:val="22"/>
        </w:rPr>
      </w:pPr>
      <w:r>
        <w:rPr>
          <w:szCs w:val="22"/>
        </w:rPr>
        <w:t>Në rastin e kryerjes së një veprimi përmbarimor jashtë zyrës së subjektit përmbarimor, të përcaktuar në nënndarjen IX dhe XI të këtij udhëzimi, subjekti përmbarimor ka të drejtën të kërkojë një tarifë prej 1000 lekë duke filluar nga ora e dytë e veprimit. Detyrimi për pagesën e tarifës shtesë i lëshohet një personi që e ka shkaktuar atë dhe duhet të bëjë pagesën menjëherë pas kryerjes së veprimit përmbarimor.</w:t>
      </w:r>
    </w:p>
    <w:p w:rsidR="00235FB8" w:rsidRDefault="00235FB8" w:rsidP="00235FB8">
      <w:pPr>
        <w:pStyle w:val="Paragrafi0"/>
        <w:rPr>
          <w:szCs w:val="22"/>
        </w:rPr>
      </w:pPr>
      <w:r>
        <w:rPr>
          <w:szCs w:val="22"/>
        </w:rPr>
        <w:t>Tarifat për shërbimet e ofruara nga shërbimi përmbarimor gjyqësor privat zbatohen me fillimin e aktivitetit të përmbaruesve gjyqësorë privatë.</w:t>
      </w:r>
    </w:p>
    <w:p w:rsidR="00235FB8" w:rsidRDefault="00235FB8" w:rsidP="00235FB8">
      <w:pPr>
        <w:pStyle w:val="Paragrafi0"/>
        <w:rPr>
          <w:szCs w:val="22"/>
        </w:rPr>
      </w:pPr>
      <w:r>
        <w:rPr>
          <w:szCs w:val="22"/>
        </w:rPr>
        <w:t>Ky udhëzim hyn në fuqi pas botimit në Fletoren Zyrtare.</w:t>
      </w:r>
    </w:p>
    <w:p w:rsidR="00235FB8" w:rsidRDefault="00235FB8" w:rsidP="00235FB8">
      <w:pPr>
        <w:pStyle w:val="Paragrafi0"/>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7"/>
        <w:gridCol w:w="4429"/>
      </w:tblGrid>
      <w:tr w:rsidR="00235FB8" w:rsidTr="00235FB8">
        <w:tc>
          <w:tcPr>
            <w:tcW w:w="4643" w:type="dxa"/>
          </w:tcPr>
          <w:p w:rsidR="00235FB8" w:rsidRDefault="00235FB8" w:rsidP="00235FB8">
            <w:pPr>
              <w:pStyle w:val="Paragrafi0"/>
              <w:ind w:firstLine="0"/>
              <w:rPr>
                <w:szCs w:val="22"/>
              </w:rPr>
            </w:pPr>
            <w:r>
              <w:rPr>
                <w:szCs w:val="22"/>
              </w:rPr>
              <w:t>Ministri i Drejtësisë</w:t>
            </w:r>
          </w:p>
          <w:p w:rsidR="00235FB8" w:rsidRPr="000A53DF" w:rsidRDefault="00235FB8" w:rsidP="00235FB8">
            <w:pPr>
              <w:pStyle w:val="Paragrafi0"/>
              <w:ind w:firstLine="0"/>
              <w:rPr>
                <w:b/>
                <w:szCs w:val="22"/>
              </w:rPr>
            </w:pPr>
            <w:r w:rsidRPr="000A53DF">
              <w:rPr>
                <w:b/>
                <w:szCs w:val="22"/>
              </w:rPr>
              <w:t>Enkelejd Alibeaj</w:t>
            </w:r>
          </w:p>
        </w:tc>
        <w:tc>
          <w:tcPr>
            <w:tcW w:w="4643" w:type="dxa"/>
          </w:tcPr>
          <w:p w:rsidR="00235FB8" w:rsidRDefault="00235FB8" w:rsidP="00235FB8">
            <w:pPr>
              <w:pStyle w:val="Paragrafi0"/>
              <w:ind w:firstLine="0"/>
              <w:jc w:val="right"/>
              <w:rPr>
                <w:szCs w:val="22"/>
              </w:rPr>
            </w:pPr>
            <w:r>
              <w:rPr>
                <w:szCs w:val="22"/>
              </w:rPr>
              <w:t>Ministri i Financave</w:t>
            </w:r>
          </w:p>
          <w:p w:rsidR="00235FB8" w:rsidRPr="000A53DF" w:rsidRDefault="00235FB8" w:rsidP="00235FB8">
            <w:pPr>
              <w:pStyle w:val="Paragrafi0"/>
              <w:ind w:firstLine="0"/>
              <w:jc w:val="right"/>
              <w:rPr>
                <w:b/>
                <w:szCs w:val="22"/>
              </w:rPr>
            </w:pPr>
            <w:r w:rsidRPr="000A53DF">
              <w:rPr>
                <w:b/>
                <w:szCs w:val="22"/>
              </w:rPr>
              <w:t>Ridvan Bode</w:t>
            </w:r>
          </w:p>
        </w:tc>
      </w:tr>
    </w:tbl>
    <w:p w:rsidR="00235FB8" w:rsidRDefault="00235FB8" w:rsidP="00235FB8">
      <w:pPr>
        <w:pStyle w:val="Paragrafi0"/>
      </w:pPr>
    </w:p>
    <w:sectPr w:rsidR="00235F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80A1C5B"/>
    <w:multiLevelType w:val="hybridMultilevel"/>
    <w:tmpl w:val="1908C026"/>
    <w:lvl w:ilvl="0" w:tplc="F432EBE4">
      <w:start w:val="2"/>
      <w:numFmt w:val="lowerLetter"/>
      <w:lvlText w:val="%1)"/>
      <w:lvlJc w:val="left"/>
      <w:pPr>
        <w:tabs>
          <w:tab w:val="num" w:pos="930"/>
        </w:tabs>
        <w:ind w:left="930" w:hanging="570"/>
      </w:pPr>
      <w:rPr>
        <w:rFonts w:hint="default"/>
      </w:rPr>
    </w:lvl>
    <w:lvl w:ilvl="1" w:tplc="1ABAB7E2">
      <w:start w:val="1"/>
      <w:numFmt w:val="decimal"/>
      <w:lvlText w:val="%2."/>
      <w:lvlJc w:val="left"/>
      <w:pPr>
        <w:tabs>
          <w:tab w:val="num" w:pos="567"/>
        </w:tabs>
        <w:ind w:left="0" w:firstLine="0"/>
      </w:pPr>
      <w:rPr>
        <w:rFonts w:hint="default"/>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12183D"/>
    <w:multiLevelType w:val="hybridMultilevel"/>
    <w:tmpl w:val="2784526C"/>
    <w:lvl w:ilvl="0" w:tplc="7EF02C2C">
      <w:start w:val="1"/>
      <w:numFmt w:val="lowerRoman"/>
      <w:lvlText w:val="%1."/>
      <w:lvlJc w:val="left"/>
      <w:pPr>
        <w:tabs>
          <w:tab w:val="num" w:pos="1134"/>
        </w:tabs>
        <w:ind w:left="1134" w:firstLine="0"/>
      </w:pPr>
      <w:rPr>
        <w:rFonts w:ascii="Arial" w:hAnsi="Arial"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662EB4"/>
    <w:multiLevelType w:val="hybridMultilevel"/>
    <w:tmpl w:val="C758FDE2"/>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nsid w:val="0BAB4ECC"/>
    <w:multiLevelType w:val="hybridMultilevel"/>
    <w:tmpl w:val="5CDAA5F0"/>
    <w:lvl w:ilvl="0" w:tplc="769469D4">
      <w:start w:val="1"/>
      <w:numFmt w:val="lowerRoman"/>
      <w:lvlText w:val="%1)"/>
      <w:lvlJc w:val="left"/>
      <w:pPr>
        <w:tabs>
          <w:tab w:val="num" w:pos="1290"/>
        </w:tabs>
        <w:ind w:left="1290" w:hanging="72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5">
    <w:nsid w:val="2A286E96"/>
    <w:multiLevelType w:val="hybridMultilevel"/>
    <w:tmpl w:val="F3DC0662"/>
    <w:lvl w:ilvl="0" w:tplc="10283B62">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6">
    <w:nsid w:val="307A7FF0"/>
    <w:multiLevelType w:val="hybridMultilevel"/>
    <w:tmpl w:val="25C42630"/>
    <w:lvl w:ilvl="0" w:tplc="A4F03352">
      <w:start w:val="1"/>
      <w:numFmt w:val="lowerLetter"/>
      <w:lvlText w:val="%1)"/>
      <w:lvlJc w:val="left"/>
      <w:pPr>
        <w:tabs>
          <w:tab w:val="num" w:pos="1140"/>
        </w:tabs>
        <w:ind w:left="1140" w:hanging="57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7">
    <w:nsid w:val="33D959DA"/>
    <w:multiLevelType w:val="hybridMultilevel"/>
    <w:tmpl w:val="92A2D3E8"/>
    <w:lvl w:ilvl="0" w:tplc="511066E8">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DE53ED"/>
    <w:multiLevelType w:val="hybridMultilevel"/>
    <w:tmpl w:val="FE6E6BF6"/>
    <w:lvl w:ilvl="0" w:tplc="825695C0">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52F7D06"/>
    <w:multiLevelType w:val="hybridMultilevel"/>
    <w:tmpl w:val="E6B89C46"/>
    <w:lvl w:ilvl="0" w:tplc="2E94676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35430811"/>
    <w:multiLevelType w:val="hybridMultilevel"/>
    <w:tmpl w:val="4170CD48"/>
    <w:lvl w:ilvl="0" w:tplc="3AC04F60">
      <w:start w:val="1"/>
      <w:numFmt w:val="bullet"/>
      <w:lvlText w:val=""/>
      <w:lvlJc w:val="left"/>
      <w:pPr>
        <w:tabs>
          <w:tab w:val="num" w:pos="567"/>
        </w:tabs>
        <w:ind w:left="567" w:hanging="567"/>
      </w:pPr>
      <w:rPr>
        <w:rFonts w:ascii="Symbol" w:hAnsi="Symbol"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559630D"/>
    <w:multiLevelType w:val="hybridMultilevel"/>
    <w:tmpl w:val="9A9AAB6C"/>
    <w:lvl w:ilvl="0" w:tplc="0EFAE9AA">
      <w:start w:val="1"/>
      <w:numFmt w:val="lowerLetter"/>
      <w:lvlText w:val="%1)"/>
      <w:lvlJc w:val="left"/>
      <w:pPr>
        <w:tabs>
          <w:tab w:val="num" w:pos="1134"/>
        </w:tabs>
        <w:ind w:left="1134" w:firstLine="0"/>
      </w:pPr>
      <w:rPr>
        <w:rFonts w:ascii="Arial" w:hAnsi="Aria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89A2C7F"/>
    <w:multiLevelType w:val="hybridMultilevel"/>
    <w:tmpl w:val="E72C275C"/>
    <w:lvl w:ilvl="0" w:tplc="B4BCFF6C">
      <w:start w:val="1"/>
      <w:numFmt w:val="lowerRoman"/>
      <w:lvlText w:val="%1)"/>
      <w:lvlJc w:val="left"/>
      <w:pPr>
        <w:tabs>
          <w:tab w:val="num" w:pos="1134"/>
        </w:tabs>
        <w:ind w:left="1134" w:firstLine="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F15577E"/>
    <w:multiLevelType w:val="hybridMultilevel"/>
    <w:tmpl w:val="7E74D066"/>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4">
    <w:nsid w:val="45A81046"/>
    <w:multiLevelType w:val="hybridMultilevel"/>
    <w:tmpl w:val="E5CC7098"/>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5">
    <w:nsid w:val="46D51AC1"/>
    <w:multiLevelType w:val="hybridMultilevel"/>
    <w:tmpl w:val="69A68E0C"/>
    <w:lvl w:ilvl="0" w:tplc="4C76C4BE">
      <w:start w:val="1"/>
      <w:numFmt w:val="bullet"/>
      <w:lvlText w:val=""/>
      <w:lvlJc w:val="left"/>
      <w:pPr>
        <w:tabs>
          <w:tab w:val="num" w:pos="567"/>
        </w:tabs>
        <w:ind w:left="567" w:hanging="567"/>
      </w:pPr>
      <w:rPr>
        <w:rFonts w:ascii="Symbol" w:hAnsi="Symbol"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B134CCA"/>
    <w:multiLevelType w:val="hybridMultilevel"/>
    <w:tmpl w:val="C54A4B8E"/>
    <w:lvl w:ilvl="0" w:tplc="AD02D444">
      <w:start w:val="2"/>
      <w:numFmt w:val="low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7">
    <w:nsid w:val="50C31575"/>
    <w:multiLevelType w:val="hybridMultilevel"/>
    <w:tmpl w:val="6FDA71DA"/>
    <w:lvl w:ilvl="0" w:tplc="3670CABE">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8">
    <w:nsid w:val="536B7FA7"/>
    <w:multiLevelType w:val="hybridMultilevel"/>
    <w:tmpl w:val="D78CA438"/>
    <w:lvl w:ilvl="0" w:tplc="4E9AD8F6">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9">
    <w:nsid w:val="54DF4694"/>
    <w:multiLevelType w:val="hybridMultilevel"/>
    <w:tmpl w:val="9C2A9854"/>
    <w:lvl w:ilvl="0" w:tplc="EA38F8CE">
      <w:start w:val="1"/>
      <w:numFmt w:val="low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20">
    <w:nsid w:val="59085A26"/>
    <w:multiLevelType w:val="hybridMultilevel"/>
    <w:tmpl w:val="167844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A4A05B9"/>
    <w:multiLevelType w:val="hybridMultilevel"/>
    <w:tmpl w:val="3A9CBD8E"/>
    <w:lvl w:ilvl="0" w:tplc="4C76C4BE">
      <w:start w:val="1"/>
      <w:numFmt w:val="bullet"/>
      <w:lvlText w:val=""/>
      <w:lvlJc w:val="left"/>
      <w:pPr>
        <w:tabs>
          <w:tab w:val="num" w:pos="567"/>
        </w:tabs>
        <w:ind w:left="567" w:hanging="567"/>
      </w:pPr>
      <w:rPr>
        <w:rFonts w:ascii="Symbol" w:hAnsi="Symbol" w:hint="default"/>
        <w:sz w:val="32"/>
        <w:szCs w:val="32"/>
      </w:rPr>
    </w:lvl>
    <w:lvl w:ilvl="1" w:tplc="A88A591C">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C1E4309"/>
    <w:multiLevelType w:val="hybridMultilevel"/>
    <w:tmpl w:val="4664B7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4112D0C"/>
    <w:multiLevelType w:val="hybridMultilevel"/>
    <w:tmpl w:val="D5605878"/>
    <w:lvl w:ilvl="0" w:tplc="C7AED9F6">
      <w:start w:val="1"/>
      <w:numFmt w:val="lowerLetter"/>
      <w:lvlText w:val="%1)"/>
      <w:lvlJc w:val="left"/>
      <w:pPr>
        <w:tabs>
          <w:tab w:val="num" w:pos="1701"/>
        </w:tabs>
        <w:ind w:left="1134" w:firstLine="0"/>
      </w:pPr>
      <w:rPr>
        <w:rFonts w:ascii="Arial" w:hAnsi="Arial" w:hint="default"/>
        <w:b w:val="0"/>
        <w:i w:val="0"/>
        <w:sz w:val="24"/>
        <w:szCs w:val="24"/>
      </w:rPr>
    </w:lvl>
    <w:lvl w:ilvl="1" w:tplc="72B2886A">
      <w:start w:val="1"/>
      <w:numFmt w:val="lowerRoman"/>
      <w:lvlText w:val="%2."/>
      <w:lvlJc w:val="left"/>
      <w:pPr>
        <w:tabs>
          <w:tab w:val="num" w:pos="1134"/>
        </w:tabs>
        <w:ind w:left="1134" w:firstLine="0"/>
      </w:pPr>
      <w:rPr>
        <w:rFonts w:hint="default"/>
        <w:b w:val="0"/>
        <w:i w:val="0"/>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F88105E"/>
    <w:multiLevelType w:val="hybridMultilevel"/>
    <w:tmpl w:val="0C72EC60"/>
    <w:lvl w:ilvl="0" w:tplc="EA00BD0E">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FD051D5"/>
    <w:multiLevelType w:val="hybridMultilevel"/>
    <w:tmpl w:val="A6F0D0D8"/>
    <w:lvl w:ilvl="0" w:tplc="E312A874">
      <w:start w:val="1"/>
      <w:numFmt w:val="lowerRoman"/>
      <w:lvlText w:val="%1)"/>
      <w:lvlJc w:val="left"/>
      <w:pPr>
        <w:tabs>
          <w:tab w:val="num" w:pos="1134"/>
        </w:tabs>
        <w:ind w:left="1134" w:firstLine="0"/>
      </w:pPr>
      <w:rPr>
        <w:rFonts w:hint="default"/>
      </w:rPr>
    </w:lvl>
    <w:lvl w:ilvl="1" w:tplc="04090019">
      <w:start w:val="1"/>
      <w:numFmt w:val="lowerLetter"/>
      <w:lvlText w:val="%2."/>
      <w:lvlJc w:val="left"/>
      <w:pPr>
        <w:tabs>
          <w:tab w:val="num" w:pos="1440"/>
        </w:tabs>
        <w:ind w:left="1440" w:hanging="360"/>
      </w:pPr>
    </w:lvl>
    <w:lvl w:ilvl="2" w:tplc="8454ED6A">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21"/>
  </w:num>
  <w:num w:numId="4">
    <w:abstractNumId w:val="6"/>
  </w:num>
  <w:num w:numId="5">
    <w:abstractNumId w:val="16"/>
  </w:num>
  <w:num w:numId="6">
    <w:abstractNumId w:val="19"/>
  </w:num>
  <w:num w:numId="7">
    <w:abstractNumId w:val="1"/>
  </w:num>
  <w:num w:numId="8">
    <w:abstractNumId w:val="5"/>
  </w:num>
  <w:num w:numId="9">
    <w:abstractNumId w:val="24"/>
  </w:num>
  <w:num w:numId="10">
    <w:abstractNumId w:val="8"/>
  </w:num>
  <w:num w:numId="11">
    <w:abstractNumId w:val="7"/>
  </w:num>
  <w:num w:numId="12">
    <w:abstractNumId w:val="10"/>
  </w:num>
  <w:num w:numId="13">
    <w:abstractNumId w:val="4"/>
  </w:num>
  <w:num w:numId="14">
    <w:abstractNumId w:val="25"/>
  </w:num>
  <w:num w:numId="15">
    <w:abstractNumId w:val="12"/>
  </w:num>
  <w:num w:numId="16">
    <w:abstractNumId w:val="23"/>
  </w:num>
  <w:num w:numId="17">
    <w:abstractNumId w:val="2"/>
  </w:num>
  <w:num w:numId="18">
    <w:abstractNumId w:val="11"/>
  </w:num>
  <w:num w:numId="19">
    <w:abstractNumId w:val="18"/>
  </w:num>
  <w:num w:numId="20">
    <w:abstractNumId w:val="9"/>
  </w:num>
  <w:num w:numId="21">
    <w:abstractNumId w:val="22"/>
  </w:num>
  <w:num w:numId="22">
    <w:abstractNumId w:val="14"/>
  </w:num>
  <w:num w:numId="23">
    <w:abstractNumId w:val="3"/>
  </w:num>
  <w:num w:numId="24">
    <w:abstractNumId w:val="13"/>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5FB8"/>
    <w:rsid w:val="00001D7F"/>
    <w:rsid w:val="00001ED4"/>
    <w:rsid w:val="0000253A"/>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5FB8"/>
    <w:rsid w:val="00237B41"/>
    <w:rsid w:val="0024092D"/>
    <w:rsid w:val="0024176E"/>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B68"/>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086F"/>
    <w:rsid w:val="0051218E"/>
    <w:rsid w:val="0051334F"/>
    <w:rsid w:val="0051565A"/>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402D"/>
    <w:rsid w:val="00904842"/>
    <w:rsid w:val="00906F47"/>
    <w:rsid w:val="00910D1B"/>
    <w:rsid w:val="0091129D"/>
    <w:rsid w:val="009113EB"/>
    <w:rsid w:val="00913360"/>
    <w:rsid w:val="00913BAD"/>
    <w:rsid w:val="00914CB8"/>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3C4"/>
    <w:rsid w:val="00A553CC"/>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40E"/>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0C1FDE-5454-4F6C-AB74-CFCC84B26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FB8"/>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35FB8"/>
    <w:pPr>
      <w:keepNext/>
      <w:jc w:val="center"/>
      <w:outlineLvl w:val="1"/>
    </w:pPr>
    <w:rPr>
      <w:rFonts w:eastAsia="Times New Roman"/>
      <w:sz w:val="28"/>
      <w:lang w:val="en-US"/>
    </w:rPr>
  </w:style>
  <w:style w:type="paragraph" w:styleId="Heading3">
    <w:name w:val="heading 3"/>
    <w:basedOn w:val="Normal"/>
    <w:next w:val="Normal"/>
    <w:qFormat/>
    <w:rsid w:val="00235FB8"/>
    <w:pPr>
      <w:keepNext/>
      <w:jc w:val="center"/>
      <w:outlineLvl w:val="2"/>
    </w:pPr>
    <w:rPr>
      <w:rFonts w:eastAsia="Times New Roman"/>
      <w:sz w:val="28"/>
    </w:rPr>
  </w:style>
  <w:style w:type="paragraph" w:styleId="Heading4">
    <w:name w:val="heading 4"/>
    <w:basedOn w:val="Normal"/>
    <w:next w:val="Normal"/>
    <w:qFormat/>
    <w:rsid w:val="00235FB8"/>
    <w:pPr>
      <w:keepNext/>
      <w:ind w:left="360"/>
      <w:jc w:val="center"/>
      <w:outlineLvl w:val="3"/>
    </w:pPr>
    <w:rPr>
      <w:rFonts w:eastAsia="Times New Roman"/>
      <w:sz w:val="28"/>
    </w:rPr>
  </w:style>
  <w:style w:type="paragraph" w:styleId="Heading5">
    <w:name w:val="heading 5"/>
    <w:basedOn w:val="Normal"/>
    <w:next w:val="Normal"/>
    <w:qFormat/>
    <w:rsid w:val="00235FB8"/>
    <w:pPr>
      <w:spacing w:before="240" w:after="60"/>
      <w:outlineLvl w:val="4"/>
    </w:pPr>
    <w:rPr>
      <w:b/>
      <w:bCs/>
      <w:i/>
      <w:iCs/>
      <w:sz w:val="26"/>
      <w:szCs w:val="26"/>
    </w:rPr>
  </w:style>
  <w:style w:type="paragraph" w:styleId="Heading6">
    <w:name w:val="heading 6"/>
    <w:basedOn w:val="Normal"/>
    <w:next w:val="Normal"/>
    <w:qFormat/>
    <w:rsid w:val="00235FB8"/>
    <w:pPr>
      <w:keepNext/>
      <w:widowControl w:val="0"/>
      <w:autoSpaceDE w:val="0"/>
      <w:autoSpaceDN w:val="0"/>
      <w:adjustRightInd w:val="0"/>
      <w:jc w:val="center"/>
      <w:outlineLvl w:val="5"/>
    </w:pPr>
    <w:rPr>
      <w:rFonts w:eastAsia="Times New Roman"/>
      <w:b/>
      <w:bCs/>
      <w:lang w:val="en-US"/>
    </w:rPr>
  </w:style>
  <w:style w:type="paragraph" w:styleId="Heading7">
    <w:name w:val="heading 7"/>
    <w:basedOn w:val="Normal"/>
    <w:next w:val="Normal"/>
    <w:qFormat/>
    <w:rsid w:val="00235FB8"/>
    <w:pPr>
      <w:keepNext/>
      <w:jc w:val="center"/>
      <w:outlineLvl w:val="6"/>
    </w:pPr>
    <w:rPr>
      <w:rFonts w:eastAsia="Times New Roman"/>
      <w:b/>
      <w:bCs/>
      <w:sz w:val="20"/>
      <w:szCs w:val="20"/>
      <w:lang w:val="fr-FR"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CharChar1">
    <w:name w:val=" Char Char1"/>
    <w:basedOn w:val="DefaultParagraphFont"/>
    <w:rsid w:val="00235FB8"/>
    <w:rPr>
      <w:rFonts w:ascii="Trebuchet MS" w:eastAsia="MS Mincho" w:hAnsi="Trebuchet MS"/>
      <w:lang w:val="en-GB" w:eastAsia="en-US" w:bidi="ar-SA"/>
    </w:rPr>
  </w:style>
  <w:style w:type="paragraph" w:customStyle="1" w:styleId="BoxText">
    <w:name w:val="Box Text"/>
    <w:basedOn w:val="Normal"/>
    <w:rsid w:val="00235FB8"/>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235FB8"/>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235FB8"/>
    <w:rPr>
      <w:rFonts w:ascii="Trebuchet MS" w:eastAsia="MS Mincho" w:hAnsi="Trebuchet MS"/>
      <w:szCs w:val="22"/>
      <w:lang w:val="en-GB" w:eastAsia="en-US" w:bidi="ar-SA"/>
    </w:rPr>
  </w:style>
  <w:style w:type="paragraph" w:customStyle="1" w:styleId="bulletmeshkronja">
    <w:name w:val="bullet me shkronja"/>
    <w:basedOn w:val="Normal"/>
    <w:rsid w:val="00235FB8"/>
    <w:pPr>
      <w:widowControl w:val="0"/>
      <w:spacing w:before="60" w:after="60"/>
      <w:jc w:val="both"/>
    </w:pPr>
    <w:rPr>
      <w:rFonts w:ascii="Trebuchet MS" w:hAnsi="Trebuchet MS"/>
      <w:sz w:val="22"/>
      <w:szCs w:val="22"/>
    </w:rPr>
  </w:style>
  <w:style w:type="paragraph" w:customStyle="1" w:styleId="BULLETUDHEZIM">
    <w:name w:val="BULLET UDHEZIM"/>
    <w:basedOn w:val="Normal"/>
    <w:rsid w:val="00235FB8"/>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235FB8"/>
    <w:rPr>
      <w:rFonts w:ascii="Trebuchet MS" w:eastAsia="MS Mincho" w:hAnsi="Trebuchet MS"/>
      <w:sz w:val="22"/>
      <w:lang w:val="en-GB" w:eastAsia="en-US" w:bidi="ar-SA"/>
    </w:rPr>
  </w:style>
  <w:style w:type="character" w:customStyle="1" w:styleId="footnoteChar">
    <w:name w:val="footnote Char"/>
    <w:basedOn w:val="DefaultParagraphFont"/>
    <w:rsid w:val="00235FB8"/>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35FB8"/>
    <w:rPr>
      <w:rFonts w:ascii="Trebuchet MS" w:eastAsia="MS Mincho" w:hAnsi="Trebuchet MS"/>
      <w:sz w:val="18"/>
      <w:lang w:val="en-GB" w:eastAsia="en-US" w:bidi="ar-SA"/>
    </w:rPr>
  </w:style>
  <w:style w:type="character" w:customStyle="1" w:styleId="Heading1CharChar">
    <w:name w:val="Heading 1 Char Char"/>
    <w:basedOn w:val="DefaultParagraphFont"/>
    <w:rsid w:val="00235FB8"/>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235FB8"/>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235FB8"/>
    <w:rPr>
      <w:rFonts w:ascii="Trebuchet MS" w:eastAsia="MS Mincho" w:hAnsi="Trebuchet MS" w:cs="Arial"/>
      <w:b/>
      <w:bCs/>
      <w:sz w:val="24"/>
      <w:szCs w:val="24"/>
      <w:lang w:val="en-US" w:eastAsia="en-US" w:bidi="ar-SA"/>
    </w:rPr>
  </w:style>
  <w:style w:type="paragraph" w:customStyle="1" w:styleId="hyrje">
    <w:name w:val="hyrje"/>
    <w:basedOn w:val="Heading1"/>
    <w:rsid w:val="00235FB8"/>
    <w:pPr>
      <w:pageBreakBefore/>
      <w:spacing w:before="360" w:after="360"/>
      <w:jc w:val="both"/>
    </w:pPr>
    <w:rPr>
      <w:rFonts w:ascii="Trebuchet MS" w:hAnsi="Trebuchet MS"/>
      <w:sz w:val="36"/>
      <w:szCs w:val="36"/>
      <w:lang w:val="en-GB"/>
    </w:rPr>
  </w:style>
  <w:style w:type="paragraph" w:customStyle="1" w:styleId="Level11">
    <w:name w:val="Level 1.1"/>
    <w:basedOn w:val="Normal"/>
    <w:rsid w:val="00235FB8"/>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235FB8"/>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235FB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235FB8"/>
    <w:rPr>
      <w:rFonts w:ascii="Trebuchet MS" w:eastAsia="MS Mincho" w:hAnsi="Trebuchet MS"/>
      <w:sz w:val="22"/>
      <w:szCs w:val="22"/>
      <w:lang w:val="en-US" w:eastAsia="en-US" w:bidi="ar-SA"/>
    </w:rPr>
  </w:style>
  <w:style w:type="paragraph" w:customStyle="1" w:styleId="listmenumra">
    <w:name w:val="list me numra"/>
    <w:basedOn w:val="ListBullet2"/>
    <w:rsid w:val="00235FB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235FB8"/>
    <w:pPr>
      <w:numPr>
        <w:numId w:val="1"/>
      </w:numPr>
    </w:pPr>
  </w:style>
  <w:style w:type="character" w:customStyle="1" w:styleId="listmenumraCharChar">
    <w:name w:val="list me numra Char Char"/>
    <w:basedOn w:val="ListBullet2Char"/>
    <w:rsid w:val="00235FB8"/>
    <w:rPr>
      <w:rFonts w:ascii="Trebuchet MS" w:eastAsia="MS Mincho" w:hAnsi="Trebuchet MS"/>
      <w:sz w:val="22"/>
      <w:szCs w:val="22"/>
      <w:lang w:val="en-US" w:eastAsia="en-US" w:bidi="ar-SA"/>
    </w:rPr>
  </w:style>
  <w:style w:type="paragraph" w:customStyle="1" w:styleId="para">
    <w:name w:val="para"/>
    <w:basedOn w:val="Normal"/>
    <w:rsid w:val="00235FB8"/>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235FB8"/>
    <w:rPr>
      <w:rFonts w:ascii="Arial" w:eastAsia="MS Mincho" w:hAnsi="Arial"/>
      <w:sz w:val="22"/>
      <w:szCs w:val="24"/>
      <w:lang w:val="en-US" w:eastAsia="en-US" w:bidi="ar-SA"/>
    </w:rPr>
  </w:style>
  <w:style w:type="paragraph" w:customStyle="1" w:styleId="ParagraphNumbering">
    <w:name w:val="Paragraph Numbering"/>
    <w:basedOn w:val="Normal"/>
    <w:rsid w:val="00235FB8"/>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235FB8"/>
    <w:pPr>
      <w:ind w:left="720"/>
    </w:pPr>
  </w:style>
  <w:style w:type="paragraph" w:customStyle="1" w:styleId="Pas">
    <w:name w:val="Pas"/>
    <w:basedOn w:val="Normal"/>
    <w:rsid w:val="00235FB8"/>
    <w:pPr>
      <w:widowControl w:val="0"/>
    </w:pPr>
    <w:rPr>
      <w:rFonts w:ascii="CG Times" w:hAnsi="CG Times"/>
      <w:sz w:val="22"/>
      <w:szCs w:val="22"/>
    </w:rPr>
  </w:style>
  <w:style w:type="paragraph" w:customStyle="1" w:styleId="Section">
    <w:name w:val="Section"/>
    <w:rsid w:val="00235FB8"/>
    <w:rPr>
      <w:rFonts w:ascii="Arial" w:hAnsi="Arial" w:cs="Arial"/>
      <w:bCs/>
      <w:kern w:val="32"/>
      <w:sz w:val="48"/>
      <w:szCs w:val="32"/>
    </w:rPr>
  </w:style>
  <w:style w:type="paragraph" w:customStyle="1" w:styleId="SectionNUM">
    <w:name w:val="Section NUM"/>
    <w:next w:val="Heading1"/>
    <w:rsid w:val="00235FB8"/>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235FB8"/>
    <w:pPr>
      <w:widowControl w:val="0"/>
      <w:autoSpaceDE w:val="0"/>
      <w:autoSpaceDN w:val="0"/>
      <w:adjustRightInd w:val="0"/>
    </w:pPr>
    <w:rPr>
      <w:rFonts w:eastAsia="MS Mincho"/>
      <w:sz w:val="24"/>
      <w:szCs w:val="24"/>
    </w:rPr>
  </w:style>
  <w:style w:type="paragraph" w:customStyle="1" w:styleId="StyleCaption">
    <w:name w:val="Style Caption"/>
    <w:basedOn w:val="Normal"/>
    <w:rsid w:val="00235FB8"/>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235FB8"/>
    <w:rPr>
      <w:rFonts w:ascii="Trebuchet MS" w:eastAsia="MS Mincho" w:hAnsi="Trebuchet MS"/>
      <w:sz w:val="18"/>
      <w:szCs w:val="18"/>
      <w:lang w:val="en-US" w:eastAsia="en-US" w:bidi="ar-SA"/>
    </w:rPr>
  </w:style>
  <w:style w:type="paragraph" w:customStyle="1" w:styleId="sub-list">
    <w:name w:val="sub-list"/>
    <w:rsid w:val="00235FB8"/>
    <w:pPr>
      <w:spacing w:before="60" w:after="120"/>
    </w:pPr>
    <w:rPr>
      <w:rFonts w:ascii="Arial" w:hAnsi="Arial"/>
      <w:sz w:val="22"/>
      <w:szCs w:val="24"/>
    </w:rPr>
  </w:style>
  <w:style w:type="paragraph" w:customStyle="1" w:styleId="tabela">
    <w:name w:val="tabela"/>
    <w:basedOn w:val="Normal"/>
    <w:rsid w:val="00235FB8"/>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235FB8"/>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235FB8"/>
    <w:pPr>
      <w:spacing w:after="120"/>
    </w:pPr>
  </w:style>
  <w:style w:type="paragraph" w:customStyle="1" w:styleId="TableFootnote">
    <w:name w:val="Table Footnote"/>
    <w:basedOn w:val="Normal"/>
    <w:rsid w:val="00235FB8"/>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235FB8"/>
    <w:pPr>
      <w:spacing w:before="40" w:after="40"/>
      <w:jc w:val="both"/>
    </w:pPr>
    <w:rPr>
      <w:rFonts w:ascii="Trebuchet MS" w:hAnsi="Trebuchet MS"/>
      <w:sz w:val="18"/>
      <w:szCs w:val="22"/>
      <w:lang w:val="it-IT"/>
    </w:rPr>
  </w:style>
  <w:style w:type="paragraph" w:customStyle="1" w:styleId="xl22">
    <w:name w:val="xl22"/>
    <w:basedOn w:val="Normal"/>
    <w:rsid w:val="00235FB8"/>
    <w:pPr>
      <w:spacing w:before="100" w:beforeAutospacing="1" w:after="100" w:afterAutospacing="1"/>
    </w:pPr>
    <w:rPr>
      <w:rFonts w:ascii="Book Antiqua" w:hAnsi="Book Antiqua"/>
      <w:b/>
      <w:bCs/>
      <w:sz w:val="20"/>
      <w:szCs w:val="20"/>
    </w:rPr>
  </w:style>
  <w:style w:type="paragraph" w:customStyle="1" w:styleId="xl23">
    <w:name w:val="xl23"/>
    <w:basedOn w:val="Normal"/>
    <w:rsid w:val="00235FB8"/>
    <w:pPr>
      <w:spacing w:before="100" w:beforeAutospacing="1" w:after="100" w:afterAutospacing="1"/>
    </w:pPr>
    <w:rPr>
      <w:rFonts w:ascii="Book Antiqua" w:hAnsi="Book Antiqua"/>
      <w:sz w:val="20"/>
      <w:szCs w:val="20"/>
    </w:rPr>
  </w:style>
  <w:style w:type="paragraph" w:customStyle="1" w:styleId="xl24">
    <w:name w:val="xl24"/>
    <w:basedOn w:val="Normal"/>
    <w:rsid w:val="00235FB8"/>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235FB8"/>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235FB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235FB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235FB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235FB8"/>
    <w:pPr>
      <w:pBdr>
        <w:right w:val="single" w:sz="4" w:space="0" w:color="auto"/>
      </w:pBdr>
      <w:spacing w:before="100" w:beforeAutospacing="1" w:after="100" w:afterAutospacing="1"/>
    </w:pPr>
    <w:rPr>
      <w:sz w:val="20"/>
      <w:szCs w:val="20"/>
    </w:rPr>
  </w:style>
  <w:style w:type="paragraph" w:customStyle="1" w:styleId="xl30">
    <w:name w:val="xl30"/>
    <w:basedOn w:val="Normal"/>
    <w:rsid w:val="00235FB8"/>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235FB8"/>
    <w:pPr>
      <w:pBdr>
        <w:bottom w:val="single" w:sz="4" w:space="0" w:color="auto"/>
      </w:pBdr>
      <w:spacing w:before="100" w:beforeAutospacing="1" w:after="100" w:afterAutospacing="1"/>
    </w:pPr>
    <w:rPr>
      <w:sz w:val="20"/>
      <w:szCs w:val="20"/>
    </w:rPr>
  </w:style>
  <w:style w:type="paragraph" w:customStyle="1" w:styleId="xl32">
    <w:name w:val="xl32"/>
    <w:basedOn w:val="Normal"/>
    <w:rsid w:val="00235FB8"/>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235FB8"/>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235FB8"/>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235FB8"/>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235FB8"/>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235FB8"/>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235FB8"/>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235FB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235FB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235FB8"/>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235FB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235FB8"/>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235FB8"/>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235FB8"/>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235FB8"/>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235FB8"/>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235FB8"/>
    <w:pPr>
      <w:tabs>
        <w:tab w:val="center" w:pos="4320"/>
        <w:tab w:val="right" w:pos="8640"/>
      </w:tabs>
    </w:pPr>
  </w:style>
  <w:style w:type="character" w:styleId="PageNumber">
    <w:name w:val="page number"/>
    <w:basedOn w:val="DefaultParagraphFont"/>
    <w:rsid w:val="00235FB8"/>
  </w:style>
  <w:style w:type="paragraph" w:styleId="Header">
    <w:name w:val="header"/>
    <w:basedOn w:val="Normal"/>
    <w:rsid w:val="00235FB8"/>
    <w:pPr>
      <w:tabs>
        <w:tab w:val="center" w:pos="4320"/>
        <w:tab w:val="right" w:pos="8640"/>
      </w:tabs>
    </w:pPr>
  </w:style>
  <w:style w:type="table" w:styleId="TableGrid">
    <w:name w:val="Table Grid"/>
    <w:basedOn w:val="TableNormal"/>
    <w:rsid w:val="00235F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1Char">
    <w:name w:val=" Char Char Char Char Char Char Char Char1 Char"/>
    <w:basedOn w:val="Normal"/>
    <w:rsid w:val="00235FB8"/>
    <w:pPr>
      <w:spacing w:after="160" w:line="240" w:lineRule="exact"/>
    </w:pPr>
    <w:rPr>
      <w:rFonts w:ascii="Tahoma" w:hAnsi="Tahoma"/>
      <w:sz w:val="20"/>
      <w:szCs w:val="20"/>
    </w:rPr>
  </w:style>
  <w:style w:type="paragraph" w:styleId="NormalWeb">
    <w:name w:val="Normal (Web)"/>
    <w:basedOn w:val="Normal"/>
    <w:link w:val="NormalWebChar"/>
    <w:rsid w:val="00235FB8"/>
    <w:pPr>
      <w:spacing w:before="100" w:beforeAutospacing="1" w:after="100" w:afterAutospacing="1"/>
    </w:pPr>
    <w:rPr>
      <w:lang w:val="en-US"/>
    </w:rPr>
  </w:style>
  <w:style w:type="character" w:customStyle="1" w:styleId="NormalWebChar">
    <w:name w:val="Normal (Web) Char"/>
    <w:basedOn w:val="DefaultParagraphFont"/>
    <w:link w:val="NormalWeb"/>
    <w:rsid w:val="00235FB8"/>
    <w:rPr>
      <w:rFonts w:eastAsia="MS Mincho"/>
      <w:sz w:val="24"/>
      <w:szCs w:val="24"/>
      <w:lang w:val="en-US" w:eastAsia="en-US" w:bidi="ar-SA"/>
    </w:rPr>
  </w:style>
  <w:style w:type="paragraph" w:styleId="HTMLPreformatted">
    <w:name w:val="HTML Preformatted"/>
    <w:basedOn w:val="Normal"/>
    <w:rsid w:val="0023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styleId="Strong">
    <w:name w:val="Strong"/>
    <w:basedOn w:val="DefaultParagraphFont"/>
    <w:qFormat/>
    <w:rsid w:val="00235FB8"/>
    <w:rPr>
      <w:b/>
      <w:bCs/>
    </w:rPr>
  </w:style>
  <w:style w:type="paragraph" w:customStyle="1" w:styleId="CharCharCharCharCharCharCharChar1Char0">
    <w:name w:val="Char Char Char Char Char Char Char Char1 Char"/>
    <w:basedOn w:val="Normal"/>
    <w:rsid w:val="00235FB8"/>
    <w:pPr>
      <w:spacing w:after="160" w:line="240" w:lineRule="exact"/>
    </w:pPr>
    <w:rPr>
      <w:rFonts w:ascii="Tahoma" w:hAnsi="Tahoma"/>
      <w:sz w:val="20"/>
      <w:szCs w:val="20"/>
    </w:rPr>
  </w:style>
  <w:style w:type="paragraph" w:customStyle="1" w:styleId="msolistparagraph0">
    <w:name w:val="msolistparagraph"/>
    <w:basedOn w:val="Normal"/>
    <w:rsid w:val="00235FB8"/>
    <w:pPr>
      <w:ind w:left="720"/>
    </w:pPr>
    <w:rPr>
      <w:lang w:val="en-US"/>
    </w:rPr>
  </w:style>
  <w:style w:type="character" w:customStyle="1" w:styleId="TitulliChar">
    <w:name w:val="Titulli Char"/>
    <w:basedOn w:val="DefaultParagraphFont"/>
    <w:link w:val="Titulli0"/>
    <w:rsid w:val="00235FB8"/>
    <w:rPr>
      <w:rFonts w:ascii="CG Times" w:eastAsia="MS Mincho" w:hAnsi="CG Times"/>
      <w:b/>
      <w:caps/>
      <w:sz w:val="22"/>
      <w:szCs w:val="22"/>
      <w:lang w:val="en-GB" w:eastAsia="en-US" w:bidi="ar-SA"/>
    </w:rPr>
  </w:style>
  <w:style w:type="paragraph" w:styleId="BodyTextIndent2">
    <w:name w:val="Body Text Indent 2"/>
    <w:basedOn w:val="Normal"/>
    <w:rsid w:val="00235FB8"/>
    <w:pPr>
      <w:spacing w:after="120" w:line="480" w:lineRule="auto"/>
      <w:ind w:left="360"/>
    </w:pPr>
  </w:style>
  <w:style w:type="paragraph" w:styleId="BodyTextIndent">
    <w:name w:val="Body Text Indent"/>
    <w:basedOn w:val="Normal"/>
    <w:rsid w:val="00235FB8"/>
    <w:pPr>
      <w:widowControl w:val="0"/>
      <w:autoSpaceDE w:val="0"/>
      <w:autoSpaceDN w:val="0"/>
      <w:adjustRightInd w:val="0"/>
      <w:ind w:firstLine="600"/>
      <w:jc w:val="both"/>
    </w:pPr>
    <w:rPr>
      <w:rFonts w:eastAsia="Times New Roman"/>
      <w:sz w:val="28"/>
      <w:szCs w:val="20"/>
    </w:rPr>
  </w:style>
  <w:style w:type="paragraph" w:styleId="BodyText3">
    <w:name w:val="Body Text 3"/>
    <w:basedOn w:val="Normal"/>
    <w:rsid w:val="00235FB8"/>
    <w:rPr>
      <w:rFonts w:eastAsia="Times New Roman"/>
      <w:sz w:val="28"/>
    </w:rPr>
  </w:style>
  <w:style w:type="paragraph" w:styleId="BodyTextIndent3">
    <w:name w:val="Body Text Indent 3"/>
    <w:basedOn w:val="Normal"/>
    <w:rsid w:val="00235FB8"/>
    <w:pPr>
      <w:tabs>
        <w:tab w:val="left" w:pos="0"/>
      </w:tabs>
      <w:ind w:firstLine="360"/>
      <w:jc w:val="both"/>
    </w:pPr>
    <w:rPr>
      <w:rFonts w:eastAsia="Times New Roman"/>
      <w:sz w:val="28"/>
    </w:rPr>
  </w:style>
  <w:style w:type="paragraph" w:styleId="Title">
    <w:name w:val="Title"/>
    <w:basedOn w:val="Normal"/>
    <w:qFormat/>
    <w:rsid w:val="00235FB8"/>
    <w:pPr>
      <w:widowControl w:val="0"/>
      <w:tabs>
        <w:tab w:val="left" w:pos="-720"/>
      </w:tabs>
      <w:suppressAutoHyphens/>
      <w:jc w:val="center"/>
    </w:pPr>
    <w:rPr>
      <w:rFonts w:eastAsia="Times New Roman"/>
      <w:b/>
      <w:sz w:val="48"/>
      <w:szCs w:val="20"/>
      <w:lang w:val="en-US" w:eastAsia="en-GB"/>
    </w:rPr>
  </w:style>
  <w:style w:type="paragraph" w:styleId="BodyText2">
    <w:name w:val="Body Text 2"/>
    <w:basedOn w:val="Normal"/>
    <w:rsid w:val="00235FB8"/>
    <w:pPr>
      <w:jc w:val="both"/>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2519</Words>
  <Characters>14364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16850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2019-03-18T13:54:00Z</dcterms:created>
  <dcterms:modified xsi:type="dcterms:W3CDTF">2019-03-18T13:54:00Z</dcterms:modified>
</cp:coreProperties>
</file>