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2861" w:rsidRPr="009E5D12" w:rsidRDefault="00212861" w:rsidP="00212861">
      <w:pPr>
        <w:pStyle w:val="Akti"/>
      </w:pPr>
      <w:bookmarkStart w:id="0" w:name="_GoBack"/>
      <w:bookmarkEnd w:id="0"/>
      <w:r w:rsidRPr="009E5D12">
        <w:t xml:space="preserve">Udhëzim </w:t>
      </w:r>
    </w:p>
    <w:p w:rsidR="00212861" w:rsidRPr="009E5D12" w:rsidRDefault="00212861" w:rsidP="00212861">
      <w:pPr>
        <w:pStyle w:val="NumriData"/>
        <w:rPr>
          <w:szCs w:val="22"/>
        </w:rPr>
      </w:pPr>
      <w:r w:rsidRPr="009E5D12">
        <w:rPr>
          <w:szCs w:val="22"/>
        </w:rPr>
        <w:t>Nr.47, datë 26.11.2009</w:t>
      </w:r>
    </w:p>
    <w:p w:rsidR="00212861" w:rsidRPr="009E5D12" w:rsidRDefault="00212861" w:rsidP="00212861">
      <w:pPr>
        <w:pStyle w:val="Paragrafi0"/>
        <w:rPr>
          <w:sz w:val="18"/>
          <w:szCs w:val="22"/>
        </w:rPr>
      </w:pPr>
    </w:p>
    <w:p w:rsidR="00212861" w:rsidRPr="009E5D12" w:rsidRDefault="00212861" w:rsidP="00212861">
      <w:pPr>
        <w:pStyle w:val="Titulli0"/>
      </w:pPr>
      <w:r w:rsidRPr="009E5D12">
        <w:t>Për mënyrën dhe afatet e kryerjes së pagesës së detyrimeve ligjore të subjekteve të miratuara dhe të licencuara në fushën e lojërave të fatit</w:t>
      </w:r>
    </w:p>
    <w:p w:rsidR="00212861" w:rsidRPr="009E5D12" w:rsidRDefault="00212861" w:rsidP="00212861">
      <w:pPr>
        <w:pStyle w:val="Paragrafi0"/>
        <w:rPr>
          <w:szCs w:val="22"/>
        </w:rPr>
      </w:pPr>
    </w:p>
    <w:p w:rsidR="00212861" w:rsidRPr="009E5D12" w:rsidRDefault="00212861" w:rsidP="00212861">
      <w:pPr>
        <w:pStyle w:val="Paragrafi0"/>
        <w:rPr>
          <w:szCs w:val="22"/>
        </w:rPr>
      </w:pPr>
      <w:r w:rsidRPr="009E5D12">
        <w:rPr>
          <w:szCs w:val="22"/>
        </w:rPr>
        <w:t>Në mbështetje të nenit 102, pika 4 të Kushtetutës së Republikës së Shqipërisë, si dhe në zbatim të pikës 5 të nenit 12 të ligjit nr.10 033, datë 11.12.2008 “Për lojërat e fatit”, i ndryshuar, Ministri i Financave</w:t>
      </w:r>
    </w:p>
    <w:p w:rsidR="00212861" w:rsidRPr="009E5D12" w:rsidRDefault="00212861" w:rsidP="00212861">
      <w:pPr>
        <w:pStyle w:val="Paragrafi0"/>
        <w:rPr>
          <w:szCs w:val="22"/>
        </w:rPr>
      </w:pPr>
    </w:p>
    <w:p w:rsidR="00212861" w:rsidRPr="009E5D12" w:rsidRDefault="00212861" w:rsidP="00212861">
      <w:pPr>
        <w:pStyle w:val="VENDOSI0"/>
      </w:pPr>
      <w:r w:rsidRPr="009E5D12">
        <w:t>Udhëzon:</w:t>
      </w:r>
    </w:p>
    <w:p w:rsidR="00212861" w:rsidRPr="009E5D12" w:rsidRDefault="00212861" w:rsidP="00212861">
      <w:pPr>
        <w:pStyle w:val="Paragrafi0"/>
        <w:rPr>
          <w:sz w:val="16"/>
          <w:szCs w:val="22"/>
        </w:rPr>
      </w:pPr>
    </w:p>
    <w:p w:rsidR="00212861" w:rsidRPr="009E5D12" w:rsidRDefault="00212861" w:rsidP="00212861">
      <w:pPr>
        <w:pStyle w:val="Paragrafi0"/>
        <w:rPr>
          <w:szCs w:val="22"/>
        </w:rPr>
      </w:pPr>
      <w:r w:rsidRPr="009E5D12">
        <w:rPr>
          <w:szCs w:val="22"/>
        </w:rPr>
        <w:t>1. Shoqëritë e miratuara dhe të licencuara në fushën e lojërave të fatit derdhin në llogarinë bankare të Njësisë së Mbikëqyrjes së Lojërave të Fatit në një nga bankat e nivelit të dytë 0.5 për qind të xhiros vjetore, si më poshtë:</w:t>
      </w:r>
    </w:p>
    <w:p w:rsidR="00212861" w:rsidRPr="009E5D12" w:rsidRDefault="00212861" w:rsidP="00212861">
      <w:pPr>
        <w:pStyle w:val="Paragrafi0"/>
        <w:rPr>
          <w:szCs w:val="22"/>
        </w:rPr>
      </w:pPr>
      <w:r w:rsidRPr="009E5D12">
        <w:rPr>
          <w:szCs w:val="22"/>
        </w:rPr>
        <w:t>a) Për vitin 2009, brenda datës 15.12.2009 duhet të derdhen shumat e mëposhtme:</w:t>
      </w:r>
    </w:p>
    <w:p w:rsidR="00212861" w:rsidRPr="009E5D12" w:rsidRDefault="00212861" w:rsidP="00212861">
      <w:pPr>
        <w:pStyle w:val="Paragrafi0"/>
        <w:rPr>
          <w:szCs w:val="22"/>
        </w:rPr>
      </w:pPr>
      <w:r w:rsidRPr="009E5D12">
        <w:rPr>
          <w:szCs w:val="22"/>
        </w:rPr>
        <w:t>i. 2 000 000 lekë shoqëritë e licencuara për kazino dhe lotari kombëtare.</w:t>
      </w:r>
    </w:p>
    <w:p w:rsidR="00212861" w:rsidRPr="009E5D12" w:rsidRDefault="00212861" w:rsidP="00212861">
      <w:pPr>
        <w:pStyle w:val="Paragrafi0"/>
        <w:rPr>
          <w:szCs w:val="22"/>
        </w:rPr>
      </w:pPr>
      <w:r w:rsidRPr="009E5D12">
        <w:rPr>
          <w:szCs w:val="22"/>
        </w:rPr>
        <w:t>ii. 1 500 000 lekë shoqëritë që organizojnë kazino elektronike.</w:t>
      </w:r>
    </w:p>
    <w:p w:rsidR="00212861" w:rsidRPr="009E5D12" w:rsidRDefault="00212861" w:rsidP="00212861">
      <w:pPr>
        <w:pStyle w:val="Paragrafi0"/>
        <w:rPr>
          <w:szCs w:val="22"/>
        </w:rPr>
      </w:pPr>
      <w:r w:rsidRPr="009E5D12">
        <w:rPr>
          <w:szCs w:val="22"/>
        </w:rPr>
        <w:t>iii. 1 000 000 lekë shoqëritë që organizojnë baste sportive dhe baste për gara në pistë.</w:t>
      </w:r>
    </w:p>
    <w:p w:rsidR="00212861" w:rsidRPr="009E5D12" w:rsidRDefault="00212861" w:rsidP="00212861">
      <w:pPr>
        <w:pStyle w:val="Paragrafi0"/>
        <w:rPr>
          <w:szCs w:val="22"/>
        </w:rPr>
      </w:pPr>
      <w:r w:rsidRPr="009E5D12">
        <w:rPr>
          <w:szCs w:val="22"/>
        </w:rPr>
        <w:t>iv. 300 000 lekë në vit për shoqëritë që organizojnë bingo tradicionale e televizive.</w:t>
      </w:r>
    </w:p>
    <w:p w:rsidR="00212861" w:rsidRPr="009E5D12" w:rsidRDefault="00212861" w:rsidP="00212861">
      <w:pPr>
        <w:pStyle w:val="Paragrafi0"/>
        <w:rPr>
          <w:szCs w:val="22"/>
        </w:rPr>
      </w:pPr>
      <w:r w:rsidRPr="009E5D12">
        <w:rPr>
          <w:szCs w:val="22"/>
        </w:rPr>
        <w:t>b) Brenda datës 31.3.2010, pjesën tjetër të detyrimit të vitit 2009 e mbetur pa u paguar, e cila plotëson vlerën 0.5 për qind të xhiros vjetore.</w:t>
      </w:r>
    </w:p>
    <w:p w:rsidR="00212861" w:rsidRPr="009E5D12" w:rsidRDefault="00212861" w:rsidP="00212861">
      <w:pPr>
        <w:pStyle w:val="Paragrafi0"/>
        <w:rPr>
          <w:szCs w:val="22"/>
        </w:rPr>
      </w:pPr>
      <w:r w:rsidRPr="009E5D12">
        <w:rPr>
          <w:szCs w:val="22"/>
        </w:rPr>
        <w:t>c) Për vitin 2010 e në vazhdim, pagesat do të bëhen me katër këste, si më poshtë vijon:</w:t>
      </w:r>
    </w:p>
    <w:p w:rsidR="00212861" w:rsidRPr="009E5D12" w:rsidRDefault="00212861" w:rsidP="00212861">
      <w:pPr>
        <w:pStyle w:val="Paragrafi0"/>
        <w:rPr>
          <w:szCs w:val="22"/>
        </w:rPr>
      </w:pPr>
      <w:r w:rsidRPr="009E5D12">
        <w:rPr>
          <w:szCs w:val="22"/>
        </w:rPr>
        <w:t>i. Kësti i parë, brenda datës 10 prill,</w:t>
      </w:r>
    </w:p>
    <w:p w:rsidR="00212861" w:rsidRPr="009E5D12" w:rsidRDefault="00212861" w:rsidP="00212861">
      <w:pPr>
        <w:pStyle w:val="Paragrafi0"/>
        <w:rPr>
          <w:szCs w:val="22"/>
        </w:rPr>
      </w:pPr>
      <w:r w:rsidRPr="009E5D12">
        <w:rPr>
          <w:szCs w:val="22"/>
        </w:rPr>
        <w:t>ii. Kësti i dytë, brenda datës 10 korrik,</w:t>
      </w:r>
    </w:p>
    <w:p w:rsidR="00212861" w:rsidRPr="009E5D12" w:rsidRDefault="00212861" w:rsidP="00212861">
      <w:pPr>
        <w:pStyle w:val="Paragrafi0"/>
        <w:rPr>
          <w:szCs w:val="22"/>
        </w:rPr>
      </w:pPr>
      <w:r w:rsidRPr="009E5D12">
        <w:rPr>
          <w:szCs w:val="22"/>
        </w:rPr>
        <w:t>iii.Kësti i tretë brenda datës 10 tetor,</w:t>
      </w:r>
    </w:p>
    <w:p w:rsidR="00212861" w:rsidRPr="009E5D12" w:rsidRDefault="00212861" w:rsidP="00212861">
      <w:pPr>
        <w:pStyle w:val="Paragrafi0"/>
        <w:rPr>
          <w:szCs w:val="22"/>
        </w:rPr>
      </w:pPr>
      <w:r w:rsidRPr="009E5D12">
        <w:rPr>
          <w:szCs w:val="22"/>
        </w:rPr>
        <w:t>iv. Kësti i katërt, brenda datës 10 janar (i vitit pasardhës).</w:t>
      </w:r>
    </w:p>
    <w:p w:rsidR="00212861" w:rsidRPr="009E5D12" w:rsidRDefault="00212861" w:rsidP="00212861">
      <w:pPr>
        <w:pStyle w:val="Paragrafi0"/>
        <w:rPr>
          <w:szCs w:val="22"/>
        </w:rPr>
      </w:pPr>
      <w:r w:rsidRPr="009E5D12">
        <w:rPr>
          <w:szCs w:val="22"/>
        </w:rPr>
        <w:t>ç) Detyrimi i shoqërive të miratuara dhe të licencuara në fushën e lojërave të fatit llogaritet si detyrim vjetor. Periudha e detyrimit vjetor fillon më 1 janar dhe përfundon më 31 dhjetor të vitit në vazhdim. Nëse veprimtaria në fushën e lojërave të fatit krijohet ose pushon brenda kësaj periudhe, detyrimi i shoqërive llogaritet proporcionalisht vetëm për periudhën e ushtrimit të kësaj veprimtarie.</w:t>
      </w:r>
    </w:p>
    <w:p w:rsidR="00212861" w:rsidRPr="009E5D12" w:rsidRDefault="00212861" w:rsidP="00212861">
      <w:pPr>
        <w:pStyle w:val="Paragrafi0"/>
        <w:rPr>
          <w:szCs w:val="22"/>
        </w:rPr>
      </w:pPr>
      <w:r w:rsidRPr="009E5D12">
        <w:rPr>
          <w:szCs w:val="22"/>
        </w:rPr>
        <w:t>2. Pagesat e kryera më 31 mars për vitin 2009 dhe çdo 10 prill për vitin 2010 e në vijim, do të shoqërohen patjetër edhe me dorëzimin pranë NJMLF-së të një kopje të bilancit dhe të pasqyrave të tjera financiare.</w:t>
      </w:r>
    </w:p>
    <w:p w:rsidR="00212861" w:rsidRPr="009E5D12" w:rsidRDefault="00212861" w:rsidP="00212861">
      <w:pPr>
        <w:pStyle w:val="Paragrafi0"/>
        <w:rPr>
          <w:szCs w:val="22"/>
        </w:rPr>
      </w:pPr>
      <w:r w:rsidRPr="009E5D12">
        <w:rPr>
          <w:szCs w:val="22"/>
        </w:rPr>
        <w:t>3. Vlera e gjobës nga ana e kundërvajtësit duhet të derdhet 100 për qind në llogarinë bankare të NJMLF-së, dhe NJMLF-ja xhiron në llogarinë e buxhetit 80 për qind të vlerës së gjobës.</w:t>
      </w:r>
    </w:p>
    <w:p w:rsidR="00212861" w:rsidRPr="009E5D12" w:rsidRDefault="00212861" w:rsidP="00212861">
      <w:pPr>
        <w:pStyle w:val="Paragrafi0"/>
        <w:rPr>
          <w:szCs w:val="22"/>
        </w:rPr>
      </w:pPr>
      <w:r w:rsidRPr="009E5D12">
        <w:rPr>
          <w:szCs w:val="22"/>
        </w:rPr>
        <w:t>4. NJMLF-ja hap llogari likuiduese në një nga bankat e nivelit të dytë si person juridik publik, ku do të depozitohen të ardhurat nga pagesat që bëjnë shoqëritë e miratuara dhe të licencuara në fushën e lojërave të fatit, sipas nenit 12  të ligjit nr.10 033, datë 11.12.2008, të ndryshuar, si dhe të ardhurat e siguruara nga vjelja e gjobave sipas nenit 49 të ligjit.</w:t>
      </w:r>
    </w:p>
    <w:p w:rsidR="00212861" w:rsidRPr="009E5D12" w:rsidRDefault="00212861" w:rsidP="00212861">
      <w:pPr>
        <w:pStyle w:val="Paragrafi0"/>
        <w:rPr>
          <w:szCs w:val="22"/>
        </w:rPr>
      </w:pPr>
      <w:r w:rsidRPr="009E5D12">
        <w:rPr>
          <w:szCs w:val="22"/>
        </w:rPr>
        <w:t>5. Likuiditetet e kësaj llogarie nuk do të përdoren nga Njësia e Mbikëqyrjes së Lojërave të Fatit gjatë vitit 2009, por do të shërbejnë si burim financimi për vitin 2010.</w:t>
      </w:r>
    </w:p>
    <w:p w:rsidR="00212861" w:rsidRPr="009E5D12" w:rsidRDefault="00212861" w:rsidP="00212861">
      <w:pPr>
        <w:pStyle w:val="Paragrafi0"/>
        <w:rPr>
          <w:szCs w:val="22"/>
        </w:rPr>
      </w:pPr>
      <w:r w:rsidRPr="009E5D12">
        <w:rPr>
          <w:szCs w:val="22"/>
        </w:rPr>
        <w:t>6. Financimet e marra nga Buxheti i Shtetit që nga momenti i hyrjes në fuqi të ligjit nr.10 149, datë 28.9.2009 “Për disa ndryshime e shtesa në ligjin nr.10 033, datë 11.12.2008 “Për lojërat e fatit”, të ndryshuar, do t’i kthehen Buxhetit të Shtetit gjatë vitit 2010.</w:t>
      </w:r>
    </w:p>
    <w:p w:rsidR="00212861" w:rsidRPr="009E5D12" w:rsidRDefault="00212861" w:rsidP="00212861">
      <w:pPr>
        <w:pStyle w:val="Paragrafi0"/>
        <w:rPr>
          <w:szCs w:val="22"/>
        </w:rPr>
      </w:pPr>
      <w:r w:rsidRPr="009E5D12">
        <w:rPr>
          <w:szCs w:val="22"/>
        </w:rPr>
        <w:t>Ky udhëzim hyn në fuqi menjëherë dhe botohet në Fletoren Zyrtare.</w:t>
      </w:r>
    </w:p>
    <w:p w:rsidR="00212861" w:rsidRPr="009E5D12" w:rsidRDefault="00212861" w:rsidP="00212861">
      <w:pPr>
        <w:pStyle w:val="Autoriteti"/>
      </w:pPr>
    </w:p>
    <w:p w:rsidR="00212861" w:rsidRPr="009E5D12" w:rsidRDefault="00212861" w:rsidP="00212861">
      <w:pPr>
        <w:pStyle w:val="Autoriteti"/>
      </w:pPr>
      <w:r w:rsidRPr="009E5D12">
        <w:t>Ministri i Financave</w:t>
      </w:r>
    </w:p>
    <w:p w:rsidR="00212861" w:rsidRPr="009E5D12" w:rsidRDefault="00212861" w:rsidP="00212861">
      <w:pPr>
        <w:pStyle w:val="AutoritetiEmer"/>
      </w:pPr>
      <w:r w:rsidRPr="009E5D12">
        <w:t>Ridvan Bode</w:t>
      </w:r>
    </w:p>
    <w:sectPr w:rsidR="00212861" w:rsidRPr="009E5D1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12861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62E"/>
    <w:rsid w:val="0019795D"/>
    <w:rsid w:val="00197CB4"/>
    <w:rsid w:val="001A02D5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70D2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2861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4D4C"/>
    <w:rsid w:val="00325329"/>
    <w:rsid w:val="0032584A"/>
    <w:rsid w:val="00327C0E"/>
    <w:rsid w:val="00327C6B"/>
    <w:rsid w:val="00327E43"/>
    <w:rsid w:val="00327F42"/>
    <w:rsid w:val="00330286"/>
    <w:rsid w:val="00332C88"/>
    <w:rsid w:val="00333375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5C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5C4"/>
    <w:rsid w:val="00471BC0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34AD"/>
    <w:rsid w:val="00493CAB"/>
    <w:rsid w:val="00494FC4"/>
    <w:rsid w:val="004952F5"/>
    <w:rsid w:val="0049593A"/>
    <w:rsid w:val="004963CE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4432"/>
    <w:rsid w:val="009F57E2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6288"/>
    <w:rsid w:val="00A80C9A"/>
    <w:rsid w:val="00A81297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34F6"/>
    <w:rsid w:val="00CF7D56"/>
    <w:rsid w:val="00D02DFD"/>
    <w:rsid w:val="00D0346B"/>
    <w:rsid w:val="00D03DA1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2A9E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5D68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3966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D77AC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3B56D68-BEDD-4CE5-97A9-3F1DDBCC8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212861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 </vt:lpstr>
    </vt:vector>
  </TitlesOfParts>
  <Company/>
  <LinksUpToDate>false</LinksUpToDate>
  <CharactersWithSpaces>3143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 </dc:title>
  <dc:subject/>
  <dc:creator>n.fagu</dc:creator>
  <cp:keywords/>
  <dc:description/>
  <cp:lastModifiedBy>QBZ Admin</cp:lastModifiedBy>
  <cp:revision>2</cp:revision>
  <dcterms:created xsi:type="dcterms:W3CDTF">2019-03-18T14:06:00Z</dcterms:created>
  <dcterms:modified xsi:type="dcterms:W3CDTF">2019-03-18T14:06:00Z</dcterms:modified>
</cp:coreProperties>
</file>