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B42" w:rsidRPr="003057DD" w:rsidRDefault="00FB6B42" w:rsidP="00FB6B42">
      <w:pPr>
        <w:pStyle w:val="Akti"/>
      </w:pPr>
      <w:bookmarkStart w:id="0" w:name="_GoBack"/>
      <w:bookmarkEnd w:id="0"/>
      <w:r w:rsidRPr="003057DD">
        <w:t>UDH</w:t>
      </w:r>
      <w:r>
        <w:t>Ë</w:t>
      </w:r>
      <w:r w:rsidRPr="003057DD">
        <w:t>ZIM</w:t>
      </w:r>
    </w:p>
    <w:p w:rsidR="00FB6B42" w:rsidRPr="003057DD" w:rsidRDefault="00FB6B42" w:rsidP="00FB6B42">
      <w:pPr>
        <w:pStyle w:val="NumriData"/>
      </w:pPr>
      <w:r>
        <w:t>Nr.7/1, datë</w:t>
      </w:r>
      <w:r w:rsidRPr="003057DD">
        <w:t xml:space="preserve"> </w:t>
      </w:r>
      <w:r>
        <w:t>22.</w:t>
      </w:r>
      <w:r w:rsidRPr="003057DD">
        <w:t>2 2010</w:t>
      </w:r>
    </w:p>
    <w:p w:rsidR="00FB6B42" w:rsidRPr="003057DD" w:rsidRDefault="00FB6B42" w:rsidP="00FB6B42">
      <w:pPr>
        <w:pStyle w:val="Paragrafi0"/>
        <w:ind w:firstLine="0"/>
      </w:pPr>
    </w:p>
    <w:p w:rsidR="00FB6B42" w:rsidRPr="003057DD" w:rsidRDefault="00FB6B42" w:rsidP="00FB6B42">
      <w:pPr>
        <w:pStyle w:val="Titulli0"/>
      </w:pPr>
      <w:r w:rsidRPr="003057DD">
        <w:t>PË</w:t>
      </w:r>
      <w:r>
        <w:t xml:space="preserve">R PËRGATITJEN </w:t>
      </w:r>
      <w:smartTag w:uri="urn:schemas-microsoft-com:office:smarttags" w:element="place">
        <w:r>
          <w:t>E BUXHETIT</w:t>
        </w:r>
      </w:smartTag>
      <w:r>
        <w:t xml:space="preserve"> VENDOR</w:t>
      </w:r>
    </w:p>
    <w:p w:rsidR="00FB6B42" w:rsidRPr="003057DD" w:rsidRDefault="00FB6B42" w:rsidP="00FB6B42">
      <w:pPr>
        <w:pStyle w:val="Paragrafi0"/>
        <w:ind w:firstLine="0"/>
      </w:pPr>
    </w:p>
    <w:p w:rsidR="00FB6B42" w:rsidRPr="003057DD" w:rsidRDefault="00FB6B42" w:rsidP="00FB6B42">
      <w:pPr>
        <w:pStyle w:val="Paragrafi0"/>
      </w:pPr>
      <w:r>
        <w:t>Në përputhje me ligjin nr.9936, datë</w:t>
      </w:r>
      <w:r w:rsidRPr="003057DD">
        <w:t xml:space="preserve"> 26.06.2008, neni 24, “Për menaxhimin e sistemit buxhetor n</w:t>
      </w:r>
      <w:r>
        <w:t>ë</w:t>
      </w:r>
      <w:r w:rsidRPr="003057DD">
        <w:t xml:space="preserve"> Republikën e Shqipërisë”, Mini</w:t>
      </w:r>
      <w:r>
        <w:t>stri i Financave</w:t>
      </w:r>
    </w:p>
    <w:p w:rsidR="00FB6B42" w:rsidRPr="003057DD" w:rsidRDefault="00FB6B42" w:rsidP="00FB6B42">
      <w:pPr>
        <w:pStyle w:val="Paragrafi0"/>
        <w:ind w:firstLine="0"/>
      </w:pPr>
    </w:p>
    <w:p w:rsidR="00FB6B42" w:rsidRDefault="00FB6B42" w:rsidP="00FB6B42">
      <w:pPr>
        <w:pStyle w:val="VENDOSI0"/>
      </w:pPr>
      <w:r>
        <w:t>UDHËZO</w:t>
      </w:r>
      <w:r w:rsidRPr="003057DD">
        <w:t>N:</w:t>
      </w:r>
    </w:p>
    <w:p w:rsidR="00FB6B42" w:rsidRPr="003057DD" w:rsidRDefault="00FB6B42" w:rsidP="00FB6B42">
      <w:pPr>
        <w:pStyle w:val="Paragrafi0"/>
      </w:pPr>
    </w:p>
    <w:p w:rsidR="00FB6B42" w:rsidRPr="003057DD" w:rsidRDefault="00FB6B42" w:rsidP="00FB6B42">
      <w:pPr>
        <w:pStyle w:val="Paragrafi0"/>
      </w:pPr>
      <w:bookmarkStart w:id="1" w:name="_Toc191800901"/>
      <w:bookmarkStart w:id="2" w:name="_Toc191801045"/>
      <w:bookmarkStart w:id="3" w:name="_Toc191801070"/>
      <w:bookmarkStart w:id="4" w:name="_Toc191801099"/>
      <w:r w:rsidRPr="003057DD">
        <w:t>A. Hyrje</w:t>
      </w:r>
      <w:bookmarkEnd w:id="1"/>
      <w:bookmarkEnd w:id="2"/>
      <w:bookmarkEnd w:id="3"/>
      <w:bookmarkEnd w:id="4"/>
    </w:p>
    <w:p w:rsidR="00FB6B42" w:rsidRPr="003057DD" w:rsidRDefault="00FB6B42" w:rsidP="00FB6B42">
      <w:pPr>
        <w:pStyle w:val="Paragrafi0"/>
      </w:pPr>
      <w:r>
        <w:t xml:space="preserve">1. </w:t>
      </w:r>
      <w:r w:rsidRPr="003057DD">
        <w:t>Ky udhëzim përcakton:</w:t>
      </w:r>
    </w:p>
    <w:p w:rsidR="00FB6B42" w:rsidRPr="003057DD" w:rsidRDefault="00FB6B42" w:rsidP="00FB6B42">
      <w:pPr>
        <w:pStyle w:val="Paragrafi0"/>
      </w:pPr>
      <w:r>
        <w:t>- Përgjegjësitë e kryetarit të njësisë së qeverisjes vendore (KNJQV), nëpunësit autorizues (NA), stafit të</w:t>
      </w:r>
      <w:r w:rsidRPr="003057DD">
        <w:t xml:space="preserve"> njësisë</w:t>
      </w:r>
      <w:r>
        <w:t>,</w:t>
      </w:r>
      <w:r w:rsidRPr="003057DD">
        <w:t xml:space="preserve"> si dhe këshillit përkatës;</w:t>
      </w:r>
    </w:p>
    <w:p w:rsidR="00FB6B42" w:rsidRPr="003057DD" w:rsidRDefault="00FB6B42" w:rsidP="00FB6B42">
      <w:pPr>
        <w:pStyle w:val="Paragrafi0"/>
      </w:pPr>
      <w:r>
        <w:t xml:space="preserve">- </w:t>
      </w:r>
      <w:r w:rsidRPr="003057DD">
        <w:t>Procedurat dhe afatet për përgatitjen e buxhetit a</w:t>
      </w:r>
      <w:r>
        <w:t>fat</w:t>
      </w:r>
      <w:r w:rsidRPr="003057DD">
        <w:t>mesëm 2011-2013;</w:t>
      </w:r>
    </w:p>
    <w:p w:rsidR="00FB6B42" w:rsidRPr="003057DD" w:rsidRDefault="00FB6B42" w:rsidP="00FB6B42">
      <w:pPr>
        <w:pStyle w:val="Paragrafi0"/>
      </w:pPr>
      <w:r>
        <w:t xml:space="preserve">- </w:t>
      </w:r>
      <w:r w:rsidRPr="003057DD">
        <w:t>Transfert</w:t>
      </w:r>
      <w:r>
        <w:t>ë</w:t>
      </w:r>
      <w:r w:rsidRPr="003057DD">
        <w:t>n e pakushtëzuar për njësit</w:t>
      </w:r>
      <w:r>
        <w:t>ë</w:t>
      </w:r>
      <w:r w:rsidRPr="003057DD">
        <w:t xml:space="preserve"> e qeverisjes vendore; </w:t>
      </w:r>
    </w:p>
    <w:p w:rsidR="00FB6B42" w:rsidRPr="003057DD" w:rsidRDefault="00FB6B42" w:rsidP="00FB6B42">
      <w:pPr>
        <w:pStyle w:val="Paragrafi0"/>
      </w:pPr>
      <w:r>
        <w:t xml:space="preserve">- </w:t>
      </w:r>
      <w:r w:rsidRPr="003057DD">
        <w:t>Rregullat për ndarjen apo delegimin e funksioneve ndërmjet njësive t</w:t>
      </w:r>
      <w:r>
        <w:t>ë</w:t>
      </w:r>
      <w:r w:rsidRPr="003057DD">
        <w:t xml:space="preserve"> qe</w:t>
      </w:r>
      <w:r>
        <w:t>verisjes qendrore dhe njësive të</w:t>
      </w:r>
      <w:r w:rsidRPr="003057DD">
        <w:t xml:space="preserve"> qeverisjes vendore;</w:t>
      </w:r>
    </w:p>
    <w:p w:rsidR="00FB6B42" w:rsidRDefault="00FB6B42" w:rsidP="00FB6B42">
      <w:pPr>
        <w:pStyle w:val="Paragrafi0"/>
      </w:pPr>
      <w:r>
        <w:t xml:space="preserve">- </w:t>
      </w:r>
      <w:r w:rsidRPr="003057DD">
        <w:t>Mënyra e llogaritjes s</w:t>
      </w:r>
      <w:r>
        <w:t>ë</w:t>
      </w:r>
      <w:r w:rsidRPr="003057DD">
        <w:t xml:space="preserve"> transfertave t</w:t>
      </w:r>
      <w:r>
        <w:t>ë</w:t>
      </w:r>
      <w:r w:rsidRPr="003057DD">
        <w:t xml:space="preserve"> pakushtëzuar</w:t>
      </w:r>
      <w:r>
        <w:t>a</w:t>
      </w:r>
      <w:r w:rsidRPr="003057DD">
        <w:t xml:space="preserve"> dhe t</w:t>
      </w:r>
      <w:r>
        <w:t>ë</w:t>
      </w:r>
      <w:r w:rsidRPr="003057DD">
        <w:t xml:space="preserve"> kushtëzuar</w:t>
      </w:r>
      <w:r>
        <w:t>a</w:t>
      </w:r>
      <w:r w:rsidRPr="003057DD">
        <w:t>.</w:t>
      </w:r>
    </w:p>
    <w:p w:rsidR="00FB6B42" w:rsidRPr="003057DD" w:rsidRDefault="00FB6B42" w:rsidP="00FB6B42">
      <w:pPr>
        <w:pStyle w:val="Paragrafi0"/>
      </w:pPr>
      <w:r>
        <w:t>Sistemi i planifikimit të i</w:t>
      </w:r>
      <w:r w:rsidRPr="003057DD">
        <w:t>ntegruar (SPI) siguron një kuadër të gjerë</w:t>
      </w:r>
      <w:r>
        <w:t>,</w:t>
      </w:r>
      <w:r w:rsidRPr="003057DD">
        <w:t xml:space="preserve"> brenda të cilit funksionojnë proceset kryesore të njësive t</w:t>
      </w:r>
      <w:r>
        <w:t>ë</w:t>
      </w:r>
      <w:r w:rsidRPr="003057DD">
        <w:t xml:space="preserve"> qeverisjes vendore  për planifikimin financiar dhe të politikave.</w:t>
      </w:r>
    </w:p>
    <w:p w:rsidR="00FB6B42" w:rsidRPr="003057DD" w:rsidRDefault="00FB6B42" w:rsidP="00FB6B42">
      <w:pPr>
        <w:pStyle w:val="Paragrafi0"/>
      </w:pPr>
      <w:r w:rsidRPr="003057DD">
        <w:t>Dokumentet që duhen duhet t</w:t>
      </w:r>
      <w:r>
        <w:t>ë</w:t>
      </w:r>
      <w:r w:rsidRPr="003057DD">
        <w:t xml:space="preserve"> konsiderohen n</w:t>
      </w:r>
      <w:r>
        <w:t>ë</w:t>
      </w:r>
      <w:r w:rsidRPr="003057DD">
        <w:t xml:space="preserve"> kontekstin e SPI n</w:t>
      </w:r>
      <w:r>
        <w:t>ë</w:t>
      </w:r>
      <w:r w:rsidRPr="003057DD">
        <w:t xml:space="preserve"> njësinë e qeverisjes vendore  dhe q</w:t>
      </w:r>
      <w:r>
        <w:t>ë</w:t>
      </w:r>
      <w:r w:rsidRPr="003057DD">
        <w:t xml:space="preserve"> duhen konsultuar janë:</w:t>
      </w:r>
    </w:p>
    <w:p w:rsidR="00FB6B42" w:rsidRPr="00BE3A0F" w:rsidRDefault="00FB6B42" w:rsidP="00FB6B42">
      <w:pPr>
        <w:pStyle w:val="Paragrafi0"/>
        <w:rPr>
          <w:lang w:val="it-IT"/>
        </w:rPr>
      </w:pPr>
      <w:r w:rsidRPr="00BE3A0F">
        <w:rPr>
          <w:lang w:val="it-IT"/>
        </w:rPr>
        <w:t>- strategjia e zhvillimit ekonomik e njësisë vendore;</w:t>
      </w:r>
    </w:p>
    <w:p w:rsidR="00FB6B42" w:rsidRPr="00BE3A0F" w:rsidRDefault="00FB6B42" w:rsidP="00FB6B42">
      <w:pPr>
        <w:pStyle w:val="Paragrafi0"/>
        <w:rPr>
          <w:lang w:val="it-IT"/>
        </w:rPr>
      </w:pPr>
      <w:r w:rsidRPr="00BE3A0F">
        <w:rPr>
          <w:lang w:val="it-IT"/>
        </w:rPr>
        <w:t>- strategjitë sektoriale, nëse janë të lidhura me kompetencat e pushtetit vendor;</w:t>
      </w:r>
    </w:p>
    <w:p w:rsidR="00FB6B42" w:rsidRPr="00BE3A0F" w:rsidRDefault="00FB6B42" w:rsidP="00FB6B42">
      <w:pPr>
        <w:pStyle w:val="Paragrafi0"/>
        <w:rPr>
          <w:lang w:val="it-IT"/>
        </w:rPr>
      </w:pPr>
      <w:r w:rsidRPr="00BE3A0F">
        <w:rPr>
          <w:lang w:val="it-IT"/>
        </w:rPr>
        <w:t>- strategjitë ndërsektoriale, nëse janë të lidhura me kompetencat e pushtetit vendor.</w:t>
      </w:r>
    </w:p>
    <w:p w:rsidR="00FB6B42" w:rsidRPr="00BE3A0F" w:rsidRDefault="00FB6B42" w:rsidP="00FB6B42">
      <w:pPr>
        <w:pStyle w:val="Paragrafi0"/>
        <w:rPr>
          <w:lang w:val="it-IT"/>
        </w:rPr>
      </w:pPr>
      <w:r w:rsidRPr="00BE3A0F">
        <w:rPr>
          <w:lang w:val="it-IT"/>
        </w:rPr>
        <w:t>Njësive të qeverisjes vendore u sugjerohet të ngrenë grupin për strategji, buxhet dhe integrim, (GSBI), i cili duhet të kryesohet nga kryetari i njësisë së qeverisjes vendore dhe përbëhet nga zëvendëskryetari/at dhe drejtuesit e ekipeve të menaxhimit të programeve. GSBI është  përgjegjës për menaxhimin, garantimin e cilësisë dhe monitorimin e zbatimit të SPI brenda njësive përkatëse.  Urdhri i Kryeministrit nr.78, datë 8.5.2006 “Mbi krijimin e grupeve për strategji, buxhet dhe integrim për qeverisjen qendrore, mund të shërbejë si referues për shqyrtim nga kryetari i njësisë së qeverisjes vendore (shikoni aneksin 2 të udhëzimit nr.7, datë 22.2.2010 “Për përgatitjen e Buxhetit të Shtetit dhe fondet speciale”).</w:t>
      </w:r>
    </w:p>
    <w:p w:rsidR="00FB6B42" w:rsidRPr="00BE3A0F" w:rsidRDefault="00FB6B42" w:rsidP="00FB6B42">
      <w:pPr>
        <w:pStyle w:val="Paragrafi0"/>
        <w:rPr>
          <w:lang w:val="it-IT"/>
        </w:rPr>
      </w:pPr>
      <w:r w:rsidRPr="00BE3A0F">
        <w:rPr>
          <w:lang w:val="it-IT"/>
        </w:rPr>
        <w:t>Për qëllimin e zbatimit të procedurave të rishikimit të politikës së programit, GSBI krijon ekipet e menaxhimit të programit (EMP) për secilin program shpenzimesh të njësisë së qeverisjes vendore (bashkëlidhur ju lutem gjeni aneksin 1/1 ku jepen disa shpjegime për ngritjen e strukturës së programeve dhe të ekipeve të menaxhimit të programeve). Ekipi i menaxhimit të programit  përbëhet nga përfaqësues (drejtorët apo edhe të tjerë) nga çdo drejtori me interes direkt apo indirekt në menaxhimin e programit. GSBI emëron një nga anëtarët e ekipit si drejtues të ekipit të menaxhimit të programit (DEMP) përgjegjës për përgatitjen e kërkesave buxhetore.</w:t>
      </w:r>
    </w:p>
    <w:p w:rsidR="00FB6B42" w:rsidRPr="00BE3A0F" w:rsidRDefault="00FB6B42" w:rsidP="00FB6B42">
      <w:pPr>
        <w:pStyle w:val="Paragrafi0"/>
        <w:rPr>
          <w:highlight w:val="darkCyan"/>
          <w:lang w:val="it-IT"/>
        </w:rPr>
      </w:pPr>
      <w:r w:rsidRPr="00BE3A0F">
        <w:rPr>
          <w:lang w:val="it-IT"/>
        </w:rPr>
        <w:t xml:space="preserve">Kuadri menaxhues i PBA-së për pushtetin qendror paraqitet në aneksin 1 të udhëzimit nr.7, datë 22.2.2010 “Për përgatitjen e Buxhetit të Shtetit dhe fondet speciale”.  Elemente dhe procedura të këtij kuadri për anologji mund të merren në konsideratë edhe nga pushteti vendor. </w:t>
      </w:r>
    </w:p>
    <w:p w:rsidR="00FB6B42" w:rsidRPr="00FB6B42" w:rsidRDefault="00FB6B42" w:rsidP="00FB6B42">
      <w:pPr>
        <w:pStyle w:val="Paragrafi0"/>
        <w:rPr>
          <w:lang w:val="it-IT"/>
        </w:rPr>
      </w:pPr>
      <w:r w:rsidRPr="00BE3A0F">
        <w:rPr>
          <w:lang w:val="it-IT"/>
        </w:rPr>
        <w:t xml:space="preserve">Përgatitja e buxhetit vjetor është pjesë përbërëse e procesit të përgatitjes së PBA-së, kështu që buxheti vjetor i njësisë së qeverisjes vendore  është viti i parë i PBA-së.  </w:t>
      </w:r>
      <w:r w:rsidRPr="00FB6B42">
        <w:rPr>
          <w:lang w:val="it-IT"/>
        </w:rPr>
        <w:t>Përgatitja e buxhetit për vitin 2011 fillon në mes të muajit mars dhe përfundon në muajin nëntor.</w:t>
      </w:r>
    </w:p>
    <w:p w:rsidR="00FB6B42" w:rsidRPr="00FB6B42" w:rsidRDefault="00FB6B42" w:rsidP="00FB6B42">
      <w:pPr>
        <w:pStyle w:val="Paragrafi0"/>
        <w:rPr>
          <w:lang w:val="it-IT"/>
        </w:rPr>
      </w:pPr>
      <w:bookmarkStart w:id="5" w:name="_Toc191800903"/>
      <w:bookmarkStart w:id="6" w:name="_Toc191801047"/>
      <w:bookmarkStart w:id="7" w:name="_Toc191801072"/>
      <w:bookmarkStart w:id="8" w:name="_Toc191801101"/>
      <w:r w:rsidRPr="00FB6B42">
        <w:rPr>
          <w:lang w:val="it-IT"/>
        </w:rPr>
        <w:t>A.1 Metodat e përgatitjes së PBA-së</w:t>
      </w:r>
      <w:bookmarkEnd w:id="5"/>
      <w:bookmarkEnd w:id="6"/>
      <w:bookmarkEnd w:id="7"/>
      <w:bookmarkEnd w:id="8"/>
    </w:p>
    <w:p w:rsidR="00FB6B42" w:rsidRPr="00FB6B42" w:rsidRDefault="00FB6B42" w:rsidP="00FB6B42">
      <w:pPr>
        <w:pStyle w:val="Paragrafi0"/>
        <w:rPr>
          <w:lang w:val="it-IT"/>
        </w:rPr>
      </w:pPr>
      <w:r w:rsidRPr="00FB6B42">
        <w:rPr>
          <w:lang w:val="it-IT"/>
        </w:rPr>
        <w:t>2. Metodat e përgatitjes së PBA-së parashtrohen në 3 grupe procedurash:</w:t>
      </w:r>
    </w:p>
    <w:p w:rsidR="00FB6B42" w:rsidRPr="00FB6B42" w:rsidRDefault="00FB6B42" w:rsidP="00FB6B42">
      <w:pPr>
        <w:pStyle w:val="Paragrafi0"/>
        <w:rPr>
          <w:lang w:val="it-IT"/>
        </w:rPr>
      </w:pPr>
      <w:r w:rsidRPr="00FB6B42">
        <w:rPr>
          <w:lang w:val="it-IT"/>
        </w:rPr>
        <w:t>- Rishikimi i politikës së programit (aneksi 3/1);</w:t>
      </w:r>
    </w:p>
    <w:p w:rsidR="00FB6B42" w:rsidRPr="00FB6B42" w:rsidRDefault="00FB6B42" w:rsidP="00FB6B42">
      <w:pPr>
        <w:pStyle w:val="Paragrafi0"/>
        <w:rPr>
          <w:lang w:val="it-IT"/>
        </w:rPr>
      </w:pPr>
      <w:r w:rsidRPr="00FB6B42">
        <w:rPr>
          <w:lang w:val="it-IT"/>
        </w:rPr>
        <w:t>- Planifikimi i shpenzimeve të programit (aneksi 4/1);</w:t>
      </w:r>
    </w:p>
    <w:p w:rsidR="00FB6B42" w:rsidRPr="00FB6B42" w:rsidRDefault="00FB6B42" w:rsidP="00FB6B42">
      <w:pPr>
        <w:pStyle w:val="Paragrafi0"/>
        <w:rPr>
          <w:lang w:val="it-IT"/>
        </w:rPr>
      </w:pPr>
      <w:r w:rsidRPr="00FB6B42">
        <w:rPr>
          <w:lang w:val="it-IT"/>
        </w:rPr>
        <w:t>- Menaxhimi i investimeve publike (aneksi 5 i udhëzimit nr.7, datë 22.2.2010 “Për përgatitjen e Buxhetit të Shtetit dhe fondet speciale”). Kjo procedurë është orientuese për përzgjedhjen dhe përfshirjen  e objekteve të investimeve për PBA-në 2010-2012.</w:t>
      </w:r>
    </w:p>
    <w:p w:rsidR="00FB6B42" w:rsidRPr="00FB6B42" w:rsidRDefault="00FB6B42" w:rsidP="00FB6B42">
      <w:pPr>
        <w:pStyle w:val="Paragrafi0"/>
        <w:rPr>
          <w:lang w:val="it-IT"/>
        </w:rPr>
      </w:pPr>
      <w:bookmarkStart w:id="9" w:name="_Toc191800904"/>
      <w:bookmarkStart w:id="10" w:name="_Toc191801048"/>
      <w:bookmarkStart w:id="11" w:name="_Toc191801073"/>
      <w:bookmarkStart w:id="12" w:name="_Toc191801102"/>
      <w:r w:rsidRPr="00FB6B42">
        <w:rPr>
          <w:lang w:val="it-IT"/>
        </w:rPr>
        <w:lastRenderedPageBreak/>
        <w:t>A.2 Tavanet përgatitore të PBA-së</w:t>
      </w:r>
      <w:bookmarkEnd w:id="9"/>
      <w:bookmarkEnd w:id="10"/>
      <w:bookmarkEnd w:id="11"/>
      <w:bookmarkEnd w:id="12"/>
    </w:p>
    <w:p w:rsidR="00FB6B42" w:rsidRPr="00FB6B42" w:rsidRDefault="00FB6B42" w:rsidP="00FB6B42">
      <w:pPr>
        <w:pStyle w:val="Paragrafi0"/>
        <w:rPr>
          <w:lang w:val="it-IT"/>
        </w:rPr>
      </w:pPr>
      <w:r w:rsidRPr="00FB6B42">
        <w:rPr>
          <w:lang w:val="it-IT"/>
        </w:rPr>
        <w:t xml:space="preserve">3. Tavanet përgatitore të PBA-së miratohen nga këshilli i njësisë së qeverisjes vendore brenda muajit  mars 2010. </w:t>
      </w:r>
    </w:p>
    <w:p w:rsidR="00FB6B42" w:rsidRPr="00FB6B42" w:rsidRDefault="00FB6B42" w:rsidP="00FB6B42">
      <w:pPr>
        <w:pStyle w:val="Paragrafi0"/>
        <w:rPr>
          <w:lang w:val="it-IT"/>
        </w:rPr>
      </w:pPr>
      <w:r w:rsidRPr="00FB6B42">
        <w:rPr>
          <w:lang w:val="it-IT"/>
        </w:rPr>
        <w:t>4. Kërkesat buxhetore të ekipeve të menaxhimit të programeve janë detyrimisht brenda tavaneve.</w:t>
      </w:r>
    </w:p>
    <w:p w:rsidR="00FB6B42" w:rsidRPr="00FB6B42" w:rsidRDefault="00FB6B42" w:rsidP="00FB6B42">
      <w:pPr>
        <w:pStyle w:val="Paragrafi0"/>
        <w:rPr>
          <w:lang w:val="it-IT"/>
        </w:rPr>
      </w:pPr>
      <w:bookmarkStart w:id="13" w:name="_Toc191800905"/>
      <w:bookmarkStart w:id="14" w:name="_Toc191801049"/>
      <w:bookmarkStart w:id="15" w:name="_Toc191801074"/>
      <w:bookmarkStart w:id="16" w:name="_Toc191801103"/>
      <w:r w:rsidRPr="00FB6B42">
        <w:rPr>
          <w:lang w:val="it-IT"/>
        </w:rPr>
        <w:t>A.3 Afatet për përgatitjen e PBA-së</w:t>
      </w:r>
      <w:bookmarkEnd w:id="13"/>
      <w:bookmarkEnd w:id="14"/>
      <w:bookmarkEnd w:id="15"/>
      <w:bookmarkEnd w:id="16"/>
      <w:r w:rsidRPr="00FB6B42">
        <w:rPr>
          <w:lang w:val="it-IT"/>
        </w:rPr>
        <w:t xml:space="preserve"> </w:t>
      </w:r>
    </w:p>
    <w:p w:rsidR="00FB6B42" w:rsidRPr="00FB6B42" w:rsidRDefault="00FB6B42" w:rsidP="00FB6B42">
      <w:pPr>
        <w:pStyle w:val="Paragrafi0"/>
        <w:rPr>
          <w:lang w:val="it-IT"/>
        </w:rPr>
      </w:pPr>
      <w:r w:rsidRPr="00FB6B42">
        <w:rPr>
          <w:lang w:val="it-IT"/>
        </w:rPr>
        <w:t>5. Kalendari i përgatitjes së PBA-së miratohet nga kryetari i GSBI-së së NJQV-së. Për përgatitjen e kalendarit të PBA-së, NJQV për analogji mund të merret shembull i qeverisjes qendrore nga aneksi 6 i udhëzimit nr.7, datë 22.2.2010 “Për përgatitjen e Buxhetit të Shtetit dhe fondet speciale”.</w:t>
      </w:r>
    </w:p>
    <w:p w:rsidR="00FB6B42" w:rsidRPr="00FB6B42" w:rsidRDefault="00FB6B42" w:rsidP="00FB6B42">
      <w:pPr>
        <w:pStyle w:val="Paragrafi0"/>
        <w:rPr>
          <w:lang w:val="it-IT"/>
        </w:rPr>
      </w:pPr>
      <w:r w:rsidRPr="00FB6B42">
        <w:rPr>
          <w:lang w:val="it-IT"/>
        </w:rPr>
        <w:t>6. DEMP paraqet kërkesat buxhetore dhe kërkesat shtesë sipas programit tek nëpunësi autorizues i NJQV, brenda datës 15 maj 2010.</w:t>
      </w:r>
    </w:p>
    <w:p w:rsidR="00FB6B42" w:rsidRPr="00FB6B42" w:rsidRDefault="00FB6B42" w:rsidP="00FB6B42">
      <w:pPr>
        <w:pStyle w:val="Paragrafi0"/>
        <w:rPr>
          <w:lang w:val="it-IT"/>
        </w:rPr>
      </w:pPr>
      <w:r w:rsidRPr="00FB6B42">
        <w:rPr>
          <w:lang w:val="it-IT"/>
        </w:rPr>
        <w:t>7. Kërkesat buxhetore të dorëzuara te nëpunësi autorizues i njësisë së qeverisjes vendore vlerësohen dhe miratohen nga GSBI e NJQV.</w:t>
      </w:r>
    </w:p>
    <w:p w:rsidR="00FB6B42" w:rsidRPr="00FB6B42" w:rsidRDefault="00FB6B42" w:rsidP="00FB6B42">
      <w:pPr>
        <w:pStyle w:val="Paragrafi0"/>
        <w:rPr>
          <w:lang w:val="it-IT"/>
        </w:rPr>
      </w:pPr>
      <w:r w:rsidRPr="00FB6B42">
        <w:rPr>
          <w:lang w:val="it-IT"/>
        </w:rPr>
        <w:t>8. Nëpunësi autorizues i njësisë së qeverisjes vendore paraqet pranë këshillit të qeverisjes vendore dokumentin e PBA-së 2011-2013, të miratuar nga GSBI, brenda datës 15 qershor 2009.</w:t>
      </w:r>
    </w:p>
    <w:p w:rsidR="00FB6B42" w:rsidRPr="00FB6B42" w:rsidRDefault="00FB6B42" w:rsidP="00FB6B42">
      <w:pPr>
        <w:pStyle w:val="Paragrafi0"/>
        <w:rPr>
          <w:lang w:val="it-IT"/>
        </w:rPr>
      </w:pPr>
      <w:r w:rsidRPr="00FB6B42">
        <w:rPr>
          <w:lang w:val="it-IT"/>
        </w:rPr>
        <w:t>9. Ndëshkimet e parashikuara në nenin 71 të ligjit nr.9936, datë 26.6.2008 “Për menaxhimin e sistemit buxhetor në Republikën e Shqipërisë” do të zbatohen për nëpunësit autorizues (NA), në çdo rast të mundshëm të mosrespektimit të këtij udhëzimi.</w:t>
      </w:r>
    </w:p>
    <w:p w:rsidR="00FB6B42" w:rsidRPr="00BE3A0F" w:rsidRDefault="00FB6B42" w:rsidP="00FB6B42">
      <w:pPr>
        <w:pStyle w:val="Paragrafi0"/>
        <w:rPr>
          <w:lang w:val="it-IT"/>
        </w:rPr>
      </w:pPr>
      <w:bookmarkStart w:id="17" w:name="_Toc191800909"/>
      <w:bookmarkStart w:id="18" w:name="_Toc191801053"/>
      <w:bookmarkStart w:id="19" w:name="_Toc191801078"/>
      <w:bookmarkStart w:id="20" w:name="_Toc191801107"/>
      <w:r w:rsidRPr="00BE3A0F">
        <w:rPr>
          <w:lang w:val="it-IT"/>
        </w:rPr>
        <w:t>B. Kuadri  ekonomik i njësisë së qeverisjes vendore  2011-201</w:t>
      </w:r>
      <w:bookmarkEnd w:id="17"/>
      <w:bookmarkEnd w:id="18"/>
      <w:bookmarkEnd w:id="19"/>
      <w:bookmarkEnd w:id="20"/>
      <w:r w:rsidRPr="00BE3A0F">
        <w:rPr>
          <w:lang w:val="it-IT"/>
        </w:rPr>
        <w:t>3</w:t>
      </w:r>
    </w:p>
    <w:p w:rsidR="00FB6B42" w:rsidRPr="00FB6B42" w:rsidRDefault="00FB6B42" w:rsidP="00FB6B42">
      <w:pPr>
        <w:pStyle w:val="Paragrafi0"/>
        <w:rPr>
          <w:lang w:val="it-IT"/>
        </w:rPr>
      </w:pPr>
      <w:r w:rsidRPr="00FB6B42">
        <w:rPr>
          <w:lang w:val="it-IT"/>
        </w:rPr>
        <w:t>10. Kuadri ekonomik 2011-2013 përcakton kontekstin ekonomik për programin buxhetor afatmesëm 2011-2013.</w:t>
      </w:r>
    </w:p>
    <w:p w:rsidR="00FB6B42" w:rsidRPr="00FB6B42" w:rsidRDefault="00FB6B42" w:rsidP="00FB6B42">
      <w:pPr>
        <w:pStyle w:val="Paragrafi0"/>
        <w:rPr>
          <w:lang w:val="it-IT"/>
        </w:rPr>
      </w:pPr>
      <w:r w:rsidRPr="00FB6B42">
        <w:rPr>
          <w:lang w:val="it-IT"/>
        </w:rPr>
        <w:t>11. Ai pasqyron parashikime të treguesve ekonomikë dhe financiarë të buxhetit të njësisë së qeverisjes vendore për tre vitet e ardhshme, duke ofruar vlerësime të burimeve që njësia vendore do të ketë në dispozicion për të financuar shpenzimet e saj.</w:t>
      </w:r>
    </w:p>
    <w:p w:rsidR="00FB6B42" w:rsidRPr="00FB6B42" w:rsidRDefault="00FB6B42" w:rsidP="00FB6B42">
      <w:pPr>
        <w:pStyle w:val="Paragrafi0"/>
        <w:rPr>
          <w:lang w:val="it-IT"/>
        </w:rPr>
      </w:pPr>
      <w:r w:rsidRPr="00FB6B42">
        <w:rPr>
          <w:lang w:val="it-IT"/>
        </w:rPr>
        <w:t>12. Këto vlerësime sigurojnë bazën për njësitë e qeverisjes vendore për të përcaktuar tavanet e shpenzimeve të PBA-së.</w:t>
      </w:r>
    </w:p>
    <w:p w:rsidR="00FB6B42" w:rsidRPr="00FB6B42" w:rsidRDefault="00FB6B42" w:rsidP="00FB6B42">
      <w:pPr>
        <w:pStyle w:val="Paragrafi0"/>
        <w:rPr>
          <w:lang w:val="it-IT"/>
        </w:rPr>
      </w:pPr>
      <w:r w:rsidRPr="00FB6B42">
        <w:rPr>
          <w:lang w:val="it-IT"/>
        </w:rPr>
        <w:t>13. Të ardhurat nga taksat vendore përbëhen nga të ardhurat nga:</w:t>
      </w:r>
    </w:p>
    <w:p w:rsidR="00FB6B42" w:rsidRPr="00BE3A0F" w:rsidRDefault="00FB6B42" w:rsidP="00FB6B42">
      <w:pPr>
        <w:pStyle w:val="Paragrafi0"/>
        <w:rPr>
          <w:lang w:val="it-IT"/>
        </w:rPr>
      </w:pPr>
      <w:r w:rsidRPr="00BE3A0F">
        <w:rPr>
          <w:lang w:val="it-IT"/>
        </w:rPr>
        <w:t>- taksa vendore mbi biznesin e vogël;</w:t>
      </w:r>
    </w:p>
    <w:p w:rsidR="00FB6B42" w:rsidRPr="00FB6B42" w:rsidRDefault="00FB6B42" w:rsidP="00FB6B42">
      <w:pPr>
        <w:pStyle w:val="Paragrafi0"/>
        <w:rPr>
          <w:lang w:val="it-IT"/>
        </w:rPr>
      </w:pPr>
      <w:r w:rsidRPr="00FB6B42">
        <w:rPr>
          <w:lang w:val="it-IT"/>
        </w:rPr>
        <w:t>- taksa mbi pasuritë e paluajtshme, në të cilën përfshihen: i) taksa mbi ndërtesat dhe ii) taksa mbi tokën bujqësore;</w:t>
      </w:r>
    </w:p>
    <w:p w:rsidR="00FB6B42" w:rsidRPr="003057DD" w:rsidRDefault="00FB6B42" w:rsidP="00FB6B42">
      <w:pPr>
        <w:pStyle w:val="Paragrafi0"/>
      </w:pPr>
      <w:r>
        <w:t>- t</w:t>
      </w:r>
      <w:r w:rsidRPr="003057DD">
        <w:t>aksa e fjetjes në hotel;</w:t>
      </w:r>
    </w:p>
    <w:p w:rsidR="00FB6B42" w:rsidRPr="00BE3A0F" w:rsidRDefault="00FB6B42" w:rsidP="00FB6B42">
      <w:pPr>
        <w:pStyle w:val="Paragrafi0"/>
        <w:rPr>
          <w:lang w:val="it-IT"/>
        </w:rPr>
      </w:pPr>
      <w:r w:rsidRPr="00BE3A0F">
        <w:rPr>
          <w:lang w:val="it-IT"/>
        </w:rPr>
        <w:t>- taksa e ndikimit në infrastrukturë nga ndërtimet e reja;</w:t>
      </w:r>
    </w:p>
    <w:p w:rsidR="00FB6B42" w:rsidRPr="00BE3A0F" w:rsidRDefault="00FB6B42" w:rsidP="00FB6B42">
      <w:pPr>
        <w:pStyle w:val="Paragrafi0"/>
        <w:rPr>
          <w:lang w:val="it-IT"/>
        </w:rPr>
      </w:pPr>
      <w:r w:rsidRPr="00BE3A0F">
        <w:rPr>
          <w:lang w:val="it-IT"/>
        </w:rPr>
        <w:t>- taksa mbi kalimin e së drejtës së pronësisë për pasuritë e paluajtshme;</w:t>
      </w:r>
    </w:p>
    <w:p w:rsidR="00FB6B42" w:rsidRPr="00BE3A0F" w:rsidRDefault="00FB6B42" w:rsidP="00FB6B42">
      <w:pPr>
        <w:pStyle w:val="Paragrafi0"/>
        <w:rPr>
          <w:lang w:val="it-IT"/>
        </w:rPr>
      </w:pPr>
      <w:r w:rsidRPr="00BE3A0F">
        <w:rPr>
          <w:lang w:val="it-IT"/>
        </w:rPr>
        <w:t>- taksa e regjistrimit të përvitshëm të mjeteve;</w:t>
      </w:r>
    </w:p>
    <w:p w:rsidR="00FB6B42" w:rsidRPr="003057DD" w:rsidRDefault="00FB6B42" w:rsidP="00FB6B42">
      <w:pPr>
        <w:pStyle w:val="Paragrafi0"/>
      </w:pPr>
      <w:r>
        <w:t>- t</w:t>
      </w:r>
      <w:r w:rsidRPr="003057DD">
        <w:t>aksa për zënien e hapësirave publike;</w:t>
      </w:r>
    </w:p>
    <w:p w:rsidR="00FB6B42" w:rsidRPr="003057DD" w:rsidRDefault="00FB6B42" w:rsidP="00FB6B42">
      <w:pPr>
        <w:pStyle w:val="Paragrafi0"/>
      </w:pPr>
      <w:r>
        <w:t>- t</w:t>
      </w:r>
      <w:r w:rsidRPr="003057DD">
        <w:t>aksa e tabelës;</w:t>
      </w:r>
    </w:p>
    <w:p w:rsidR="00FB6B42" w:rsidRPr="003057DD" w:rsidRDefault="00FB6B42" w:rsidP="00FB6B42">
      <w:pPr>
        <w:pStyle w:val="Paragrafi0"/>
      </w:pPr>
      <w:r>
        <w:t>- t</w:t>
      </w:r>
      <w:r w:rsidRPr="003057DD">
        <w:t>aksa të përkohshme.</w:t>
      </w:r>
    </w:p>
    <w:p w:rsidR="00FB6B42" w:rsidRPr="003057DD" w:rsidRDefault="00FB6B42" w:rsidP="00FB6B42">
      <w:pPr>
        <w:pStyle w:val="Paragrafi0"/>
      </w:pPr>
      <w:r>
        <w:t>14. Të</w:t>
      </w:r>
      <w:r w:rsidRPr="003057DD">
        <w:t xml:space="preserve"> ardhura n</w:t>
      </w:r>
      <w:r>
        <w:t>ga tarifat vendore përfshijnë të</w:t>
      </w:r>
      <w:r w:rsidRPr="003057DD">
        <w:t xml:space="preserve"> ardhurat nga:</w:t>
      </w:r>
    </w:p>
    <w:p w:rsidR="00FB6B42" w:rsidRPr="003057DD" w:rsidRDefault="00FB6B42" w:rsidP="00FB6B42">
      <w:pPr>
        <w:pStyle w:val="Paragrafi0"/>
      </w:pPr>
      <w:r>
        <w:t>- t</w:t>
      </w:r>
      <w:r w:rsidRPr="003057DD">
        <w:t>arifat e shërbimeve t</w:t>
      </w:r>
      <w:r>
        <w:t>ë</w:t>
      </w:r>
      <w:r w:rsidRPr="003057DD">
        <w:t xml:space="preserve"> ndryshme pub</w:t>
      </w:r>
      <w:r>
        <w:t>like;</w:t>
      </w:r>
    </w:p>
    <w:p w:rsidR="00FB6B42" w:rsidRPr="003057DD" w:rsidRDefault="00FB6B42" w:rsidP="00FB6B42">
      <w:pPr>
        <w:pStyle w:val="Paragrafi0"/>
      </w:pPr>
      <w:r>
        <w:t>- t</w:t>
      </w:r>
      <w:r w:rsidRPr="003057DD">
        <w:t xml:space="preserve">arifat </w:t>
      </w:r>
      <w:r>
        <w:t>e mallrave të ndryshme publike.</w:t>
      </w:r>
    </w:p>
    <w:p w:rsidR="00FB6B42" w:rsidRPr="003057DD" w:rsidRDefault="00FB6B42" w:rsidP="00FB6B42">
      <w:pPr>
        <w:pStyle w:val="Paragrafi0"/>
      </w:pPr>
      <w:r>
        <w:t>15. Të a</w:t>
      </w:r>
      <w:r w:rsidRPr="003057DD">
        <w:t>rdhura të tjera</w:t>
      </w:r>
      <w:r>
        <w:t>:</w:t>
      </w:r>
    </w:p>
    <w:p w:rsidR="00FB6B42" w:rsidRPr="003057DD" w:rsidRDefault="00FB6B42" w:rsidP="00FB6B42">
      <w:pPr>
        <w:pStyle w:val="Paragrafi0"/>
      </w:pPr>
      <w:r>
        <w:t>- t</w:t>
      </w:r>
      <w:r w:rsidRPr="003057DD">
        <w:t>ë ardhu</w:t>
      </w:r>
      <w:r>
        <w:t>rat nga  veprimtaritë ekonomike;</w:t>
      </w:r>
    </w:p>
    <w:p w:rsidR="00FB6B42" w:rsidRPr="003057DD" w:rsidRDefault="00FB6B42" w:rsidP="00FB6B42">
      <w:pPr>
        <w:pStyle w:val="Paragrafi0"/>
      </w:pPr>
      <w:r>
        <w:t>- t</w:t>
      </w:r>
      <w:r w:rsidRPr="003057DD">
        <w:t>ë ardhurat nga shitja e pasurive kapitale të njësive të qeveri</w:t>
      </w:r>
      <w:r>
        <w:t>sjes vendore të lejuara me ligj;</w:t>
      </w:r>
    </w:p>
    <w:p w:rsidR="00FB6B42" w:rsidRPr="003057DD" w:rsidRDefault="00FB6B42" w:rsidP="00FB6B42">
      <w:pPr>
        <w:pStyle w:val="Paragrafi0"/>
      </w:pPr>
      <w:r>
        <w:t>- të ardhurat nga qi</w:t>
      </w:r>
      <w:r w:rsidRPr="003057DD">
        <w:t>ratë mbi trojet, ndërtes</w:t>
      </w:r>
      <w:r>
        <w:t>at dhe objektet e tjera vendore;</w:t>
      </w:r>
    </w:p>
    <w:p w:rsidR="00FB6B42" w:rsidRPr="00FB6B42" w:rsidRDefault="00FB6B42" w:rsidP="00FB6B42">
      <w:pPr>
        <w:pStyle w:val="Paragrafi0"/>
        <w:rPr>
          <w:lang w:val="it-IT"/>
        </w:rPr>
      </w:pPr>
      <w:r w:rsidRPr="00BE3A0F">
        <w:rPr>
          <w:lang w:val="it-IT"/>
        </w:rPr>
        <w:t xml:space="preserve">- të ardhura nga kontribute dhe sponsorizime të ndryshme. </w:t>
      </w:r>
      <w:r w:rsidRPr="00FB6B42">
        <w:rPr>
          <w:lang w:val="it-IT"/>
        </w:rPr>
        <w:t>Këtu përfshihen të ardhurat nga ndihmat, dhurime dhe sponsorizime;</w:t>
      </w:r>
    </w:p>
    <w:p w:rsidR="00FB6B42" w:rsidRPr="00FB6B42" w:rsidRDefault="00FB6B42" w:rsidP="00FB6B42">
      <w:pPr>
        <w:pStyle w:val="Paragrafi0"/>
        <w:rPr>
          <w:lang w:val="it-IT"/>
        </w:rPr>
      </w:pPr>
      <w:r w:rsidRPr="00FB6B42">
        <w:rPr>
          <w:lang w:val="it-IT"/>
        </w:rPr>
        <w:t>- të ardhura nga gjobat;</w:t>
      </w:r>
    </w:p>
    <w:p w:rsidR="00FB6B42" w:rsidRPr="00FB6B42" w:rsidRDefault="00FB6B42" w:rsidP="00FB6B42">
      <w:pPr>
        <w:pStyle w:val="Paragrafi0"/>
        <w:rPr>
          <w:lang w:val="it-IT"/>
        </w:rPr>
      </w:pPr>
      <w:r w:rsidRPr="00FB6B42">
        <w:rPr>
          <w:lang w:val="it-IT"/>
        </w:rPr>
        <w:t>- të ardhura të tjera;</w:t>
      </w:r>
    </w:p>
    <w:p w:rsidR="00FB6B42" w:rsidRPr="00FB6B42" w:rsidRDefault="00FB6B42" w:rsidP="00FB6B42">
      <w:pPr>
        <w:pStyle w:val="Paragrafi0"/>
        <w:rPr>
          <w:lang w:val="it-IT"/>
        </w:rPr>
      </w:pPr>
      <w:r w:rsidRPr="00FB6B42">
        <w:rPr>
          <w:lang w:val="it-IT"/>
        </w:rPr>
        <w:t>- të ardhura nga institucione në varësi të njësive të qeverisjes vendore.</w:t>
      </w:r>
    </w:p>
    <w:p w:rsidR="00FB6B42" w:rsidRPr="00FB6B42" w:rsidRDefault="00FB6B42" w:rsidP="00FB6B42">
      <w:pPr>
        <w:pStyle w:val="Paragrafi0"/>
        <w:rPr>
          <w:lang w:val="it-IT"/>
        </w:rPr>
      </w:pPr>
      <w:r w:rsidRPr="00FB6B42">
        <w:rPr>
          <w:lang w:val="it-IT"/>
        </w:rPr>
        <w:t>Këto të ardhura do të llogariten duke marrë në konsideratë ndryshimet ligjore të bëra gjatë vitit 2009 në lidhje me taksat dhe tarifat vendore.</w:t>
      </w:r>
    </w:p>
    <w:p w:rsidR="00FB6B42" w:rsidRPr="00FB6B42" w:rsidRDefault="00FB6B42" w:rsidP="00FB6B42">
      <w:pPr>
        <w:pStyle w:val="Paragrafi0"/>
        <w:rPr>
          <w:lang w:val="it-IT"/>
        </w:rPr>
      </w:pPr>
      <w:bookmarkStart w:id="21" w:name="_Toc191800910"/>
      <w:bookmarkStart w:id="22" w:name="_Toc191801054"/>
      <w:bookmarkStart w:id="23" w:name="_Toc191801079"/>
      <w:bookmarkStart w:id="24" w:name="_Toc191801108"/>
      <w:r w:rsidRPr="00FB6B42">
        <w:rPr>
          <w:lang w:val="it-IT"/>
        </w:rPr>
        <w:t>C. Tavanët përgatitorë të PBA-s</w:t>
      </w:r>
      <w:bookmarkEnd w:id="21"/>
      <w:bookmarkEnd w:id="22"/>
      <w:bookmarkEnd w:id="23"/>
      <w:bookmarkEnd w:id="24"/>
      <w:r w:rsidRPr="00FB6B42">
        <w:rPr>
          <w:lang w:val="it-IT"/>
        </w:rPr>
        <w:t>ë</w:t>
      </w:r>
    </w:p>
    <w:p w:rsidR="00FB6B42" w:rsidRPr="00FB6B42" w:rsidRDefault="00FB6B42" w:rsidP="00FB6B42">
      <w:pPr>
        <w:pStyle w:val="Paragrafi0"/>
        <w:rPr>
          <w:lang w:val="it-IT"/>
        </w:rPr>
      </w:pPr>
      <w:r w:rsidRPr="00FB6B42">
        <w:rPr>
          <w:lang w:val="it-IT"/>
        </w:rPr>
        <w:t xml:space="preserve">16. Tavanët përgatitorë të PBA-së për çdo program miratohen nga këshilli i njësisë së qeverisjes vendore në muajin mars. </w:t>
      </w:r>
    </w:p>
    <w:p w:rsidR="00FB6B42" w:rsidRPr="00FB6B42" w:rsidRDefault="00FB6B42" w:rsidP="00FB6B42">
      <w:pPr>
        <w:pStyle w:val="Paragrafi0"/>
        <w:rPr>
          <w:lang w:val="it-IT"/>
        </w:rPr>
      </w:pPr>
      <w:r w:rsidRPr="00FB6B42">
        <w:rPr>
          <w:lang w:val="it-IT"/>
        </w:rPr>
        <w:lastRenderedPageBreak/>
        <w:t xml:space="preserve">17. Përcaktimi i tavanëve përgatitorë sipas programeve realizohet duke marrë në konsideratë buxhetin 2010. </w:t>
      </w:r>
    </w:p>
    <w:p w:rsidR="00FB6B42" w:rsidRPr="00FB6B42" w:rsidRDefault="00FB6B42" w:rsidP="00FB6B42">
      <w:pPr>
        <w:pStyle w:val="Paragrafi0"/>
        <w:rPr>
          <w:lang w:val="it-IT"/>
        </w:rPr>
      </w:pPr>
      <w:r w:rsidRPr="00FB6B42">
        <w:rPr>
          <w:lang w:val="it-IT"/>
        </w:rPr>
        <w:t xml:space="preserve">18. Tavani përgatitor i PBA-së për çdo program buxhetor ndahet në 5 nëntavanë, të cilët janë: </w:t>
      </w:r>
    </w:p>
    <w:p w:rsidR="00FB6B42" w:rsidRPr="00FB6B42" w:rsidRDefault="00FB6B42" w:rsidP="00FB6B42">
      <w:pPr>
        <w:pStyle w:val="Paragrafi0"/>
        <w:rPr>
          <w:lang w:val="it-IT"/>
        </w:rPr>
      </w:pPr>
      <w:r w:rsidRPr="00FB6B42">
        <w:rPr>
          <w:lang w:val="it-IT"/>
        </w:rPr>
        <w:t xml:space="preserve">- Shpenzimet e personelit. Në këtë nëntavan përfshihen të gjitha shpenzimet për paga sipas politikave ekzistuese të pagave dhe numrit të miratuar të punonjësve për vitin 2009. Implikimet financiare të çdo politike të re që do të ndërmerret, vlerësohen në fazën e dytë.  </w:t>
      </w:r>
    </w:p>
    <w:p w:rsidR="00FB6B42" w:rsidRPr="00FB6B42" w:rsidRDefault="00FB6B42" w:rsidP="00FB6B42">
      <w:pPr>
        <w:pStyle w:val="Paragrafi0"/>
        <w:rPr>
          <w:lang w:val="it-IT"/>
        </w:rPr>
      </w:pPr>
      <w:r w:rsidRPr="00FB6B42">
        <w:rPr>
          <w:lang w:val="it-IT"/>
        </w:rPr>
        <w:t>- Shpenzimet e tjera korrente në këtë nëntavan përfshihen të gjitha shpenzimet e tjera korrente, të tilla si shpenzimet operative dhe mirëmbajtje (602), subvencionet (603), transfertat e brendshme (604), transfertat e huaja (605) dhe transfertat te buxhetet familjare/individët (606). Shpenzimet operative dhe të mirëmbajtjes parashikohet të rriten gradualisht. Kjo rritje do të orientohet sidomos në sektorët e infrastrukturës rrugore, arsimit, si rrjedhojë edhe e rritjes së nivelit të investimeve gjatë këtyre viteve.</w:t>
      </w:r>
    </w:p>
    <w:p w:rsidR="00FB6B42" w:rsidRPr="00FB6B42" w:rsidRDefault="00FB6B42" w:rsidP="00FB6B42">
      <w:pPr>
        <w:pStyle w:val="Paragrafi0"/>
        <w:rPr>
          <w:lang w:val="it-IT"/>
        </w:rPr>
      </w:pPr>
    </w:p>
    <w:p w:rsidR="00FB6B42" w:rsidRPr="00FB6B42" w:rsidRDefault="00FB6B42" w:rsidP="00FB6B42">
      <w:pPr>
        <w:pStyle w:val="Paragrafi0"/>
        <w:rPr>
          <w:lang w:val="it-IT"/>
        </w:rPr>
      </w:pPr>
      <w:r w:rsidRPr="00FB6B42">
        <w:rPr>
          <w:lang w:val="it-IT"/>
        </w:rPr>
        <w:t>- Investimet e brendshme. Në këtë nëntavan përfshihen shpenzimet kapitale për rritjen e aktiveve të brendshme të trupëzuara dhe të patrupëzuara të financuara me burimet e buxhetit lokal, pagesat e TVSH-së dhe detyrime të tjera doganore për investimet e huaja (230-231).</w:t>
      </w:r>
    </w:p>
    <w:p w:rsidR="00FB6B42" w:rsidRPr="00FB6B42" w:rsidRDefault="00FB6B42" w:rsidP="00FB6B42">
      <w:pPr>
        <w:pStyle w:val="Paragrafi0"/>
        <w:rPr>
          <w:lang w:val="it-IT"/>
        </w:rPr>
      </w:pPr>
      <w:r w:rsidRPr="00FB6B42">
        <w:rPr>
          <w:lang w:val="it-IT"/>
        </w:rPr>
        <w:t>- Investimet e huaja. Fondi i investimeve nga burime të huaja mbështetur në marrëveshjet dhe kontrata e lidhura me donatorë apo banka të ndryshme (huatë).</w:t>
      </w:r>
    </w:p>
    <w:p w:rsidR="00FB6B42" w:rsidRPr="00FB6B42" w:rsidRDefault="00FB6B42" w:rsidP="00FB6B42">
      <w:pPr>
        <w:pStyle w:val="Paragrafi0"/>
        <w:rPr>
          <w:lang w:val="it-IT"/>
        </w:rPr>
      </w:pPr>
      <w:bookmarkStart w:id="25" w:name="_Toc191800911"/>
      <w:bookmarkStart w:id="26" w:name="_Toc191801055"/>
      <w:bookmarkStart w:id="27" w:name="_Toc191801080"/>
      <w:bookmarkStart w:id="28" w:name="_Toc191801109"/>
      <w:r w:rsidRPr="00FB6B42">
        <w:rPr>
          <w:lang w:val="it-IT"/>
        </w:rPr>
        <w:t>Ç.  Programi buxhetor afatmesëm 2011-201</w:t>
      </w:r>
      <w:bookmarkEnd w:id="25"/>
      <w:bookmarkEnd w:id="26"/>
      <w:bookmarkEnd w:id="27"/>
      <w:bookmarkEnd w:id="28"/>
      <w:r w:rsidRPr="00FB6B42">
        <w:rPr>
          <w:lang w:val="it-IT"/>
        </w:rPr>
        <w:t>3</w:t>
      </w:r>
    </w:p>
    <w:p w:rsidR="00FB6B42" w:rsidRPr="00FB6B42" w:rsidRDefault="00FB6B42" w:rsidP="00FB6B42">
      <w:pPr>
        <w:pStyle w:val="Paragrafi0"/>
        <w:rPr>
          <w:lang w:val="it-IT"/>
        </w:rPr>
      </w:pPr>
      <w:r w:rsidRPr="00FB6B42">
        <w:rPr>
          <w:lang w:val="it-IT"/>
        </w:rPr>
        <w:t>19. Dokumenti i programit buxhetor afatmesëm 2011-2013, përgatitet nga njësia e qeverisjes vendore, duke u mbështetur në:</w:t>
      </w:r>
    </w:p>
    <w:p w:rsidR="00FB6B42" w:rsidRPr="00FB6B42" w:rsidRDefault="00FB6B42" w:rsidP="00FB6B42">
      <w:pPr>
        <w:pStyle w:val="Paragrafi0"/>
        <w:rPr>
          <w:lang w:val="it-IT"/>
        </w:rPr>
      </w:pPr>
      <w:r w:rsidRPr="00FB6B42">
        <w:rPr>
          <w:lang w:val="it-IT"/>
        </w:rPr>
        <w:t>- kuadrin ekonomik 2011-2013;</w:t>
      </w:r>
    </w:p>
    <w:p w:rsidR="00FB6B42" w:rsidRPr="00FB6B42" w:rsidRDefault="00FB6B42" w:rsidP="00FB6B42">
      <w:pPr>
        <w:pStyle w:val="Paragrafi0"/>
        <w:rPr>
          <w:lang w:val="it-IT"/>
        </w:rPr>
      </w:pPr>
      <w:r w:rsidRPr="00FB6B42">
        <w:rPr>
          <w:lang w:val="it-IT"/>
        </w:rPr>
        <w:t>- kërkesat e drejtuesve të programeve  për PBA-në;</w:t>
      </w:r>
    </w:p>
    <w:p w:rsidR="00FB6B42" w:rsidRPr="00FB6B42" w:rsidRDefault="00FB6B42" w:rsidP="00FB6B42">
      <w:pPr>
        <w:pStyle w:val="Paragrafi0"/>
        <w:rPr>
          <w:lang w:val="it-IT"/>
        </w:rPr>
      </w:pPr>
      <w:r w:rsidRPr="00FB6B42">
        <w:rPr>
          <w:lang w:val="it-IT"/>
        </w:rPr>
        <w:t>- kërkesat shtesë për PBA-në.</w:t>
      </w:r>
    </w:p>
    <w:p w:rsidR="00FB6B42" w:rsidRPr="00FB6B42" w:rsidRDefault="00FB6B42" w:rsidP="00FB6B42">
      <w:pPr>
        <w:pStyle w:val="Paragrafi0"/>
        <w:rPr>
          <w:lang w:val="it-IT"/>
        </w:rPr>
      </w:pPr>
      <w:r w:rsidRPr="00FB6B42">
        <w:rPr>
          <w:lang w:val="it-IT"/>
        </w:rPr>
        <w:t>20. Dokumenti i programit buxhetor afatmesëm 2011-2013, dërgohet në këshillin e njësisë së qeverisjes vendore në muajin qershor.</w:t>
      </w:r>
    </w:p>
    <w:p w:rsidR="00FB6B42" w:rsidRPr="00FB6B42" w:rsidRDefault="00FB6B42" w:rsidP="00FB6B42">
      <w:pPr>
        <w:pStyle w:val="Paragrafi0"/>
        <w:rPr>
          <w:lang w:val="it-IT"/>
        </w:rPr>
      </w:pPr>
      <w:r w:rsidRPr="00FB6B42">
        <w:rPr>
          <w:lang w:val="it-IT"/>
        </w:rPr>
        <w:t>21. Brenda datës 1 qershor çdo njësi e qeverisjes vendore duhet të dërgojë në Ministrinë e Financave, me shkrim dhe në rrugë elektronike, formularin nr.1 “Parashikimi i të ardhurave për periudhën 2011-2013” dhe formularin nr.2 “Parashikimi i shpërndarjes së burimeve financiare për periudhën 2010-2012” (bashkëlidhur gjeni këta formularë).</w:t>
      </w:r>
    </w:p>
    <w:p w:rsidR="00FB6B42" w:rsidRPr="00FB6B42" w:rsidRDefault="00FB6B42" w:rsidP="00FB6B42">
      <w:pPr>
        <w:pStyle w:val="Paragrafi0"/>
        <w:rPr>
          <w:lang w:val="it-IT"/>
        </w:rPr>
      </w:pPr>
      <w:bookmarkStart w:id="29" w:name="_Toc191800912"/>
      <w:bookmarkStart w:id="30" w:name="_Toc191801056"/>
      <w:bookmarkStart w:id="31" w:name="_Toc191801081"/>
      <w:bookmarkStart w:id="32" w:name="_Toc191801110"/>
      <w:r w:rsidRPr="00FB6B42">
        <w:rPr>
          <w:lang w:val="it-IT"/>
        </w:rPr>
        <w:t>D. Procedurat për përgatitjen e kërkesave buxhetore të programit</w:t>
      </w:r>
      <w:bookmarkEnd w:id="29"/>
      <w:bookmarkEnd w:id="30"/>
      <w:bookmarkEnd w:id="31"/>
      <w:bookmarkEnd w:id="32"/>
      <w:r w:rsidRPr="00FB6B42">
        <w:rPr>
          <w:lang w:val="it-IT"/>
        </w:rPr>
        <w:t xml:space="preserve"> </w:t>
      </w:r>
    </w:p>
    <w:p w:rsidR="00FB6B42" w:rsidRPr="00FB6B42" w:rsidRDefault="00FB6B42" w:rsidP="00FB6B42">
      <w:pPr>
        <w:pStyle w:val="Paragrafi0"/>
        <w:rPr>
          <w:lang w:val="it-IT"/>
        </w:rPr>
      </w:pPr>
      <w:r w:rsidRPr="00FB6B42">
        <w:rPr>
          <w:lang w:val="it-IT"/>
        </w:rPr>
        <w:t>22. PSHP - planifikimi i shpenzimeve të programit për njësitë e qeverisjes vendore bëhet nëpërmjet tabelave të excel-it bashkëlidhur këtij udhëzimi. Afati i dorëzimit të kërkesave buxhetore, bashkë me kërkesat shtesë nga drejtuesi i ekipit të menaxhimit të çdo programi te nëpunësi autorizues i njësisë së qeverisjes vendore, është 15 maj 2010.</w:t>
      </w:r>
    </w:p>
    <w:p w:rsidR="00FB6B42" w:rsidRPr="00FB6B42" w:rsidRDefault="00FB6B42" w:rsidP="00FB6B42">
      <w:pPr>
        <w:pStyle w:val="Paragrafi0"/>
        <w:rPr>
          <w:lang w:val="it-IT"/>
        </w:rPr>
      </w:pPr>
      <w:bookmarkStart w:id="33" w:name="_Toc191800913"/>
      <w:bookmarkStart w:id="34" w:name="_Toc191801057"/>
      <w:bookmarkStart w:id="35" w:name="_Toc191801082"/>
      <w:bookmarkStart w:id="36" w:name="_Toc191801111"/>
      <w:r w:rsidRPr="00FB6B42">
        <w:rPr>
          <w:lang w:val="it-IT"/>
        </w:rPr>
        <w:t>D.1 Rishikimi i politikës së programit</w:t>
      </w:r>
      <w:bookmarkEnd w:id="33"/>
      <w:bookmarkEnd w:id="34"/>
      <w:bookmarkEnd w:id="35"/>
      <w:bookmarkEnd w:id="36"/>
      <w:r w:rsidRPr="00FB6B42">
        <w:rPr>
          <w:lang w:val="it-IT"/>
        </w:rPr>
        <w:t xml:space="preserve"> </w:t>
      </w:r>
    </w:p>
    <w:p w:rsidR="00FB6B42" w:rsidRPr="00BE3A0F" w:rsidRDefault="00FB6B42" w:rsidP="00FB6B42">
      <w:pPr>
        <w:pStyle w:val="Paragrafi0"/>
        <w:rPr>
          <w:lang w:val="it-IT"/>
        </w:rPr>
      </w:pPr>
      <w:r w:rsidRPr="00BE3A0F">
        <w:rPr>
          <w:lang w:val="it-IT"/>
        </w:rPr>
        <w:t xml:space="preserve">23. Rishikimi i politikës së programit (RPP) starton procesin e përgatitjes së PBA-së. Nëpërmjet këtij procesi, të gjitha njësitë e qeverisjes vendore (bashki/komunë/qark) hartojnë një deklaratë të politikës së programit për secilin program shpenzimesh. Kjo deklaratë përbën një pjesë integrale të dokumentit të programit buxhetor afatmesëm. </w:t>
      </w:r>
    </w:p>
    <w:p w:rsidR="00FB6B42" w:rsidRPr="00FB6B42" w:rsidRDefault="00FB6B42" w:rsidP="00FB6B42">
      <w:pPr>
        <w:pStyle w:val="Paragrafi0"/>
        <w:rPr>
          <w:lang w:val="it-IT"/>
        </w:rPr>
      </w:pPr>
      <w:r w:rsidRPr="00FB6B42">
        <w:rPr>
          <w:lang w:val="it-IT"/>
        </w:rPr>
        <w:t>24. Procedura që do të përdoret për rishikimin e politikave të programit jepet në aneksin 3/1.</w:t>
      </w:r>
    </w:p>
    <w:p w:rsidR="00FB6B42" w:rsidRPr="00FB6B42" w:rsidRDefault="00FB6B42" w:rsidP="00FB6B42">
      <w:pPr>
        <w:pStyle w:val="Paragrafi0"/>
        <w:rPr>
          <w:lang w:val="it-IT"/>
        </w:rPr>
      </w:pPr>
      <w:bookmarkStart w:id="37" w:name="_Toc191800914"/>
      <w:bookmarkStart w:id="38" w:name="_Toc191801058"/>
      <w:bookmarkStart w:id="39" w:name="_Toc191801083"/>
      <w:bookmarkStart w:id="40" w:name="_Toc191801112"/>
      <w:r w:rsidRPr="00FB6B42">
        <w:rPr>
          <w:lang w:val="it-IT"/>
        </w:rPr>
        <w:t>D.2 Planifikimi i shpenzimeve të programit</w:t>
      </w:r>
      <w:bookmarkEnd w:id="37"/>
      <w:bookmarkEnd w:id="38"/>
      <w:bookmarkEnd w:id="39"/>
      <w:bookmarkEnd w:id="40"/>
    </w:p>
    <w:p w:rsidR="00FB6B42" w:rsidRPr="00FB6B42" w:rsidRDefault="00FB6B42" w:rsidP="00FB6B42">
      <w:pPr>
        <w:pStyle w:val="Paragrafi0"/>
        <w:rPr>
          <w:lang w:val="it-IT"/>
        </w:rPr>
      </w:pPr>
      <w:r w:rsidRPr="00FB6B42">
        <w:rPr>
          <w:lang w:val="it-IT"/>
        </w:rPr>
        <w:t>25. Planifikimi i shpenzimeve të programit (PSHP) është bërthama e procesit të përgatitjes së PBA-së. Procedurat që do të përdoren për planifikimin e shpenzimeve të programit jepen në aneksin 4/1.</w:t>
      </w:r>
    </w:p>
    <w:p w:rsidR="00FB6B42" w:rsidRPr="00FB6B42" w:rsidRDefault="00FB6B42" w:rsidP="00FB6B42">
      <w:pPr>
        <w:pStyle w:val="Paragrafi0"/>
        <w:rPr>
          <w:lang w:val="it-IT"/>
        </w:rPr>
      </w:pPr>
      <w:bookmarkStart w:id="41" w:name="_Toc191800915"/>
      <w:bookmarkStart w:id="42" w:name="_Toc191801059"/>
      <w:bookmarkStart w:id="43" w:name="_Toc191801084"/>
      <w:bookmarkStart w:id="44" w:name="_Toc191801113"/>
      <w:r w:rsidRPr="00FB6B42">
        <w:rPr>
          <w:lang w:val="it-IT"/>
        </w:rPr>
        <w:t>D.3 Kërkesa shtesë për shpenzime në PBA</w:t>
      </w:r>
      <w:bookmarkEnd w:id="41"/>
      <w:bookmarkEnd w:id="42"/>
      <w:bookmarkEnd w:id="43"/>
      <w:bookmarkEnd w:id="44"/>
      <w:r w:rsidRPr="00FB6B42">
        <w:rPr>
          <w:lang w:val="it-IT"/>
        </w:rPr>
        <w:t xml:space="preserve"> </w:t>
      </w:r>
    </w:p>
    <w:p w:rsidR="00FB6B42" w:rsidRPr="00FB6B42" w:rsidRDefault="00FB6B42" w:rsidP="00FB6B42">
      <w:pPr>
        <w:pStyle w:val="Paragrafi0"/>
        <w:rPr>
          <w:lang w:val="it-IT"/>
        </w:rPr>
      </w:pPr>
      <w:r w:rsidRPr="00FB6B42">
        <w:rPr>
          <w:lang w:val="it-IT"/>
        </w:rPr>
        <w:t>26. Në paraqitjen e kërkesës shtesë për shpenzime në PBA, DEMP përshkruan se cili është kufizimi i vetëm më i rëndësishëm në implementimin e politikës së programit, si dhe çfarë veprimesh do të mund të ndërmerren për të lehtësuar këtë kufizim. Këto veprime mund të përfshijnë kërkimin e fondeve shtesë ose lehtësime rregullatore. Miratimi i kërkesës shtesë për PBA, për një ose më shumë programe, kërkon rialokimin e burimeve nga programet më pak prioritare të njësisë së qeverisjes vendore, në momentin kur tavanet e PBA-së do të vendosen nga këshilli NJQV.</w:t>
      </w:r>
    </w:p>
    <w:p w:rsidR="00FB6B42" w:rsidRPr="00FB6B42" w:rsidRDefault="00FB6B42" w:rsidP="00FB6B42">
      <w:pPr>
        <w:pStyle w:val="Paragrafi0"/>
        <w:rPr>
          <w:lang w:val="it-IT"/>
        </w:rPr>
      </w:pPr>
      <w:r w:rsidRPr="00FB6B42">
        <w:rPr>
          <w:lang w:val="it-IT"/>
        </w:rPr>
        <w:t>27. Kërkesa shtesë për shpenzime në PBA mund të paraqiten duke përdorur raportet e excel-it bashkëlidhur.</w:t>
      </w:r>
    </w:p>
    <w:p w:rsidR="00FB6B42" w:rsidRPr="00FB6B42" w:rsidRDefault="00FB6B42" w:rsidP="00FB6B42">
      <w:pPr>
        <w:pStyle w:val="Paragrafi0"/>
        <w:rPr>
          <w:lang w:val="it-IT"/>
        </w:rPr>
      </w:pPr>
      <w:bookmarkStart w:id="45" w:name="_Toc191800916"/>
      <w:bookmarkStart w:id="46" w:name="_Toc191801060"/>
      <w:bookmarkStart w:id="47" w:name="_Toc191801085"/>
      <w:bookmarkStart w:id="48" w:name="_Toc191801114"/>
      <w:r w:rsidRPr="00FB6B42">
        <w:rPr>
          <w:lang w:val="it-IT"/>
        </w:rPr>
        <w:t>D.4 Procedurat e menaxhimit të investimeve publike</w:t>
      </w:r>
      <w:bookmarkEnd w:id="45"/>
      <w:bookmarkEnd w:id="46"/>
      <w:bookmarkEnd w:id="47"/>
      <w:bookmarkEnd w:id="48"/>
      <w:r w:rsidRPr="00FB6B42">
        <w:rPr>
          <w:lang w:val="it-IT"/>
        </w:rPr>
        <w:t xml:space="preserve"> </w:t>
      </w:r>
    </w:p>
    <w:p w:rsidR="00FB6B42" w:rsidRPr="00FB6B42" w:rsidRDefault="00FB6B42" w:rsidP="00FB6B42">
      <w:pPr>
        <w:pStyle w:val="Paragrafi0"/>
        <w:rPr>
          <w:lang w:val="it-IT"/>
        </w:rPr>
      </w:pPr>
      <w:r w:rsidRPr="00FB6B42">
        <w:rPr>
          <w:lang w:val="it-IT"/>
        </w:rPr>
        <w:lastRenderedPageBreak/>
        <w:t>28. Procedurat e menaxhimit të investimeve publike jepen në aneksin 5 të udhëzimit nr.7, datë 22.2.2010 “Për përgatitjen e Buxhetit të Shtetit dhe fondet speciale”. Procedurat e menaxhimit të investimeve publike përcaktojnë ciklin e projekteve të investimeve, si edhe në detaje të gjitha hapat që duhet të ndërmerren për përgatitjen e propozimeve për projekte investimi.  Për PBA-në 2011-2013 këto procedura janë orientuese.</w:t>
      </w:r>
    </w:p>
    <w:p w:rsidR="00FB6B42" w:rsidRPr="00FB6B42" w:rsidRDefault="00FB6B42" w:rsidP="00FB6B42">
      <w:pPr>
        <w:pStyle w:val="Paragrafi0"/>
        <w:rPr>
          <w:lang w:val="it-IT"/>
        </w:rPr>
      </w:pPr>
      <w:r w:rsidRPr="00FB6B42">
        <w:rPr>
          <w:lang w:val="it-IT"/>
        </w:rPr>
        <w:t>29. Për efekt të parashikimeve buxhetore, kurset mesatare të këmbimit të vitit 2008 do të shërbejnë  edhe për periudhën 2011-2013.</w:t>
      </w:r>
    </w:p>
    <w:p w:rsidR="00FB6B42" w:rsidRPr="00FB6B42" w:rsidRDefault="00FB6B42" w:rsidP="00FB6B42">
      <w:pPr>
        <w:pStyle w:val="Paragrafi0"/>
        <w:rPr>
          <w:highlight w:val="yellow"/>
          <w:lang w:val="it-IT"/>
        </w:rPr>
      </w:pPr>
    </w:p>
    <w:p w:rsidR="00FB6B42" w:rsidRPr="00FB6B42" w:rsidRDefault="00FB6B42" w:rsidP="00FB6B42">
      <w:pPr>
        <w:pStyle w:val="Paragrafi0"/>
        <w:rPr>
          <w:highlight w:val="yellow"/>
          <w:lang w:val="it-IT"/>
        </w:rPr>
      </w:pPr>
    </w:p>
    <w:tbl>
      <w:tblPr>
        <w:tblW w:w="9506" w:type="dxa"/>
        <w:tblLook w:val="0000" w:firstRow="0" w:lastRow="0" w:firstColumn="0" w:lastColumn="0" w:noHBand="0" w:noVBand="0"/>
      </w:tblPr>
      <w:tblGrid>
        <w:gridCol w:w="530"/>
        <w:gridCol w:w="2777"/>
        <w:gridCol w:w="1034"/>
        <w:gridCol w:w="1033"/>
        <w:gridCol w:w="1033"/>
        <w:gridCol w:w="1033"/>
        <w:gridCol w:w="1033"/>
        <w:gridCol w:w="1033"/>
      </w:tblGrid>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jc w:val="center"/>
              <w:rPr>
                <w:b/>
                <w:sz w:val="21"/>
                <w:szCs w:val="21"/>
              </w:rPr>
            </w:pPr>
            <w:r w:rsidRPr="00784709">
              <w:rPr>
                <w:b/>
                <w:sz w:val="21"/>
                <w:szCs w:val="21"/>
              </w:rPr>
              <w:t>Nr.</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jc w:val="center"/>
              <w:rPr>
                <w:b/>
                <w:sz w:val="21"/>
                <w:szCs w:val="21"/>
              </w:rPr>
            </w:pPr>
            <w:r w:rsidRPr="00784709">
              <w:rPr>
                <w:b/>
                <w:sz w:val="21"/>
                <w:szCs w:val="21"/>
              </w:rPr>
              <w:t>Emërtimi i monedhave</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jc w:val="center"/>
              <w:rPr>
                <w:b/>
                <w:sz w:val="21"/>
                <w:szCs w:val="21"/>
              </w:rPr>
            </w:pPr>
            <w:r w:rsidRPr="00784709">
              <w:rPr>
                <w:b/>
                <w:sz w:val="21"/>
                <w:szCs w:val="21"/>
              </w:rPr>
              <w:t>2008</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jc w:val="center"/>
              <w:rPr>
                <w:b/>
                <w:sz w:val="21"/>
                <w:szCs w:val="21"/>
              </w:rPr>
            </w:pPr>
            <w:r w:rsidRPr="00784709">
              <w:rPr>
                <w:b/>
                <w:sz w:val="21"/>
                <w:szCs w:val="21"/>
              </w:rPr>
              <w:t>2009</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jc w:val="center"/>
              <w:rPr>
                <w:b/>
                <w:sz w:val="21"/>
                <w:szCs w:val="21"/>
              </w:rPr>
            </w:pPr>
            <w:r w:rsidRPr="00784709">
              <w:rPr>
                <w:b/>
                <w:sz w:val="21"/>
                <w:szCs w:val="21"/>
              </w:rPr>
              <w:t>2010 p</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jc w:val="center"/>
              <w:rPr>
                <w:b/>
                <w:sz w:val="21"/>
                <w:szCs w:val="21"/>
              </w:rPr>
            </w:pPr>
            <w:r w:rsidRPr="00784709">
              <w:rPr>
                <w:b/>
                <w:sz w:val="21"/>
                <w:szCs w:val="21"/>
              </w:rPr>
              <w:t>2011 p</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jc w:val="center"/>
              <w:rPr>
                <w:b/>
                <w:sz w:val="21"/>
                <w:szCs w:val="21"/>
              </w:rPr>
            </w:pPr>
            <w:r w:rsidRPr="00784709">
              <w:rPr>
                <w:b/>
                <w:sz w:val="21"/>
                <w:szCs w:val="21"/>
              </w:rPr>
              <w:t>2012 p</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jc w:val="center"/>
              <w:rPr>
                <w:b/>
                <w:sz w:val="21"/>
                <w:szCs w:val="21"/>
              </w:rPr>
            </w:pPr>
            <w:r w:rsidRPr="00784709">
              <w:rPr>
                <w:b/>
                <w:sz w:val="21"/>
                <w:szCs w:val="21"/>
              </w:rPr>
              <w:t>2013 p</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1</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Jeni japonez (për 100) (JPY)</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81.68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101.60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101.60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101.60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101.60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101.60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2</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Sterlina angleze (GBP)</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154.37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148.29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148.29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148.29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148.29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148.29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3</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Franga zvicerane (CHF)</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77.50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87.50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87.50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87.50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87.50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87.50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4</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Euro</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122.80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132.06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135.50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134.50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132.00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129.00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5</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Dollar austrialan (AUD)</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70.84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74.90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74.90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74.90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74.90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74.90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6</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Dollar kanadez (CAD)</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78.82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83.41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83.41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83.41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83.41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83.41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7</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Korona suedeze (SEK)</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12.80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12.46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12.46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12.46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12.46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12.46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8</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Korona norvegjeze (NOK)</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14.97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15.15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15.15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15.15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15.15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15.15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9</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Korona daneze (DKK)</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16.48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17.74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17.74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17.74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17.74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17.74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10</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Spec drawing (RIGH)</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132.35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146.26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146.26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146.26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146.26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146.26 </w:t>
            </w:r>
          </w:p>
        </w:tc>
      </w:tr>
      <w:tr w:rsidR="00FB6B42" w:rsidRPr="00784709" w:rsidTr="00FB6B42">
        <w:trPr>
          <w:trHeight w:val="27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11</w:t>
            </w:r>
          </w:p>
        </w:tc>
        <w:tc>
          <w:tcPr>
            <w:tcW w:w="2776" w:type="dxa"/>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Dollar amerikan (USD)</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83.89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94.98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95.50 </w:t>
            </w:r>
          </w:p>
        </w:tc>
        <w:tc>
          <w:tcPr>
            <w:tcW w:w="0" w:type="auto"/>
            <w:tcBorders>
              <w:top w:val="single" w:sz="8" w:space="0" w:color="auto"/>
              <w:left w:val="nil"/>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95.00 </w:t>
            </w:r>
          </w:p>
        </w:tc>
        <w:tc>
          <w:tcPr>
            <w:tcW w:w="0" w:type="auto"/>
            <w:tcBorders>
              <w:top w:val="single" w:sz="8" w:space="0" w:color="auto"/>
              <w:left w:val="nil"/>
              <w:bottom w:val="single" w:sz="8" w:space="0" w:color="auto"/>
              <w:right w:val="nil"/>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94.70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rsidR="00FB6B42" w:rsidRPr="00784709" w:rsidRDefault="00FB6B42" w:rsidP="00FB6B42">
            <w:pPr>
              <w:pStyle w:val="Tabele"/>
              <w:rPr>
                <w:sz w:val="21"/>
                <w:szCs w:val="21"/>
              </w:rPr>
            </w:pPr>
            <w:r w:rsidRPr="00784709">
              <w:rPr>
                <w:sz w:val="21"/>
                <w:szCs w:val="21"/>
              </w:rPr>
              <w:t xml:space="preserve">      95.04 </w:t>
            </w:r>
          </w:p>
        </w:tc>
      </w:tr>
    </w:tbl>
    <w:p w:rsidR="00FB6B42" w:rsidRPr="003057DD" w:rsidRDefault="00FB6B42" w:rsidP="00FB6B42">
      <w:pPr>
        <w:pStyle w:val="Paragrafi0"/>
        <w:rPr>
          <w:highlight w:val="yellow"/>
        </w:rPr>
      </w:pPr>
    </w:p>
    <w:p w:rsidR="00FB6B42" w:rsidRPr="003057DD" w:rsidRDefault="00FB6B42" w:rsidP="00FB6B42">
      <w:pPr>
        <w:pStyle w:val="Paragrafi0"/>
      </w:pPr>
      <w:r w:rsidRPr="003057DD">
        <w:t>DH. Transferta e pakushtëzuar e njësive t</w:t>
      </w:r>
      <w:r>
        <w:t>ë</w:t>
      </w:r>
      <w:r w:rsidRPr="003057DD">
        <w:t xml:space="preserve"> qeverisjes vendore</w:t>
      </w:r>
    </w:p>
    <w:p w:rsidR="00FB6B42" w:rsidRPr="003057DD" w:rsidRDefault="00FB6B42" w:rsidP="00FB6B42">
      <w:pPr>
        <w:pStyle w:val="Paragrafi0"/>
      </w:pPr>
      <w:r>
        <w:t>30. Transferta e pakushtëzuar (g</w:t>
      </w:r>
      <w:r w:rsidRPr="003057DD">
        <w:t xml:space="preserve">randi) është e ardhur e pushtetit vendor, e </w:t>
      </w:r>
      <w:r>
        <w:t>trashëgueshme, e përfituar nga Buxheti i S</w:t>
      </w:r>
      <w:r w:rsidRPr="003057DD">
        <w:t>htetit pa kusht kthimi, pa interes, e cila përdoret për financimin e shpenzimeve për funksionet e veta dhe t</w:t>
      </w:r>
      <w:r>
        <w:t>ë</w:t>
      </w:r>
      <w:r w:rsidRPr="003057DD">
        <w:t xml:space="preserve"> përbashkëta t</w:t>
      </w:r>
      <w:r>
        <w:t>ë</w:t>
      </w:r>
      <w:r w:rsidRPr="003057DD">
        <w:t xml:space="preserve"> njësive t</w:t>
      </w:r>
      <w:r>
        <w:t>ë</w:t>
      </w:r>
      <w:r w:rsidRPr="003057DD">
        <w:t xml:space="preserve"> qeverisjes vendore t</w:t>
      </w:r>
      <w:r>
        <w:t>ë</w:t>
      </w:r>
      <w:r w:rsidRPr="003057DD">
        <w:t xml:space="preserve"> përcaktuara n</w:t>
      </w:r>
      <w:r>
        <w:t>ë ligjin nr.</w:t>
      </w:r>
      <w:r w:rsidRPr="003057DD">
        <w:t>8652, dat</w:t>
      </w:r>
      <w:r>
        <w:t>ë 31.7.2000</w:t>
      </w:r>
      <w:r w:rsidRPr="003057DD">
        <w:t xml:space="preserve"> “Për organizimin dhe funksionimin e qeverisjes vendore”. </w:t>
      </w:r>
    </w:p>
    <w:p w:rsidR="00FB6B42" w:rsidRPr="003057DD" w:rsidRDefault="00FB6B42" w:rsidP="00FB6B42">
      <w:pPr>
        <w:pStyle w:val="Paragrafi0"/>
      </w:pPr>
      <w:r>
        <w:t xml:space="preserve">31. </w:t>
      </w:r>
      <w:r w:rsidRPr="003057DD">
        <w:t>Niveli (tavani) i transfert</w:t>
      </w:r>
      <w:r>
        <w:t>ë</w:t>
      </w:r>
      <w:r w:rsidRPr="003057DD">
        <w:t>s s</w:t>
      </w:r>
      <w:r>
        <w:t>ë</w:t>
      </w:r>
      <w:r w:rsidRPr="003057DD">
        <w:t xml:space="preserve"> p</w:t>
      </w:r>
      <w:r>
        <w:t>akushtëzuar për vitet 2011-2013</w:t>
      </w:r>
      <w:r w:rsidRPr="003057DD">
        <w:t xml:space="preserve"> (s</w:t>
      </w:r>
      <w:r>
        <w:t>ë</w:t>
      </w:r>
      <w:r w:rsidRPr="003057DD">
        <w:t xml:space="preserve"> bashku me t</w:t>
      </w:r>
      <w:r>
        <w:t>ë</w:t>
      </w:r>
      <w:r w:rsidRPr="003057DD">
        <w:t xml:space="preserve"> ardhurat nga taksat dhe tarifat</w:t>
      </w:r>
      <w:r>
        <w:t xml:space="preserve"> vendore)</w:t>
      </w:r>
      <w:r w:rsidRPr="003057DD">
        <w:t xml:space="preserve"> financon funksionet dhe kompetencat q</w:t>
      </w:r>
      <w:r>
        <w:t>ë</w:t>
      </w:r>
      <w:r w:rsidRPr="003057DD">
        <w:t xml:space="preserve"> janë transferuar n</w:t>
      </w:r>
      <w:r>
        <w:t>ë</w:t>
      </w:r>
      <w:r w:rsidRPr="003057DD">
        <w:t xml:space="preserve"> pushtetin vendor deri n</w:t>
      </w:r>
      <w:r>
        <w:t>ë vitin 2010. Për transferimet</w:t>
      </w:r>
      <w:r w:rsidRPr="003057DD">
        <w:t xml:space="preserve"> e funksioneve q</w:t>
      </w:r>
      <w:r>
        <w:t>ë</w:t>
      </w:r>
      <w:r w:rsidRPr="003057DD">
        <w:t xml:space="preserve"> mund t</w:t>
      </w:r>
      <w:r>
        <w:t>ë</w:t>
      </w:r>
      <w:r w:rsidRPr="003057DD">
        <w:t xml:space="preserve"> bëhen n</w:t>
      </w:r>
      <w:r>
        <w:t>ë</w:t>
      </w:r>
      <w:r w:rsidRPr="003057DD">
        <w:t xml:space="preserve"> t</w:t>
      </w:r>
      <w:r>
        <w:t>ë</w:t>
      </w:r>
      <w:r w:rsidRPr="003057DD">
        <w:t xml:space="preserve"> ardhmen</w:t>
      </w:r>
      <w:r>
        <w:t>,</w:t>
      </w:r>
      <w:r w:rsidRPr="003057DD">
        <w:t xml:space="preserve"> niveli i tranfert</w:t>
      </w:r>
      <w:r>
        <w:t>ë</w:t>
      </w:r>
      <w:r w:rsidRPr="003057DD">
        <w:t>s s</w:t>
      </w:r>
      <w:r>
        <w:t>ë</w:t>
      </w:r>
      <w:r w:rsidRPr="003057DD">
        <w:t xml:space="preserve"> pakushtëzuar do t</w:t>
      </w:r>
      <w:r>
        <w:t>ë</w:t>
      </w:r>
      <w:r w:rsidRPr="003057DD">
        <w:t xml:space="preserve"> shtohet n</w:t>
      </w:r>
      <w:r>
        <w:t>ë</w:t>
      </w:r>
      <w:r w:rsidRPr="003057DD">
        <w:t xml:space="preserve"> varësi t</w:t>
      </w:r>
      <w:r>
        <w:t>ë funksionit</w:t>
      </w:r>
      <w:r w:rsidRPr="003057DD">
        <w:t xml:space="preserve"> ose kompetencës s</w:t>
      </w:r>
      <w:r>
        <w:t>ë</w:t>
      </w:r>
      <w:r w:rsidRPr="003057DD">
        <w:t xml:space="preserve"> transferuar dhe faturës përkatëse t</w:t>
      </w:r>
      <w:r>
        <w:t>ë</w:t>
      </w:r>
      <w:r w:rsidRPr="003057DD">
        <w:t xml:space="preserve"> saj.</w:t>
      </w:r>
    </w:p>
    <w:p w:rsidR="00FB6B42" w:rsidRPr="003057DD" w:rsidRDefault="00FB6B42" w:rsidP="00FB6B42">
      <w:pPr>
        <w:pStyle w:val="Paragrafi0"/>
      </w:pPr>
      <w:r w:rsidRPr="003057DD">
        <w:t>E. Rregulla për ndarjen apo delegimin e funksioneve ndërmjet njësive t</w:t>
      </w:r>
      <w:r>
        <w:t>ë</w:t>
      </w:r>
      <w:r w:rsidRPr="003057DD">
        <w:t xml:space="preserve"> qeverisjes qendrore dhe njësive t</w:t>
      </w:r>
      <w:r>
        <w:t>ë</w:t>
      </w:r>
      <w:r w:rsidRPr="003057DD">
        <w:t xml:space="preserve"> qeverisjes vendore</w:t>
      </w:r>
    </w:p>
    <w:p w:rsidR="00FB6B42" w:rsidRPr="003057DD" w:rsidRDefault="00FB6B42" w:rsidP="00FB6B42">
      <w:pPr>
        <w:pStyle w:val="Paragrafi0"/>
      </w:pPr>
      <w:r>
        <w:t xml:space="preserve">32. </w:t>
      </w:r>
      <w:r w:rsidRPr="003057DD">
        <w:t>N</w:t>
      </w:r>
      <w:r>
        <w:t>ë</w:t>
      </w:r>
      <w:r w:rsidRPr="003057DD">
        <w:t xml:space="preserve"> baz</w:t>
      </w:r>
      <w:r>
        <w:t>ë</w:t>
      </w:r>
      <w:r w:rsidRPr="003057DD">
        <w:t xml:space="preserve"> t</w:t>
      </w:r>
      <w:r>
        <w:t>ë</w:t>
      </w:r>
      <w:r w:rsidRPr="003057DD">
        <w:t xml:space="preserve"> legjislacionit n</w:t>
      </w:r>
      <w:r>
        <w:t>ë</w:t>
      </w:r>
      <w:r w:rsidRPr="003057DD">
        <w:t xml:space="preserve"> fuqi për pushtetin vendor</w:t>
      </w:r>
      <w:r>
        <w:t>,</w:t>
      </w:r>
      <w:r w:rsidRPr="003057DD">
        <w:t xml:space="preserve"> kemi: i)</w:t>
      </w:r>
      <w:r>
        <w:t xml:space="preserve"> </w:t>
      </w:r>
      <w:r w:rsidRPr="003057DD">
        <w:t>funksione t</w:t>
      </w:r>
      <w:r>
        <w:t>ë</w:t>
      </w:r>
      <w:r w:rsidRPr="003057DD">
        <w:t xml:space="preserve"> përbashkëta q</w:t>
      </w:r>
      <w:r>
        <w:t>ë</w:t>
      </w:r>
      <w:r w:rsidRPr="003057DD">
        <w:t xml:space="preserve"> kryhen nga kontributi i pushtetit vendor dhe atij qendror</w:t>
      </w:r>
      <w:r>
        <w:t>,</w:t>
      </w:r>
      <w:r w:rsidRPr="003057DD">
        <w:t xml:space="preserve"> si dhe ii)</w:t>
      </w:r>
      <w:r>
        <w:t xml:space="preserve"> </w:t>
      </w:r>
      <w:r w:rsidRPr="003057DD">
        <w:t>funksione t</w:t>
      </w:r>
      <w:r>
        <w:t>ë</w:t>
      </w:r>
      <w:r w:rsidRPr="003057DD">
        <w:t xml:space="preserve"> deleguar</w:t>
      </w:r>
      <w:r>
        <w:t>a</w:t>
      </w:r>
      <w:r w:rsidRPr="003057DD">
        <w:t xml:space="preserve"> t</w:t>
      </w:r>
      <w:r>
        <w:t>ë</w:t>
      </w:r>
      <w:r w:rsidRPr="003057DD">
        <w:t xml:space="preserve"> cilat delegohen nga një nivel pushteti n</w:t>
      </w:r>
      <w:r>
        <w:t>ë</w:t>
      </w:r>
      <w:r w:rsidRPr="003057DD">
        <w:t xml:space="preserve"> një nivel tjetër ose brenda për brenda t</w:t>
      </w:r>
      <w:r>
        <w:t>ë</w:t>
      </w:r>
      <w:r w:rsidRPr="003057DD">
        <w:t xml:space="preserve"> njëjtit nivel pushteti.</w:t>
      </w:r>
    </w:p>
    <w:p w:rsidR="00FB6B42" w:rsidRPr="003057DD" w:rsidRDefault="00FB6B42" w:rsidP="00FB6B42">
      <w:pPr>
        <w:pStyle w:val="Paragrafi0"/>
      </w:pPr>
      <w:r w:rsidRPr="003057DD">
        <w:t>Ë. Funksione të përbashkëta</w:t>
      </w:r>
    </w:p>
    <w:p w:rsidR="00FB6B42" w:rsidRPr="003057DD" w:rsidRDefault="00FB6B42" w:rsidP="00FB6B42">
      <w:pPr>
        <w:pStyle w:val="Paragrafi0"/>
      </w:pPr>
      <w:r>
        <w:t xml:space="preserve">33. </w:t>
      </w:r>
      <w:r w:rsidRPr="003057DD">
        <w:t>N</w:t>
      </w:r>
      <w:r>
        <w:t>ë</w:t>
      </w:r>
      <w:r w:rsidRPr="003057DD">
        <w:t xml:space="preserve"> baz</w:t>
      </w:r>
      <w:r>
        <w:t>ë</w:t>
      </w:r>
      <w:r w:rsidRPr="003057DD">
        <w:t xml:space="preserve"> t</w:t>
      </w:r>
      <w:r>
        <w:t>ë</w:t>
      </w:r>
      <w:r w:rsidRPr="003057DD">
        <w:t xml:space="preserve"> nenit 11 t</w:t>
      </w:r>
      <w:r>
        <w:t>ë ligjit nr.</w:t>
      </w:r>
      <w:r w:rsidRPr="003057DD">
        <w:t>8652, dat</w:t>
      </w:r>
      <w:r>
        <w:t>ë 31.7.2000</w:t>
      </w:r>
      <w:r w:rsidRPr="003057DD">
        <w:t xml:space="preserve"> “Për organizimin dhe funksionimin e qeverisjes vendore”, midis pushtetit qendror dhe atij vendor ndahen detyra dhe kompetenca për funksionet e përbashkëta. </w:t>
      </w:r>
    </w:p>
    <w:p w:rsidR="00FB6B42" w:rsidRPr="003057DD" w:rsidRDefault="00FB6B42" w:rsidP="00FB6B42">
      <w:pPr>
        <w:pStyle w:val="Paragrafi0"/>
      </w:pPr>
      <w:r>
        <w:t xml:space="preserve">34. </w:t>
      </w:r>
      <w:r w:rsidRPr="003057DD">
        <w:t>N</w:t>
      </w:r>
      <w:r>
        <w:t>ë</w:t>
      </w:r>
      <w:r w:rsidRPr="003057DD">
        <w:t xml:space="preserve"> baz</w:t>
      </w:r>
      <w:r>
        <w:t>ë</w:t>
      </w:r>
      <w:r w:rsidRPr="003057DD">
        <w:t xml:space="preserve"> t</w:t>
      </w:r>
      <w:r>
        <w:t>ë</w:t>
      </w:r>
      <w:r w:rsidRPr="003057DD">
        <w:t xml:space="preserve"> këtij neni, bashkitë dhe komunat  kryejnë funksione të përbashkëta për:</w:t>
      </w:r>
    </w:p>
    <w:p w:rsidR="00FB6B42" w:rsidRPr="003057DD" w:rsidRDefault="00FB6B42" w:rsidP="00FB6B42">
      <w:pPr>
        <w:pStyle w:val="Paragrafi0"/>
      </w:pPr>
      <w:r w:rsidRPr="003057DD">
        <w:t xml:space="preserve"> </w:t>
      </w:r>
      <w:r>
        <w:t xml:space="preserve">- </w:t>
      </w:r>
      <w:r w:rsidRPr="003057DD">
        <w:t xml:space="preserve">arsimin parashkollor dhe parauniversitar; </w:t>
      </w:r>
    </w:p>
    <w:p w:rsidR="00FB6B42" w:rsidRPr="003057DD" w:rsidRDefault="00FB6B42" w:rsidP="00FB6B42">
      <w:pPr>
        <w:pStyle w:val="Paragrafi0"/>
      </w:pPr>
      <w:r w:rsidRPr="003057DD">
        <w:t xml:space="preserve"> </w:t>
      </w:r>
      <w:r>
        <w:t xml:space="preserve">- </w:t>
      </w:r>
      <w:r w:rsidRPr="003057DD">
        <w:t xml:space="preserve">sistemin e shërbimit parësor shëndetësor dhe mbrojtjen e shëndetit publik; </w:t>
      </w:r>
    </w:p>
    <w:p w:rsidR="00FB6B42" w:rsidRDefault="00FB6B42" w:rsidP="00FB6B42">
      <w:pPr>
        <w:pStyle w:val="Paragrafi0"/>
      </w:pPr>
      <w:r w:rsidRPr="003057DD">
        <w:t xml:space="preserve"> </w:t>
      </w:r>
      <w:r>
        <w:t xml:space="preserve">- </w:t>
      </w:r>
      <w:r w:rsidRPr="003057DD">
        <w:t>kujdesin social, zbutjen e varfërisë dhe garantimin e funksionimit të institucioneve përkatëse;</w:t>
      </w:r>
    </w:p>
    <w:p w:rsidR="00FB6B42" w:rsidRDefault="00FB6B42" w:rsidP="00FB6B42">
      <w:pPr>
        <w:pStyle w:val="Paragrafi0"/>
      </w:pPr>
      <w:r>
        <w:t xml:space="preserve">- </w:t>
      </w:r>
      <w:r w:rsidRPr="003057DD">
        <w:t>rendin publik dhe mbrojtjen civile;</w:t>
      </w:r>
    </w:p>
    <w:p w:rsidR="00FB6B42" w:rsidRPr="003057DD" w:rsidRDefault="00FB6B42" w:rsidP="00FB6B42">
      <w:pPr>
        <w:pStyle w:val="Paragrafi0"/>
      </w:pPr>
      <w:r>
        <w:t xml:space="preserve">- </w:t>
      </w:r>
      <w:r w:rsidRPr="003057DD">
        <w:t>mbrojtjen e mjedisit;</w:t>
      </w:r>
    </w:p>
    <w:p w:rsidR="00FB6B42" w:rsidRPr="003057DD" w:rsidRDefault="00FB6B42" w:rsidP="00FB6B42">
      <w:pPr>
        <w:pStyle w:val="Paragrafi0"/>
      </w:pPr>
      <w:r>
        <w:t xml:space="preserve">- </w:t>
      </w:r>
      <w:r w:rsidRPr="003057DD">
        <w:t>funksione të tjera të përbashkëta, sipas mënyrës së përcaktuar me ligj.</w:t>
      </w:r>
    </w:p>
    <w:p w:rsidR="00FB6B42" w:rsidRPr="003057DD" w:rsidRDefault="00FB6B42" w:rsidP="00FB6B42">
      <w:pPr>
        <w:pStyle w:val="Paragrafi0"/>
      </w:pPr>
      <w:r>
        <w:t>35. Në</w:t>
      </w:r>
      <w:r w:rsidRPr="003057DD">
        <w:t xml:space="preserve"> bazë të akteve ligjore dhe nënligjore të miratuara në zbatim të reformës së decentralizimit, janë ndarë detyrat</w:t>
      </w:r>
      <w:r>
        <w:t xml:space="preserve"> dhe kompetencat në fushën</w:t>
      </w:r>
      <w:r w:rsidRPr="003057DD">
        <w:t xml:space="preserve"> e arsimit parauniversitar, të kujdesit social dhe zbutjes së varfërisë e të mbrojtjes së mjedisit.</w:t>
      </w:r>
    </w:p>
    <w:p w:rsidR="00FB6B42" w:rsidRPr="003057DD" w:rsidRDefault="00FB6B42" w:rsidP="00FB6B42">
      <w:pPr>
        <w:pStyle w:val="Paragrafi0"/>
      </w:pPr>
      <w:r w:rsidRPr="003057DD">
        <w:t>F. Funksione të deleguara</w:t>
      </w:r>
    </w:p>
    <w:p w:rsidR="00FB6B42" w:rsidRPr="003057DD" w:rsidRDefault="00FB6B42" w:rsidP="00FB6B42">
      <w:pPr>
        <w:pStyle w:val="Paragrafi0"/>
      </w:pPr>
      <w:r>
        <w:lastRenderedPageBreak/>
        <w:t xml:space="preserve">36. </w:t>
      </w:r>
      <w:r w:rsidRPr="003057DD">
        <w:t>N</w:t>
      </w:r>
      <w:r>
        <w:t>ë</w:t>
      </w:r>
      <w:r w:rsidRPr="003057DD">
        <w:t xml:space="preserve"> baz</w:t>
      </w:r>
      <w:r>
        <w:t>ë</w:t>
      </w:r>
      <w:r w:rsidRPr="003057DD">
        <w:t xml:space="preserve"> t</w:t>
      </w:r>
      <w:r>
        <w:t>ë nenit 12</w:t>
      </w:r>
      <w:r w:rsidRPr="003057DD">
        <w:t xml:space="preserve"> t</w:t>
      </w:r>
      <w:r>
        <w:t>ë ligjit nr.</w:t>
      </w:r>
      <w:r w:rsidRPr="003057DD">
        <w:t>8652, dat</w:t>
      </w:r>
      <w:r>
        <w:t>ë 31.7.2000</w:t>
      </w:r>
      <w:r w:rsidRPr="003057DD">
        <w:t xml:space="preserve"> “Për organizimin dhe funksionimin e qeverisjes vendore”, funksionet dhe k</w:t>
      </w:r>
      <w:r>
        <w:t xml:space="preserve">ompetencat e deleguara janë: </w:t>
      </w:r>
      <w:r w:rsidRPr="003057DD">
        <w:t>i)</w:t>
      </w:r>
      <w:r>
        <w:t xml:space="preserve"> të </w:t>
      </w:r>
      <w:r w:rsidRPr="003057DD">
        <w:t>detyrueshme ose ii)</w:t>
      </w:r>
      <w:r>
        <w:t xml:space="preserve"> </w:t>
      </w:r>
      <w:r w:rsidRPr="003057DD">
        <w:t>jo të detyrueshme. Funksione dhe kompetenca të detyrueshme janë ato të përcaktuara me ligj, si p</w:t>
      </w:r>
      <w:r>
        <w:t>.</w:t>
      </w:r>
      <w:r w:rsidRPr="003057DD">
        <w:t>sh</w:t>
      </w:r>
      <w:r>
        <w:t>. në</w:t>
      </w:r>
      <w:r w:rsidRPr="003057DD">
        <w:t xml:space="preserve"> r</w:t>
      </w:r>
      <w:r>
        <w:t>astin konkret është Shërbimi i Gjendjes C</w:t>
      </w:r>
      <w:r w:rsidRPr="003057DD">
        <w:t>ivile.</w:t>
      </w:r>
    </w:p>
    <w:p w:rsidR="00FB6B42" w:rsidRPr="003057DD" w:rsidRDefault="00FB6B42" w:rsidP="00FB6B42">
      <w:pPr>
        <w:pStyle w:val="Paragrafi0"/>
      </w:pPr>
      <w:r>
        <w:t xml:space="preserve">37. </w:t>
      </w:r>
      <w:r w:rsidRPr="003057DD">
        <w:t>Komunës, bashkisë o</w:t>
      </w:r>
      <w:r>
        <w:t>se qarkut</w:t>
      </w:r>
      <w:r w:rsidRPr="003057DD">
        <w:t xml:space="preserve"> mund t'u delegohen funksione dhe kompetenca të tjera jo të detyrueshme, mbi bazën e një marrëveshjeje midis njësisë së qeverisjes vendore përkatëse dhe institucionit qendror përgjegjës me ligj për këtë funksion ose kompetencë. Në çdo rast</w:t>
      </w:r>
      <w:r>
        <w:t>,</w:t>
      </w:r>
      <w:r w:rsidRPr="003057DD">
        <w:t xml:space="preserve"> institucionet qendrore u garantojnë njësive të qeverisjes vendore mbështetjen e nevojshme financiare për ushtrimin e funksioneve dhe kompetencave të deleguara.</w:t>
      </w:r>
    </w:p>
    <w:p w:rsidR="00FB6B42" w:rsidRPr="003057DD" w:rsidRDefault="00FB6B42" w:rsidP="00FB6B42">
      <w:pPr>
        <w:pStyle w:val="Paragrafi0"/>
      </w:pPr>
      <w:r>
        <w:t xml:space="preserve">38. </w:t>
      </w:r>
      <w:r w:rsidRPr="003057DD">
        <w:t>Komuna, bashkia ose qarku, me nismën e tyre</w:t>
      </w:r>
      <w:r>
        <w:t>,</w:t>
      </w:r>
      <w:r w:rsidRPr="003057DD">
        <w:t xml:space="preserve"> mund të përdorin burimet e veta financiare për ushtrimin e funksioneve dhe kompetencave të deleguara, me synim ngritjen në nivel më të lartë të shërbimi</w:t>
      </w:r>
      <w:r>
        <w:t>t në interes të bashkësisë. Kohët e fundit kjo e drejtë</w:t>
      </w:r>
      <w:r w:rsidRPr="003057DD">
        <w:t xml:space="preserve"> është ushtruar nga disa komuna</w:t>
      </w:r>
      <w:r>
        <w:t xml:space="preserve"> ku i kanë deleguar këshillit të</w:t>
      </w:r>
      <w:r w:rsidRPr="003057DD">
        <w:t xml:space="preserve"> qarkut t</w:t>
      </w:r>
      <w:r>
        <w:t>ë</w:t>
      </w:r>
      <w:r w:rsidRPr="003057DD">
        <w:t xml:space="preserve"> drejtën e planifikimit dhe menaxhimit t</w:t>
      </w:r>
      <w:r>
        <w:t>ë</w:t>
      </w:r>
      <w:r w:rsidRPr="003057DD">
        <w:t xml:space="preserve"> tokës urbane (leje ndërtimi etj</w:t>
      </w:r>
      <w:r>
        <w:t>.</w:t>
      </w:r>
      <w:r w:rsidRPr="003057DD">
        <w:t>)</w:t>
      </w:r>
      <w:r>
        <w:t>.</w:t>
      </w:r>
    </w:p>
    <w:p w:rsidR="00FB6B42" w:rsidRDefault="00FB6B42" w:rsidP="00FB6B42">
      <w:pPr>
        <w:pStyle w:val="Paragrafi0"/>
      </w:pPr>
      <w:r>
        <w:t>G. Mënyrat e llogaritjes së transfertave</w:t>
      </w:r>
      <w:r w:rsidRPr="003057DD">
        <w:t xml:space="preserve"> t</w:t>
      </w:r>
      <w:r>
        <w:t>ë</w:t>
      </w:r>
      <w:r w:rsidRPr="003057DD">
        <w:t xml:space="preserve"> pakushtëzuar</w:t>
      </w:r>
      <w:r>
        <w:t>a</w:t>
      </w:r>
      <w:r w:rsidRPr="003057DD">
        <w:t xml:space="preserve"> dhe t</w:t>
      </w:r>
      <w:r>
        <w:t>ë</w:t>
      </w:r>
      <w:r w:rsidRPr="003057DD">
        <w:t xml:space="preserve"> kushtëzuar</w:t>
      </w:r>
      <w:r>
        <w:t>a për njësitë</w:t>
      </w:r>
      <w:r w:rsidRPr="003057DD">
        <w:t xml:space="preserve"> e qeverisjes vendore</w:t>
      </w:r>
    </w:p>
    <w:p w:rsidR="00FB6B42" w:rsidRPr="003057DD" w:rsidRDefault="00FB6B42" w:rsidP="00FB6B42">
      <w:pPr>
        <w:pStyle w:val="Paragrafi0"/>
      </w:pPr>
      <w:r>
        <w:t>G.1</w:t>
      </w:r>
      <w:r w:rsidRPr="003057DD">
        <w:t xml:space="preserve"> Transferta e pakushtëzuar </w:t>
      </w:r>
    </w:p>
    <w:p w:rsidR="00FB6B42" w:rsidRPr="003057DD" w:rsidRDefault="00FB6B42" w:rsidP="00FB6B42">
      <w:pPr>
        <w:pStyle w:val="Paragrafi0"/>
      </w:pPr>
      <w:r>
        <w:t xml:space="preserve">39. </w:t>
      </w:r>
      <w:r w:rsidRPr="003057DD">
        <w:t>Transfert</w:t>
      </w:r>
      <w:r>
        <w:t>a e pakushtëzuar për vitin 2011 do të</w:t>
      </w:r>
      <w:r w:rsidRPr="003057DD">
        <w:t xml:space="preserve"> jet</w:t>
      </w:r>
      <w:r>
        <w:t>ë afërsisht 3</w:t>
      </w:r>
      <w:r w:rsidRPr="003057DD">
        <w:t>% m</w:t>
      </w:r>
      <w:r>
        <w:t>ë</w:t>
      </w:r>
      <w:r w:rsidRPr="003057DD">
        <w:t xml:space="preserve"> e madhe se</w:t>
      </w:r>
      <w:r>
        <w:t xml:space="preserve"> transferta e pakushtëzuar nga Buxheti i S</w:t>
      </w:r>
      <w:r w:rsidRPr="003057DD">
        <w:t xml:space="preserve">htetit </w:t>
      </w:r>
      <w:r>
        <w:t>të vitit 2010, ajo e vitit 2012, do të jetë 7% më</w:t>
      </w:r>
      <w:r w:rsidRPr="003057DD">
        <w:t xml:space="preserve"> lart</w:t>
      </w:r>
      <w:r>
        <w:t>ë</w:t>
      </w:r>
      <w:r w:rsidRPr="003057DD">
        <w:t xml:space="preserve"> se ajo e vitit 2011 dhe transferta e vitit 2013 do t</w:t>
      </w:r>
      <w:r>
        <w:t>ë</w:t>
      </w:r>
      <w:r w:rsidRPr="003057DD">
        <w:t xml:space="preserve"> jet</w:t>
      </w:r>
      <w:r>
        <w:t>ë 9% më</w:t>
      </w:r>
      <w:r w:rsidRPr="003057DD">
        <w:t xml:space="preserve"> e lart</w:t>
      </w:r>
      <w:r>
        <w:t>ë</w:t>
      </w:r>
      <w:r w:rsidRPr="003057DD">
        <w:t xml:space="preserve"> se ajo e vitit 2012. </w:t>
      </w:r>
    </w:p>
    <w:p w:rsidR="00FB6B42" w:rsidRPr="003057DD" w:rsidRDefault="00FB6B42" w:rsidP="00FB6B42">
      <w:pPr>
        <w:pStyle w:val="Paragrafi0"/>
      </w:pPr>
      <w:r>
        <w:t xml:space="preserve">40. </w:t>
      </w:r>
      <w:r w:rsidRPr="003057DD">
        <w:t>Transferta e pakushtëzuar</w:t>
      </w:r>
      <w:r>
        <w:t>, së</w:t>
      </w:r>
      <w:r w:rsidRPr="003057DD">
        <w:t xml:space="preserve"> bashku me pjesën q</w:t>
      </w:r>
      <w:r>
        <w:t>ë</w:t>
      </w:r>
      <w:r w:rsidRPr="003057DD">
        <w:t xml:space="preserve"> shkon për zhvillimin e rajoneve</w:t>
      </w:r>
      <w:r>
        <w:t>,</w:t>
      </w:r>
      <w:r w:rsidRPr="003057DD">
        <w:t xml:space="preserve"> do </w:t>
      </w:r>
      <w:r>
        <w:t xml:space="preserve">të </w:t>
      </w:r>
      <w:r w:rsidRPr="003057DD">
        <w:t>jet</w:t>
      </w:r>
      <w:r>
        <w:t>ë</w:t>
      </w:r>
      <w:r w:rsidRPr="003057DD">
        <w:t xml:space="preserve"> n</w:t>
      </w:r>
      <w:r>
        <w:t>ë</w:t>
      </w:r>
      <w:r w:rsidRPr="003057DD">
        <w:t xml:space="preserve"> vitin 2011, 9.3 m</w:t>
      </w:r>
      <w:r>
        <w:t>ë</w:t>
      </w:r>
      <w:r w:rsidRPr="003057DD">
        <w:t xml:space="preserve"> e madhe se n</w:t>
      </w:r>
      <w:r>
        <w:t>ë 2010, në</w:t>
      </w:r>
      <w:r w:rsidRPr="003057DD">
        <w:t xml:space="preserve"> 2012, 14,2 % m</w:t>
      </w:r>
      <w:r>
        <w:t>ë</w:t>
      </w:r>
      <w:r w:rsidRPr="003057DD">
        <w:t xml:space="preserve"> madhe se n</w:t>
      </w:r>
      <w:r>
        <w:t>ë</w:t>
      </w:r>
      <w:r w:rsidRPr="003057DD">
        <w:t xml:space="preserve"> 2011 dhe n</w:t>
      </w:r>
      <w:r>
        <w:t>ë 2013, 15% më</w:t>
      </w:r>
      <w:r w:rsidRPr="003057DD">
        <w:t xml:space="preserve"> e madhe se n</w:t>
      </w:r>
      <w:r>
        <w:t>ë vitin 2012.</w:t>
      </w:r>
    </w:p>
    <w:p w:rsidR="00FB6B42" w:rsidRPr="003057DD" w:rsidRDefault="00FB6B42" w:rsidP="00FB6B42">
      <w:pPr>
        <w:pStyle w:val="Paragrafi0"/>
      </w:pPr>
      <w:r>
        <w:t xml:space="preserve">41. </w:t>
      </w:r>
      <w:r w:rsidRPr="003057DD">
        <w:t>Kriteret dhe koeficient</w:t>
      </w:r>
      <w:r>
        <w:t>ët</w:t>
      </w:r>
      <w:r w:rsidRPr="003057DD">
        <w:t xml:space="preserve"> e formulës s</w:t>
      </w:r>
      <w:r>
        <w:t>ë</w:t>
      </w:r>
      <w:r w:rsidRPr="003057DD">
        <w:t xml:space="preserve"> shpërndarjes s</w:t>
      </w:r>
      <w:r>
        <w:t>ë</w:t>
      </w:r>
      <w:r w:rsidRPr="003057DD">
        <w:t xml:space="preserve"> tran</w:t>
      </w:r>
      <w:r>
        <w:t>sfertës</w:t>
      </w:r>
      <w:r w:rsidRPr="003057DD">
        <w:t xml:space="preserve"> s</w:t>
      </w:r>
      <w:r>
        <w:t>ë</w:t>
      </w:r>
      <w:r w:rsidRPr="003057DD">
        <w:t xml:space="preserve"> pakushtëzuar për vitet 2011-2013 do t</w:t>
      </w:r>
      <w:r>
        <w:t>ë</w:t>
      </w:r>
      <w:r w:rsidRPr="003057DD">
        <w:t xml:space="preserve"> jen</w:t>
      </w:r>
      <w:r>
        <w:t>ë</w:t>
      </w:r>
      <w:r w:rsidRPr="003057DD">
        <w:t xml:space="preserve"> po ata t</w:t>
      </w:r>
      <w:r>
        <w:t>ë</w:t>
      </w:r>
      <w:r w:rsidRPr="003057DD">
        <w:t xml:space="preserve"> vitit 2010.</w:t>
      </w:r>
    </w:p>
    <w:p w:rsidR="00FB6B42" w:rsidRPr="00FB6B42" w:rsidRDefault="00FB6B42" w:rsidP="00FB6B42">
      <w:pPr>
        <w:pStyle w:val="Paragrafi0"/>
        <w:rPr>
          <w:lang w:val="it-IT"/>
        </w:rPr>
      </w:pPr>
      <w:r w:rsidRPr="00FB6B42">
        <w:rPr>
          <w:lang w:val="it-IT"/>
        </w:rPr>
        <w:t>42 Transferta e pakushtëzuar për periudhën  2011-2013:</w:t>
      </w:r>
    </w:p>
    <w:p w:rsidR="00FB6B42" w:rsidRPr="00FB6B42" w:rsidRDefault="00FB6B42" w:rsidP="00FB6B42">
      <w:pPr>
        <w:pStyle w:val="Paragrafi0"/>
        <w:rPr>
          <w:sz w:val="8"/>
          <w:lang w:val="it-IT"/>
        </w:rPr>
      </w:pPr>
    </w:p>
    <w:p w:rsidR="00FB6B42" w:rsidRPr="003057DD" w:rsidRDefault="00FB6B42" w:rsidP="00FB6B42">
      <w:pPr>
        <w:pStyle w:val="Paragrafi0"/>
        <w:ind w:left="5760"/>
      </w:pPr>
      <w:r>
        <w:t>Në mijë</w:t>
      </w:r>
      <w:r w:rsidRPr="003057DD">
        <w:t xml:space="preserve"> lek</w:t>
      </w:r>
      <w:r>
        <w:t>ë</w:t>
      </w:r>
    </w:p>
    <w:tbl>
      <w:tblPr>
        <w:tblStyle w:val="BalloonTex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1612"/>
        <w:gridCol w:w="1484"/>
        <w:gridCol w:w="1620"/>
      </w:tblGrid>
      <w:tr w:rsidR="00FB6B42" w:rsidRPr="0055303C" w:rsidTr="00FB6B42">
        <w:trPr>
          <w:jc w:val="center"/>
        </w:trPr>
        <w:tc>
          <w:tcPr>
            <w:tcW w:w="1806" w:type="dxa"/>
          </w:tcPr>
          <w:p w:rsidR="00FB6B42" w:rsidRPr="0055303C" w:rsidRDefault="00FB6B42" w:rsidP="00FB6B42">
            <w:pPr>
              <w:pStyle w:val="Paragrafi0"/>
              <w:ind w:firstLine="0"/>
              <w:rPr>
                <w:b/>
                <w:szCs w:val="22"/>
              </w:rPr>
            </w:pPr>
            <w:r w:rsidRPr="0055303C">
              <w:rPr>
                <w:b/>
                <w:szCs w:val="22"/>
              </w:rPr>
              <w:t>Bashki/komunë/qark</w:t>
            </w:r>
          </w:p>
        </w:tc>
        <w:tc>
          <w:tcPr>
            <w:tcW w:w="1612" w:type="dxa"/>
          </w:tcPr>
          <w:p w:rsidR="00FB6B42" w:rsidRPr="0055303C" w:rsidRDefault="00FB6B42" w:rsidP="00FB6B42">
            <w:pPr>
              <w:pStyle w:val="Paragrafi0"/>
              <w:rPr>
                <w:b/>
                <w:szCs w:val="22"/>
              </w:rPr>
            </w:pPr>
            <w:r w:rsidRPr="0055303C">
              <w:rPr>
                <w:b/>
                <w:szCs w:val="22"/>
              </w:rPr>
              <w:t>2011</w:t>
            </w:r>
          </w:p>
        </w:tc>
        <w:tc>
          <w:tcPr>
            <w:tcW w:w="1440" w:type="dxa"/>
          </w:tcPr>
          <w:p w:rsidR="00FB6B42" w:rsidRPr="0055303C" w:rsidRDefault="00FB6B42" w:rsidP="00FB6B42">
            <w:pPr>
              <w:pStyle w:val="Paragrafi0"/>
              <w:rPr>
                <w:b/>
                <w:szCs w:val="22"/>
              </w:rPr>
            </w:pPr>
            <w:r w:rsidRPr="0055303C">
              <w:rPr>
                <w:b/>
                <w:szCs w:val="22"/>
              </w:rPr>
              <w:t>2012</w:t>
            </w:r>
          </w:p>
        </w:tc>
        <w:tc>
          <w:tcPr>
            <w:tcW w:w="1620" w:type="dxa"/>
          </w:tcPr>
          <w:p w:rsidR="00FB6B42" w:rsidRPr="0055303C" w:rsidRDefault="00FB6B42" w:rsidP="00FB6B42">
            <w:pPr>
              <w:pStyle w:val="Paragrafi0"/>
              <w:rPr>
                <w:b/>
                <w:szCs w:val="22"/>
              </w:rPr>
            </w:pPr>
            <w:r w:rsidRPr="0055303C">
              <w:rPr>
                <w:b/>
                <w:szCs w:val="22"/>
              </w:rPr>
              <w:t>2013</w:t>
            </w:r>
          </w:p>
        </w:tc>
      </w:tr>
      <w:tr w:rsidR="00FB6B42" w:rsidRPr="0055303C" w:rsidTr="00FB6B42">
        <w:trPr>
          <w:jc w:val="center"/>
        </w:trPr>
        <w:tc>
          <w:tcPr>
            <w:tcW w:w="1806" w:type="dxa"/>
          </w:tcPr>
          <w:p w:rsidR="00FB6B42" w:rsidRPr="0055303C" w:rsidRDefault="00FB6B42" w:rsidP="00FB6B42">
            <w:pPr>
              <w:pStyle w:val="Paragrafi0"/>
              <w:ind w:firstLine="0"/>
              <w:rPr>
                <w:szCs w:val="22"/>
              </w:rPr>
            </w:pPr>
            <w:r w:rsidRPr="0055303C">
              <w:rPr>
                <w:szCs w:val="22"/>
              </w:rPr>
              <w:t>Bashki/komunë</w:t>
            </w:r>
          </w:p>
        </w:tc>
        <w:tc>
          <w:tcPr>
            <w:tcW w:w="1612" w:type="dxa"/>
          </w:tcPr>
          <w:p w:rsidR="00FB6B42" w:rsidRPr="0055303C" w:rsidRDefault="00FB6B42" w:rsidP="00FB6B42">
            <w:pPr>
              <w:pStyle w:val="Paragrafi0"/>
              <w:rPr>
                <w:szCs w:val="22"/>
              </w:rPr>
            </w:pPr>
            <w:r w:rsidRPr="0055303C">
              <w:rPr>
                <w:szCs w:val="22"/>
              </w:rPr>
              <w:t>10,718</w:t>
            </w:r>
          </w:p>
        </w:tc>
        <w:tc>
          <w:tcPr>
            <w:tcW w:w="1440" w:type="dxa"/>
          </w:tcPr>
          <w:p w:rsidR="00FB6B42" w:rsidRPr="0055303C" w:rsidRDefault="00FB6B42" w:rsidP="00FB6B42">
            <w:pPr>
              <w:pStyle w:val="Paragrafi0"/>
              <w:rPr>
                <w:szCs w:val="22"/>
              </w:rPr>
            </w:pPr>
            <w:r w:rsidRPr="0055303C">
              <w:rPr>
                <w:szCs w:val="22"/>
              </w:rPr>
              <w:t>11468</w:t>
            </w:r>
          </w:p>
        </w:tc>
        <w:tc>
          <w:tcPr>
            <w:tcW w:w="1620" w:type="dxa"/>
          </w:tcPr>
          <w:p w:rsidR="00FB6B42" w:rsidRPr="0055303C" w:rsidRDefault="00FB6B42" w:rsidP="00FB6B42">
            <w:pPr>
              <w:pStyle w:val="Paragrafi0"/>
              <w:rPr>
                <w:szCs w:val="22"/>
              </w:rPr>
            </w:pPr>
            <w:r w:rsidRPr="0055303C">
              <w:rPr>
                <w:szCs w:val="22"/>
              </w:rPr>
              <w:t>12500</w:t>
            </w:r>
          </w:p>
        </w:tc>
      </w:tr>
      <w:tr w:rsidR="00FB6B42" w:rsidRPr="0055303C" w:rsidTr="00FB6B42">
        <w:trPr>
          <w:jc w:val="center"/>
        </w:trPr>
        <w:tc>
          <w:tcPr>
            <w:tcW w:w="1806" w:type="dxa"/>
          </w:tcPr>
          <w:p w:rsidR="00FB6B42" w:rsidRPr="0055303C" w:rsidRDefault="00FB6B42" w:rsidP="00FB6B42">
            <w:pPr>
              <w:pStyle w:val="Paragrafi0"/>
              <w:ind w:firstLine="0"/>
              <w:rPr>
                <w:szCs w:val="22"/>
              </w:rPr>
            </w:pPr>
            <w:r w:rsidRPr="0055303C">
              <w:rPr>
                <w:szCs w:val="22"/>
              </w:rPr>
              <w:t>Qark</w:t>
            </w:r>
          </w:p>
        </w:tc>
        <w:tc>
          <w:tcPr>
            <w:tcW w:w="1612" w:type="dxa"/>
          </w:tcPr>
          <w:p w:rsidR="00FB6B42" w:rsidRPr="0055303C" w:rsidRDefault="00FB6B42" w:rsidP="00FB6B42">
            <w:pPr>
              <w:pStyle w:val="Paragrafi0"/>
              <w:rPr>
                <w:szCs w:val="22"/>
              </w:rPr>
            </w:pPr>
            <w:r w:rsidRPr="0055303C">
              <w:rPr>
                <w:szCs w:val="22"/>
              </w:rPr>
              <w:t>963</w:t>
            </w:r>
          </w:p>
        </w:tc>
        <w:tc>
          <w:tcPr>
            <w:tcW w:w="1440" w:type="dxa"/>
          </w:tcPr>
          <w:p w:rsidR="00FB6B42" w:rsidRPr="0055303C" w:rsidRDefault="00FB6B42" w:rsidP="00FB6B42">
            <w:pPr>
              <w:pStyle w:val="Paragrafi0"/>
              <w:rPr>
                <w:szCs w:val="22"/>
              </w:rPr>
            </w:pPr>
            <w:r w:rsidRPr="0055303C">
              <w:rPr>
                <w:szCs w:val="22"/>
              </w:rPr>
              <w:t>1030</w:t>
            </w:r>
          </w:p>
        </w:tc>
        <w:tc>
          <w:tcPr>
            <w:tcW w:w="1620" w:type="dxa"/>
          </w:tcPr>
          <w:p w:rsidR="00FB6B42" w:rsidRPr="0055303C" w:rsidRDefault="00FB6B42" w:rsidP="00FB6B42">
            <w:pPr>
              <w:pStyle w:val="Paragrafi0"/>
              <w:rPr>
                <w:szCs w:val="22"/>
              </w:rPr>
            </w:pPr>
            <w:r w:rsidRPr="0055303C">
              <w:rPr>
                <w:szCs w:val="22"/>
              </w:rPr>
              <w:t>1123</w:t>
            </w:r>
          </w:p>
        </w:tc>
      </w:tr>
      <w:tr w:rsidR="00FB6B42" w:rsidRPr="00774E77" w:rsidTr="00FB6B42">
        <w:trPr>
          <w:jc w:val="center"/>
        </w:trPr>
        <w:tc>
          <w:tcPr>
            <w:tcW w:w="1806" w:type="dxa"/>
          </w:tcPr>
          <w:p w:rsidR="00FB6B42" w:rsidRPr="00774E77" w:rsidRDefault="00FB6B42" w:rsidP="00FB6B42">
            <w:pPr>
              <w:pStyle w:val="Paragrafi0"/>
              <w:ind w:firstLine="0"/>
              <w:rPr>
                <w:b/>
                <w:szCs w:val="22"/>
              </w:rPr>
            </w:pPr>
            <w:r w:rsidRPr="00774E77">
              <w:rPr>
                <w:b/>
                <w:szCs w:val="22"/>
              </w:rPr>
              <w:t>Totali</w:t>
            </w:r>
          </w:p>
        </w:tc>
        <w:tc>
          <w:tcPr>
            <w:tcW w:w="1612" w:type="dxa"/>
          </w:tcPr>
          <w:p w:rsidR="00FB6B42" w:rsidRPr="00774E77" w:rsidRDefault="00FB6B42" w:rsidP="00FB6B42">
            <w:pPr>
              <w:pStyle w:val="Paragrafi0"/>
              <w:rPr>
                <w:b/>
                <w:szCs w:val="22"/>
              </w:rPr>
            </w:pPr>
            <w:r w:rsidRPr="00774E77">
              <w:rPr>
                <w:b/>
                <w:szCs w:val="22"/>
              </w:rPr>
              <w:t>11681</w:t>
            </w:r>
          </w:p>
        </w:tc>
        <w:tc>
          <w:tcPr>
            <w:tcW w:w="1440" w:type="dxa"/>
          </w:tcPr>
          <w:p w:rsidR="00FB6B42" w:rsidRPr="00774E77" w:rsidRDefault="00FB6B42" w:rsidP="00FB6B42">
            <w:pPr>
              <w:pStyle w:val="Paragrafi0"/>
              <w:rPr>
                <w:b/>
                <w:szCs w:val="22"/>
              </w:rPr>
            </w:pPr>
            <w:r w:rsidRPr="00774E77">
              <w:rPr>
                <w:b/>
                <w:szCs w:val="22"/>
              </w:rPr>
              <w:t>12499</w:t>
            </w:r>
          </w:p>
        </w:tc>
        <w:tc>
          <w:tcPr>
            <w:tcW w:w="1620" w:type="dxa"/>
          </w:tcPr>
          <w:p w:rsidR="00FB6B42" w:rsidRPr="00774E77" w:rsidRDefault="00FB6B42" w:rsidP="00FB6B42">
            <w:pPr>
              <w:pStyle w:val="Paragrafi0"/>
              <w:rPr>
                <w:b/>
                <w:szCs w:val="22"/>
              </w:rPr>
            </w:pPr>
            <w:r w:rsidRPr="00774E77">
              <w:rPr>
                <w:b/>
                <w:szCs w:val="22"/>
              </w:rPr>
              <w:t>13624</w:t>
            </w:r>
          </w:p>
        </w:tc>
      </w:tr>
    </w:tbl>
    <w:p w:rsidR="00FB6B42" w:rsidRDefault="00FB6B42" w:rsidP="00FB6B42">
      <w:pPr>
        <w:pStyle w:val="Paragrafi0"/>
      </w:pPr>
    </w:p>
    <w:p w:rsidR="00FB6B42" w:rsidRPr="003057DD" w:rsidRDefault="00FB6B42" w:rsidP="00FB6B42">
      <w:pPr>
        <w:pStyle w:val="Paragrafi0"/>
      </w:pPr>
      <w:r>
        <w:t>43. Në</w:t>
      </w:r>
      <w:r w:rsidRPr="003057DD">
        <w:t xml:space="preserve"> baz</w:t>
      </w:r>
      <w:r>
        <w:t>ë</w:t>
      </w:r>
      <w:r w:rsidRPr="003057DD">
        <w:t xml:space="preserve"> t</w:t>
      </w:r>
      <w:r>
        <w:t>ë</w:t>
      </w:r>
      <w:r w:rsidRPr="003057DD">
        <w:t xml:space="preserve"> shifrave t</w:t>
      </w:r>
      <w:r>
        <w:t>ë</w:t>
      </w:r>
      <w:r w:rsidRPr="003057DD">
        <w:t xml:space="preserve"> mësipërm</w:t>
      </w:r>
      <w:r>
        <w:t>e,</w:t>
      </w:r>
      <w:r w:rsidRPr="003057DD">
        <w:t xml:space="preserve"> sipas pikës 39 dhe 42 t</w:t>
      </w:r>
      <w:r>
        <w:t>ë</w:t>
      </w:r>
      <w:r w:rsidRPr="003057DD">
        <w:t xml:space="preserve"> këtij udhëzimi, çdo njësi e qeverisjes vendore mund t</w:t>
      </w:r>
      <w:r>
        <w:t>ë</w:t>
      </w:r>
      <w:r w:rsidRPr="003057DD">
        <w:t xml:space="preserve"> b</w:t>
      </w:r>
      <w:r>
        <w:t>ë</w:t>
      </w:r>
      <w:r w:rsidRPr="003057DD">
        <w:t>j</w:t>
      </w:r>
      <w:r>
        <w:t>ë</w:t>
      </w:r>
      <w:r w:rsidRPr="003057DD">
        <w:t xml:space="preserve"> n</w:t>
      </w:r>
      <w:r>
        <w:t>ë</w:t>
      </w:r>
      <w:r w:rsidRPr="003057DD">
        <w:t xml:space="preserve"> mënyr</w:t>
      </w:r>
      <w:r>
        <w:t>ë</w:t>
      </w:r>
      <w:r w:rsidRPr="003057DD">
        <w:t xml:space="preserve"> individuale llogaritjen e nivelit t</w:t>
      </w:r>
      <w:r>
        <w:t>ë</w:t>
      </w:r>
      <w:r w:rsidRPr="003057DD">
        <w:t xml:space="preserve"> transfert</w:t>
      </w:r>
      <w:r>
        <w:t>ë</w:t>
      </w:r>
      <w:r w:rsidRPr="003057DD">
        <w:t>s s</w:t>
      </w:r>
      <w:r>
        <w:t>ë</w:t>
      </w:r>
      <w:r w:rsidRPr="003057DD">
        <w:t xml:space="preserve"> pakushtëzuar për komunën, bashkinë apo qarkun.</w:t>
      </w:r>
    </w:p>
    <w:p w:rsidR="00FB6B42" w:rsidRPr="003057DD" w:rsidRDefault="00FB6B42" w:rsidP="00FB6B42">
      <w:pPr>
        <w:pStyle w:val="Paragrafi0"/>
      </w:pPr>
      <w:r>
        <w:t xml:space="preserve">44. </w:t>
      </w:r>
      <w:r w:rsidRPr="003057DD">
        <w:t>Shembuj mbi llogaritjen e transfer</w:t>
      </w:r>
      <w:r>
        <w:t>të</w:t>
      </w:r>
      <w:r w:rsidRPr="003057DD">
        <w:t>s s</w:t>
      </w:r>
      <w:r>
        <w:t>ë pakushtëzuar</w:t>
      </w:r>
    </w:p>
    <w:p w:rsidR="00FB6B42" w:rsidRDefault="00FB6B42" w:rsidP="00FB6B42">
      <w:pPr>
        <w:pStyle w:val="Paragrafi0"/>
      </w:pPr>
      <w:r w:rsidRPr="003057DD">
        <w:t>Koefici</w:t>
      </w:r>
      <w:r>
        <w:t>entët dhe metodika e përdorur më</w:t>
      </w:r>
      <w:r w:rsidRPr="003057DD">
        <w:t xml:space="preserve"> poshtë janë ato të vitit 2010, e cila do jetë e vlefshme edhe për llogaritjet e periudhës 2011-2013.</w:t>
      </w:r>
    </w:p>
    <w:p w:rsidR="00FB6B42" w:rsidRPr="00FB6B42" w:rsidRDefault="00FB6B42" w:rsidP="00FB6B42">
      <w:pPr>
        <w:pStyle w:val="Paragrafi0"/>
        <w:rPr>
          <w:lang w:val="it-IT"/>
        </w:rPr>
      </w:pPr>
      <w:r w:rsidRPr="00FB6B42">
        <w:rPr>
          <w:lang w:val="it-IT"/>
        </w:rPr>
        <w:t>Grandi i përgjithshëm</w:t>
      </w:r>
    </w:p>
    <w:p w:rsidR="00FB6B42" w:rsidRPr="00FB6B42" w:rsidRDefault="00FB6B42" w:rsidP="00FB6B42">
      <w:pPr>
        <w:pStyle w:val="Paragrafi0"/>
        <w:rPr>
          <w:lang w:val="it-IT"/>
        </w:rPr>
      </w:pPr>
      <w:r w:rsidRPr="00FB6B42">
        <w:rPr>
          <w:lang w:val="it-IT"/>
        </w:rPr>
        <w:t>- Popullsia</w:t>
      </w:r>
      <w:r w:rsidRPr="00FB6B42">
        <w:rPr>
          <w:lang w:val="it-IT"/>
        </w:rPr>
        <w:tab/>
      </w:r>
      <w:r w:rsidRPr="00FB6B42">
        <w:rPr>
          <w:lang w:val="it-IT"/>
        </w:rPr>
        <w:tab/>
      </w:r>
      <w:r w:rsidRPr="00FB6B42">
        <w:rPr>
          <w:lang w:val="it-IT"/>
        </w:rPr>
        <w:tab/>
      </w:r>
      <w:r w:rsidRPr="00FB6B42">
        <w:rPr>
          <w:lang w:val="it-IT"/>
        </w:rPr>
        <w:tab/>
      </w:r>
      <w:r w:rsidRPr="00FB6B42">
        <w:rPr>
          <w:lang w:val="it-IT"/>
        </w:rPr>
        <w:tab/>
        <w:t>70% =     8,855 milionë lekë.</w:t>
      </w:r>
    </w:p>
    <w:p w:rsidR="00FB6B42" w:rsidRPr="00FB6B42" w:rsidRDefault="00FB6B42" w:rsidP="00FB6B42">
      <w:pPr>
        <w:pStyle w:val="Paragrafi0"/>
        <w:rPr>
          <w:lang w:val="it-IT"/>
        </w:rPr>
      </w:pPr>
      <w:r w:rsidRPr="00FB6B42">
        <w:rPr>
          <w:lang w:val="it-IT"/>
        </w:rPr>
        <w:t>- Kriteri i sipërfaqes së komunës</w:t>
      </w:r>
      <w:r w:rsidRPr="00FB6B42">
        <w:rPr>
          <w:lang w:val="it-IT"/>
        </w:rPr>
        <w:tab/>
      </w:r>
      <w:r w:rsidRPr="00FB6B42">
        <w:rPr>
          <w:lang w:val="it-IT"/>
        </w:rPr>
        <w:tab/>
        <w:t>15% =    1,897 milionë lekë.</w:t>
      </w:r>
    </w:p>
    <w:p w:rsidR="00FB6B42" w:rsidRPr="00FB6B42" w:rsidRDefault="00FB6B42" w:rsidP="00FB6B42">
      <w:pPr>
        <w:pStyle w:val="Paragrafi0"/>
        <w:rPr>
          <w:lang w:val="it-IT"/>
        </w:rPr>
      </w:pPr>
      <w:r w:rsidRPr="00FB6B42">
        <w:rPr>
          <w:lang w:val="it-IT"/>
        </w:rPr>
        <w:t>- Kriteri i shërbimeve urbane të bashkisë</w:t>
      </w:r>
      <w:r w:rsidRPr="00FB6B42">
        <w:rPr>
          <w:lang w:val="it-IT"/>
        </w:rPr>
        <w:tab/>
        <w:t>15% =     1,898 milionë lekë.</w:t>
      </w:r>
    </w:p>
    <w:p w:rsidR="00FB6B42" w:rsidRPr="00FB6B42" w:rsidRDefault="00FB6B42" w:rsidP="00FB6B42">
      <w:pPr>
        <w:pStyle w:val="Paragrafi0"/>
        <w:rPr>
          <w:lang w:val="it-IT"/>
        </w:rPr>
      </w:pPr>
      <w:r w:rsidRPr="00FB6B42">
        <w:rPr>
          <w:lang w:val="it-IT"/>
        </w:rPr>
        <w:t>Bashkia X</w:t>
      </w:r>
    </w:p>
    <w:p w:rsidR="00FB6B42" w:rsidRPr="00FB6B42" w:rsidRDefault="00FB6B42" w:rsidP="00FB6B42">
      <w:pPr>
        <w:pStyle w:val="Paragrafi0"/>
        <w:rPr>
          <w:lang w:val="it-IT"/>
        </w:rPr>
      </w:pPr>
      <w:r w:rsidRPr="00FB6B42">
        <w:rPr>
          <w:lang w:val="it-IT"/>
        </w:rPr>
        <w:t>Popullsia: 56 297 banorë.</w:t>
      </w:r>
    </w:p>
    <w:p w:rsidR="00FB6B42" w:rsidRPr="00FB6B42" w:rsidRDefault="00FB6B42" w:rsidP="00FB6B42">
      <w:pPr>
        <w:pStyle w:val="Paragrafi0"/>
        <w:rPr>
          <w:lang w:val="it-IT"/>
        </w:rPr>
      </w:pPr>
      <w:r w:rsidRPr="00FB6B42">
        <w:rPr>
          <w:lang w:val="it-IT"/>
        </w:rPr>
        <w:t>Të ardhura nga taksat e veta (taksa e biznesit të vogël+taksa e regjistrimit të automjeteve) në bashkinë X janë 1,200 lekë/frymë.</w:t>
      </w:r>
    </w:p>
    <w:p w:rsidR="00FB6B42" w:rsidRPr="00FB6B42" w:rsidRDefault="00FB6B42" w:rsidP="00FB6B42">
      <w:pPr>
        <w:pStyle w:val="Paragrafi0"/>
        <w:rPr>
          <w:lang w:val="it-IT"/>
        </w:rPr>
      </w:pPr>
      <w:r w:rsidRPr="00FB6B42">
        <w:rPr>
          <w:lang w:val="it-IT"/>
        </w:rPr>
        <w:t>Të ardhura nga taksat e veta (taksa e biznesit të vogël+taksa e regjistrimit të automjeteve) në shkallë kombëtare janë 701 lekë/frymë.</w:t>
      </w:r>
    </w:p>
    <w:p w:rsidR="00FB6B42" w:rsidRPr="00FB6B42" w:rsidRDefault="00FB6B42" w:rsidP="00FB6B42">
      <w:pPr>
        <w:pStyle w:val="Paragrafi0"/>
        <w:rPr>
          <w:lang w:val="it-IT"/>
        </w:rPr>
      </w:pPr>
      <w:r w:rsidRPr="00FB6B42">
        <w:rPr>
          <w:lang w:val="it-IT"/>
        </w:rPr>
        <w:t>Popullsia në shkallë kombëtare: 4,268,984 banorë.</w:t>
      </w:r>
    </w:p>
    <w:p w:rsidR="00FB6B42" w:rsidRPr="00FB6B42" w:rsidRDefault="00FB6B42" w:rsidP="00FB6B42">
      <w:pPr>
        <w:pStyle w:val="Paragrafi0"/>
        <w:rPr>
          <w:lang w:val="it-IT"/>
        </w:rPr>
      </w:pPr>
      <w:r w:rsidRPr="00FB6B42">
        <w:rPr>
          <w:lang w:val="it-IT"/>
        </w:rPr>
        <w:t>Popullsia urbane gjithsej: 2,350,090 banorë.</w:t>
      </w:r>
    </w:p>
    <w:p w:rsidR="00FB6B42" w:rsidRPr="00FB6B42" w:rsidRDefault="00FB6B42" w:rsidP="00FB6B42">
      <w:pPr>
        <w:pStyle w:val="Paragrafi0"/>
        <w:rPr>
          <w:lang w:val="it-IT"/>
        </w:rPr>
      </w:pPr>
      <w:r w:rsidRPr="00FB6B42">
        <w:rPr>
          <w:lang w:val="it-IT"/>
        </w:rPr>
        <w:t>Llogaritja e grandit të përgjithshëm</w:t>
      </w:r>
    </w:p>
    <w:p w:rsidR="00FB6B42" w:rsidRPr="00FB6B42" w:rsidRDefault="00FB6B42" w:rsidP="00FB6B42">
      <w:pPr>
        <w:pStyle w:val="Paragrafi0"/>
        <w:rPr>
          <w:lang w:val="it-IT"/>
        </w:rPr>
      </w:pPr>
      <w:r w:rsidRPr="00FB6B42">
        <w:rPr>
          <w:lang w:val="it-IT"/>
        </w:rPr>
        <w:t>1. Popullsia (56,297 banorë/4,268,984 banorë në shkallë kombëtare) = 0.0131  koeficienti i popullsisë. Nga kriteri i popullsisë, bashkia X përfiton (0.0131 x 8,855 milionë lekë) = 116,774 mijë lekë.</w:t>
      </w:r>
    </w:p>
    <w:p w:rsidR="00FB6B42" w:rsidRPr="00FB6B42" w:rsidRDefault="00FB6B42" w:rsidP="00FB6B42">
      <w:pPr>
        <w:pStyle w:val="Paragrafi0"/>
        <w:rPr>
          <w:lang w:val="it-IT"/>
        </w:rPr>
      </w:pPr>
      <w:r w:rsidRPr="00FB6B42">
        <w:rPr>
          <w:lang w:val="it-IT"/>
        </w:rPr>
        <w:t>2. Pjesa që i takon nga koeficienti i shërbimit urban (56,297 banorë/(2,350,984 popullsi që jeton në zonat urbane në shkallë kombëtare) = 0.0239 koeficienti i shërbimeve urbane. Nga kriteri i shërbimeve urbane kjo bashki përfiton (0.0239 x 1,898 milionë lekë) = 45,449 mijë lekë. Bashkia X, nga aplikimi i kritereve të mësipërme, përfiton grand të përgjithshëm (116,774 + 45,449) = 162,223 mijë lekë.</w:t>
      </w:r>
    </w:p>
    <w:p w:rsidR="00FB6B42" w:rsidRPr="00FB6B42" w:rsidRDefault="00FB6B42" w:rsidP="00FB6B42">
      <w:pPr>
        <w:pStyle w:val="Paragrafi0"/>
        <w:rPr>
          <w:lang w:val="it-IT"/>
        </w:rPr>
      </w:pPr>
      <w:r w:rsidRPr="00FB6B42">
        <w:rPr>
          <w:lang w:val="it-IT"/>
        </w:rPr>
        <w:t>Ekuilizimi fiskal</w:t>
      </w:r>
    </w:p>
    <w:p w:rsidR="00FB6B42" w:rsidRPr="00FB6B42" w:rsidRDefault="00FB6B42" w:rsidP="00FB6B42">
      <w:pPr>
        <w:pStyle w:val="Paragrafi0"/>
        <w:rPr>
          <w:lang w:val="it-IT"/>
        </w:rPr>
      </w:pPr>
      <w:r w:rsidRPr="00FB6B42">
        <w:rPr>
          <w:lang w:val="it-IT"/>
        </w:rPr>
        <w:t>3. Kapaciteti fiskal nga taksa e biznesit të vogël dhe taksa e automjeteve është 1,200 lekë/frymë. Mesatarja në shkallë kombëtare është 701 lekë/frymë. Diferenca në krahasim me atë në shkallë kombëtare (1,200-701)= +499 lekë/frymë. Çdo bashki dhe komunë me një të ardhur për frymë më të madhe se mesatarja nacionale, do të kontribuojë 25% të diferencës për ekualizim fiskal, në raport me popullsinë e saj; kjo shumë zbritet nga llogaritja fillestare e grandit. Çdo bashki dhe komunë që është më poshtë sesa mesatarja nacionale, do të kompensohet për 25% të kësaj diference në raport me popullsinë e saj; kjo shumë i shtohet llogaritjes fillestare të grandit. Në rastin konkret, bashkia X do të kontribuojë për arsye të kapaciteti fiskal më të lartë se ajo në shkallë kombëtare me (499x56297 banorë)/1000)x(25/100) = 28,092 mijë lekë, që do thotë se grandi bëhet (162,223-28,092) = 134,131 mijë lekë.</w:t>
      </w:r>
    </w:p>
    <w:p w:rsidR="00FB6B42" w:rsidRPr="00FB6B42" w:rsidRDefault="00FB6B42" w:rsidP="00FB6B42">
      <w:pPr>
        <w:pStyle w:val="Paragrafi0"/>
        <w:rPr>
          <w:lang w:val="it-IT"/>
        </w:rPr>
      </w:pPr>
      <w:r w:rsidRPr="00FB6B42">
        <w:rPr>
          <w:lang w:val="it-IT"/>
        </w:rPr>
        <w:t>Rregullimet tranzitore</w:t>
      </w:r>
    </w:p>
    <w:p w:rsidR="00FB6B42" w:rsidRPr="00FB6B42" w:rsidRDefault="00FB6B42" w:rsidP="00FB6B42">
      <w:pPr>
        <w:pStyle w:val="Paragrafi0"/>
        <w:rPr>
          <w:lang w:val="it-IT"/>
        </w:rPr>
      </w:pPr>
      <w:r w:rsidRPr="00FB6B42">
        <w:rPr>
          <w:lang w:val="it-IT"/>
        </w:rPr>
        <w:t>4. Grandi i përgjithshëm pas kapacitetit fiskal, duke i shtuar taksën e biznesit të vogël dhe taksën e automjeteve, është 67,556 mijë lekë.</w:t>
      </w:r>
    </w:p>
    <w:p w:rsidR="00FB6B42" w:rsidRPr="00FB6B42" w:rsidRDefault="00FB6B42" w:rsidP="00FB6B42">
      <w:pPr>
        <w:pStyle w:val="Paragrafi0"/>
        <w:rPr>
          <w:lang w:val="it-IT"/>
        </w:rPr>
      </w:pPr>
      <w:r w:rsidRPr="00FB6B42">
        <w:rPr>
          <w:lang w:val="it-IT"/>
        </w:rPr>
        <w:t>5. Grandi për vitin 2010, pas kryerjes së kompensimeve dhe shtesave gjatë vitit, është     130,250  mijë lekë.</w:t>
      </w:r>
    </w:p>
    <w:p w:rsidR="00FB6B42" w:rsidRPr="00BE3A0F" w:rsidRDefault="00FB6B42" w:rsidP="00FB6B42">
      <w:pPr>
        <w:pStyle w:val="Paragrafi0"/>
        <w:rPr>
          <w:lang w:val="it-IT"/>
        </w:rPr>
      </w:pPr>
      <w:r w:rsidRPr="00BE3A0F">
        <w:rPr>
          <w:lang w:val="it-IT"/>
        </w:rPr>
        <w:t>6. Diferenca nga krahasimi me vitin 2010 është  (134,131 – 130,250) = +3,881 mijë lekë.</w:t>
      </w:r>
    </w:p>
    <w:p w:rsidR="00FB6B42" w:rsidRPr="00BE3A0F" w:rsidRDefault="00FB6B42" w:rsidP="00FB6B42">
      <w:pPr>
        <w:pStyle w:val="Paragrafi0"/>
        <w:rPr>
          <w:lang w:val="it-IT"/>
        </w:rPr>
      </w:pPr>
      <w:r w:rsidRPr="00BE3A0F">
        <w:rPr>
          <w:lang w:val="it-IT"/>
        </w:rPr>
        <w:t>7. Kufiri i sipërm i rritjes është + 7%, në rastin konkret bashkia ka +3% dhe për rrjedhojë nuk i bën zbritje sepse është brenda mesatares në shkallë kombëtare.</w:t>
      </w:r>
    </w:p>
    <w:p w:rsidR="00FB6B42" w:rsidRPr="00FB6B42" w:rsidRDefault="00FB6B42" w:rsidP="00FB6B42">
      <w:pPr>
        <w:pStyle w:val="Paragrafi0"/>
        <w:rPr>
          <w:lang w:val="it-IT"/>
        </w:rPr>
      </w:pPr>
      <w:r w:rsidRPr="00FB6B42">
        <w:rPr>
          <w:lang w:val="it-IT"/>
        </w:rPr>
        <w:t>8. Grandi i përgjithshëm i bashkisë X është 134,131 mijë lekë.</w:t>
      </w:r>
    </w:p>
    <w:p w:rsidR="00FB6B42" w:rsidRPr="00FB6B42" w:rsidRDefault="00FB6B42" w:rsidP="00FB6B42">
      <w:pPr>
        <w:pStyle w:val="Paragrafi0"/>
        <w:rPr>
          <w:lang w:val="it-IT"/>
        </w:rPr>
      </w:pPr>
      <w:r w:rsidRPr="00FB6B42">
        <w:rPr>
          <w:lang w:val="it-IT"/>
        </w:rPr>
        <w:t>E njëjta procedurë do përdoret edhe për komunat, por në vend të koeficientit urban do jetë sipërfaqja e komunave. Koeficienti i sipërfaqes së komunave do jetë sipërfaqja e secilës komunë me sipërfaqen totale 28 mijë km</w:t>
      </w:r>
      <w:r w:rsidRPr="00FB6B42">
        <w:rPr>
          <w:vertAlign w:val="superscript"/>
          <w:lang w:val="it-IT"/>
        </w:rPr>
        <w:t>2</w:t>
      </w:r>
      <w:r w:rsidRPr="00FB6B42">
        <w:rPr>
          <w:lang w:val="it-IT"/>
        </w:rPr>
        <w:t xml:space="preserve"> dhe koeficienti që del shumëzohet për shumën e grandi nga sipërfaqja e komunave.</w:t>
      </w:r>
    </w:p>
    <w:p w:rsidR="00FB6B42" w:rsidRPr="00FB6B42" w:rsidRDefault="00FB6B42" w:rsidP="00FB6B42">
      <w:pPr>
        <w:pStyle w:val="Paragrafi0"/>
        <w:rPr>
          <w:lang w:val="it-IT"/>
        </w:rPr>
      </w:pPr>
      <w:r w:rsidRPr="00FB6B42">
        <w:rPr>
          <w:lang w:val="it-IT"/>
        </w:rPr>
        <w:t>Transferta e pakushtëzuar për këshillat e qarqeve</w:t>
      </w:r>
    </w:p>
    <w:p w:rsidR="00FB6B42" w:rsidRPr="00FB6B42" w:rsidRDefault="00FB6B42" w:rsidP="00FB6B42">
      <w:pPr>
        <w:pStyle w:val="Paragrafi0"/>
        <w:rPr>
          <w:lang w:val="it-IT"/>
        </w:rPr>
      </w:pPr>
      <w:r w:rsidRPr="00FB6B42">
        <w:rPr>
          <w:lang w:val="it-IT"/>
        </w:rPr>
        <w:t>Transferta e pakushtëzuar për qarqet është ndarë në dy pjesë:</w:t>
      </w:r>
    </w:p>
    <w:p w:rsidR="00FB6B42" w:rsidRPr="00FB6B42" w:rsidRDefault="00FB6B42" w:rsidP="00FB6B42">
      <w:pPr>
        <w:pStyle w:val="Paragrafi0"/>
        <w:rPr>
          <w:lang w:val="it-IT"/>
        </w:rPr>
      </w:pPr>
      <w:r w:rsidRPr="00FB6B42">
        <w:rPr>
          <w:lang w:val="it-IT"/>
        </w:rPr>
        <w:t>- Grandi i përgjithshëm (1,175x99)</w:t>
      </w:r>
      <w:r w:rsidRPr="00FB6B42">
        <w:rPr>
          <w:lang w:val="it-IT"/>
        </w:rPr>
        <w:tab/>
        <w:t xml:space="preserve">99% = 1,163 milionë lekë. </w:t>
      </w:r>
    </w:p>
    <w:p w:rsidR="00FB6B42" w:rsidRPr="00FB6B42" w:rsidRDefault="00FB6B42" w:rsidP="00FB6B42">
      <w:pPr>
        <w:pStyle w:val="Paragrafi0"/>
        <w:rPr>
          <w:lang w:val="it-IT"/>
        </w:rPr>
      </w:pPr>
      <w:r w:rsidRPr="00FB6B42">
        <w:rPr>
          <w:lang w:val="it-IT"/>
        </w:rPr>
        <w:t>- Fondi i kompensimit për qarqet</w:t>
      </w:r>
      <w:r w:rsidRPr="00FB6B42">
        <w:rPr>
          <w:lang w:val="it-IT"/>
        </w:rPr>
        <w:tab/>
        <w:t>(1,175x1)1% =12 milionë lekë.</w:t>
      </w:r>
    </w:p>
    <w:p w:rsidR="00FB6B42" w:rsidRPr="00FB6B42" w:rsidRDefault="00FB6B42" w:rsidP="00FB6B42">
      <w:pPr>
        <w:pStyle w:val="Paragrafi0"/>
        <w:ind w:left="720" w:firstLine="0"/>
        <w:rPr>
          <w:lang w:val="it-IT"/>
        </w:rPr>
      </w:pPr>
      <w:r w:rsidRPr="00FB6B42">
        <w:rPr>
          <w:lang w:val="it-IT"/>
        </w:rPr>
        <w:t xml:space="preserve">  Grandi i përgjithshëm</w:t>
      </w:r>
    </w:p>
    <w:p w:rsidR="00FB6B42" w:rsidRPr="00FB6B42" w:rsidRDefault="00FB6B42" w:rsidP="00FB6B42">
      <w:pPr>
        <w:pStyle w:val="Paragrafi0"/>
        <w:rPr>
          <w:lang w:val="it-IT"/>
        </w:rPr>
      </w:pPr>
      <w:r w:rsidRPr="00FB6B42">
        <w:rPr>
          <w:lang w:val="it-IT"/>
        </w:rPr>
        <w:t>- Shuma fikse</w:t>
      </w:r>
      <w:r w:rsidRPr="00FB6B42">
        <w:rPr>
          <w:lang w:val="it-IT"/>
        </w:rPr>
        <w:tab/>
      </w:r>
      <w:r w:rsidRPr="00FB6B42">
        <w:rPr>
          <w:lang w:val="it-IT"/>
        </w:rPr>
        <w:tab/>
      </w:r>
      <w:r w:rsidRPr="00FB6B42">
        <w:rPr>
          <w:lang w:val="it-IT"/>
        </w:rPr>
        <w:tab/>
      </w:r>
      <w:r w:rsidRPr="00FB6B42">
        <w:rPr>
          <w:lang w:val="it-IT"/>
        </w:rPr>
        <w:tab/>
        <w:t>10%  =    11,630 mijë lekë (për çdo qark).</w:t>
      </w:r>
    </w:p>
    <w:p w:rsidR="00FB6B42" w:rsidRPr="00FB6B42" w:rsidRDefault="00FB6B42" w:rsidP="00FB6B42">
      <w:pPr>
        <w:pStyle w:val="Paragrafi0"/>
        <w:rPr>
          <w:lang w:val="it-IT"/>
        </w:rPr>
      </w:pPr>
      <w:r w:rsidRPr="00FB6B42">
        <w:rPr>
          <w:lang w:val="it-IT"/>
        </w:rPr>
        <w:t>- Popullsia</w:t>
      </w:r>
      <w:r w:rsidRPr="00FB6B42">
        <w:rPr>
          <w:lang w:val="it-IT"/>
        </w:rPr>
        <w:tab/>
      </w:r>
      <w:r w:rsidRPr="00FB6B42">
        <w:rPr>
          <w:lang w:val="it-IT"/>
        </w:rPr>
        <w:tab/>
      </w:r>
      <w:r w:rsidRPr="00FB6B42">
        <w:rPr>
          <w:lang w:val="it-IT"/>
        </w:rPr>
        <w:tab/>
      </w:r>
      <w:r w:rsidRPr="00FB6B42">
        <w:rPr>
          <w:lang w:val="it-IT"/>
        </w:rPr>
        <w:tab/>
        <w:t>28%  =    32,563 mijë lekë.</w:t>
      </w:r>
    </w:p>
    <w:p w:rsidR="00FB6B42" w:rsidRPr="00FB6B42" w:rsidRDefault="00FB6B42" w:rsidP="00FB6B42">
      <w:pPr>
        <w:pStyle w:val="Paragrafi0"/>
        <w:rPr>
          <w:lang w:val="it-IT"/>
        </w:rPr>
      </w:pPr>
      <w:r w:rsidRPr="00FB6B42">
        <w:rPr>
          <w:lang w:val="it-IT"/>
        </w:rPr>
        <w:t>- Treguesi gjeografik</w:t>
      </w:r>
      <w:r w:rsidRPr="00FB6B42">
        <w:rPr>
          <w:lang w:val="it-IT"/>
        </w:rPr>
        <w:tab/>
      </w:r>
      <w:r w:rsidRPr="00FB6B42">
        <w:rPr>
          <w:lang w:val="it-IT"/>
        </w:rPr>
        <w:tab/>
      </w:r>
      <w:r w:rsidRPr="00FB6B42">
        <w:rPr>
          <w:lang w:val="it-IT"/>
        </w:rPr>
        <w:tab/>
        <w:t>30%  =    34,890 mijë lekë.</w:t>
      </w:r>
    </w:p>
    <w:p w:rsidR="00FB6B42" w:rsidRPr="00BE3A0F" w:rsidRDefault="00FB6B42" w:rsidP="00FB6B42">
      <w:pPr>
        <w:pStyle w:val="Paragrafi0"/>
        <w:rPr>
          <w:lang w:val="it-IT"/>
        </w:rPr>
      </w:pPr>
      <w:r w:rsidRPr="00BE3A0F">
        <w:rPr>
          <w:lang w:val="it-IT"/>
        </w:rPr>
        <w:t>- Koeficienti i rrugës</w:t>
      </w:r>
      <w:r w:rsidRPr="00BE3A0F">
        <w:rPr>
          <w:lang w:val="it-IT"/>
        </w:rPr>
        <w:tab/>
      </w:r>
      <w:r w:rsidRPr="00BE3A0F">
        <w:rPr>
          <w:lang w:val="it-IT"/>
        </w:rPr>
        <w:tab/>
      </w:r>
      <w:r w:rsidRPr="00BE3A0F">
        <w:rPr>
          <w:lang w:val="it-IT"/>
        </w:rPr>
        <w:tab/>
        <w:t>32%  =    34,890 mijë lekë.</w:t>
      </w:r>
    </w:p>
    <w:p w:rsidR="00FB6B42" w:rsidRPr="00FB6B42" w:rsidRDefault="00FB6B42" w:rsidP="00FB6B42">
      <w:pPr>
        <w:pStyle w:val="Paragrafi0"/>
        <w:rPr>
          <w:lang w:val="it-IT"/>
        </w:rPr>
      </w:pPr>
      <w:r w:rsidRPr="00FB6B42">
        <w:rPr>
          <w:lang w:val="it-IT"/>
        </w:rPr>
        <w:t>Qarku X</w:t>
      </w:r>
    </w:p>
    <w:p w:rsidR="00FB6B42" w:rsidRPr="00FB6B42" w:rsidRDefault="00FB6B42" w:rsidP="00FB6B42">
      <w:pPr>
        <w:pStyle w:val="Paragrafi0"/>
        <w:rPr>
          <w:lang w:val="it-IT"/>
        </w:rPr>
      </w:pPr>
      <w:r w:rsidRPr="00FB6B42">
        <w:rPr>
          <w:lang w:val="it-IT"/>
        </w:rPr>
        <w:t>Popullsia: 112,050 banorë.</w:t>
      </w:r>
    </w:p>
    <w:p w:rsidR="00FB6B42" w:rsidRPr="00FB6B42" w:rsidRDefault="00FB6B42" w:rsidP="00FB6B42">
      <w:pPr>
        <w:pStyle w:val="Paragrafi0"/>
        <w:rPr>
          <w:lang w:val="it-IT"/>
        </w:rPr>
      </w:pPr>
      <w:r w:rsidRPr="00FB6B42">
        <w:rPr>
          <w:lang w:val="it-IT"/>
        </w:rPr>
        <w:t>Popullsia në shkallë kombëtare: 4,268,984 banorë.</w:t>
      </w:r>
    </w:p>
    <w:p w:rsidR="00FB6B42" w:rsidRPr="00BE3A0F" w:rsidRDefault="00FB6B42" w:rsidP="00FB6B42">
      <w:pPr>
        <w:pStyle w:val="Paragrafi0"/>
        <w:rPr>
          <w:lang w:val="it-IT"/>
        </w:rPr>
      </w:pPr>
      <w:r w:rsidRPr="00BE3A0F">
        <w:rPr>
          <w:lang w:val="it-IT"/>
        </w:rPr>
        <w:t>Treguesi gjeografik  “M”(malore).</w:t>
      </w:r>
    </w:p>
    <w:p w:rsidR="00FB6B42" w:rsidRPr="00BE3A0F" w:rsidRDefault="00FB6B42" w:rsidP="00FB6B42">
      <w:pPr>
        <w:pStyle w:val="Paragrafi0"/>
        <w:rPr>
          <w:lang w:val="it-IT"/>
        </w:rPr>
      </w:pPr>
      <w:r w:rsidRPr="00BE3A0F">
        <w:rPr>
          <w:lang w:val="it-IT"/>
        </w:rPr>
        <w:t>Pesha gjeografike “5”.</w:t>
      </w:r>
    </w:p>
    <w:p w:rsidR="00FB6B42" w:rsidRPr="00BE3A0F" w:rsidRDefault="00FB6B42" w:rsidP="00FB6B42">
      <w:pPr>
        <w:pStyle w:val="Paragrafi0"/>
        <w:rPr>
          <w:lang w:val="it-IT"/>
        </w:rPr>
      </w:pPr>
      <w:r w:rsidRPr="00BE3A0F">
        <w:rPr>
          <w:lang w:val="it-IT"/>
        </w:rPr>
        <w:t>Pesha gjeografike, gjithsej në shkallë kombëtare, “32”.</w:t>
      </w:r>
    </w:p>
    <w:p w:rsidR="00FB6B42" w:rsidRPr="00BE3A0F" w:rsidRDefault="00FB6B42" w:rsidP="00FB6B42">
      <w:pPr>
        <w:pStyle w:val="Paragrafi0"/>
        <w:rPr>
          <w:lang w:val="it-IT"/>
        </w:rPr>
      </w:pPr>
      <w:r w:rsidRPr="00BE3A0F">
        <w:rPr>
          <w:lang w:val="it-IT"/>
        </w:rPr>
        <w:t>Gjatësia e rrugëve rurale rajonale që menaxhohen nga 12 qarqet, 4289 km.</w:t>
      </w:r>
    </w:p>
    <w:p w:rsidR="00FB6B42" w:rsidRPr="00BE3A0F" w:rsidRDefault="00FB6B42" w:rsidP="00FB6B42">
      <w:pPr>
        <w:pStyle w:val="Paragrafi0"/>
        <w:rPr>
          <w:lang w:val="it-IT"/>
        </w:rPr>
      </w:pPr>
      <w:r w:rsidRPr="00BE3A0F">
        <w:rPr>
          <w:lang w:val="it-IT"/>
        </w:rPr>
        <w:t>Gjatësia e rrugëve rurale rajonale që menaxhohen nga qarku X, 346 km.</w:t>
      </w:r>
    </w:p>
    <w:p w:rsidR="00FB6B42" w:rsidRPr="00FB6B42" w:rsidRDefault="00FB6B42" w:rsidP="00FB6B42">
      <w:pPr>
        <w:pStyle w:val="Paragrafi0"/>
        <w:rPr>
          <w:lang w:val="it-IT"/>
        </w:rPr>
      </w:pPr>
      <w:r w:rsidRPr="00FB6B42">
        <w:rPr>
          <w:lang w:val="it-IT"/>
        </w:rPr>
        <w:t>Llogaritja e grandit të përgjithshëm</w:t>
      </w:r>
    </w:p>
    <w:p w:rsidR="00FB6B42" w:rsidRPr="00FB6B42" w:rsidRDefault="00FB6B42" w:rsidP="00FB6B42">
      <w:pPr>
        <w:pStyle w:val="Paragrafi0"/>
        <w:rPr>
          <w:lang w:val="it-IT"/>
        </w:rPr>
      </w:pPr>
      <w:r w:rsidRPr="00FB6B42">
        <w:rPr>
          <w:lang w:val="it-IT"/>
        </w:rPr>
        <w:t>1. Shuma fikse që i takon këtij qarku (11,630 mije lekë/12 qarqe) = 1,358 mijë lekë.</w:t>
      </w:r>
    </w:p>
    <w:p w:rsidR="00FB6B42" w:rsidRPr="00FB6B42" w:rsidRDefault="00FB6B42" w:rsidP="00FB6B42">
      <w:pPr>
        <w:pStyle w:val="Paragrafi0"/>
        <w:rPr>
          <w:lang w:val="it-IT"/>
        </w:rPr>
      </w:pPr>
      <w:r w:rsidRPr="00FB6B42">
        <w:rPr>
          <w:lang w:val="it-IT"/>
        </w:rPr>
        <w:t>2. Pjesa që i takon nga popullsia (112050 banorë/4,268,984 banor</w:t>
      </w:r>
      <w:r w:rsidRPr="00FB6B42">
        <w:rPr>
          <w:rFonts w:ascii="Times New Roman" w:eastAsia="Times New Roman" w:hAnsi="Times New Roman"/>
          <w:lang w:val="it-IT" w:eastAsia="ko-KR"/>
        </w:rPr>
        <w:t>ë</w:t>
      </w:r>
      <w:r w:rsidRPr="00FB6B42">
        <w:rPr>
          <w:lang w:val="it-IT"/>
        </w:rPr>
        <w:t xml:space="preserve"> në shkallë kombëtare) = 0.02624  koeficienti i popullsisë. Nga kriteri i popullsisë, qarku X përfiton (0.02624  x 32,563 mijë) = 8,546 mijë lekë.</w:t>
      </w:r>
    </w:p>
    <w:p w:rsidR="00FB6B42" w:rsidRPr="00BE3A0F" w:rsidRDefault="00FB6B42" w:rsidP="00FB6B42">
      <w:pPr>
        <w:pStyle w:val="Paragrafi0"/>
        <w:rPr>
          <w:lang w:val="it-IT"/>
        </w:rPr>
      </w:pPr>
      <w:r w:rsidRPr="00BE3A0F">
        <w:rPr>
          <w:lang w:val="it-IT"/>
        </w:rPr>
        <w:t>3. Pjesa që i takon nga treguesi gjeografik  (5/32) = 0.1563 koeficienti gjeografik. Nga kriteri i treguesit gjeografik, qarku X përfiton (0.1563x34,890 mijë lekë) = 1,964 mijë lekë.</w:t>
      </w:r>
    </w:p>
    <w:p w:rsidR="00FB6B42" w:rsidRPr="00BE3A0F" w:rsidRDefault="00FB6B42" w:rsidP="00FB6B42">
      <w:pPr>
        <w:pStyle w:val="Paragrafi0"/>
        <w:rPr>
          <w:lang w:val="it-IT"/>
        </w:rPr>
      </w:pPr>
      <w:r w:rsidRPr="00BE3A0F">
        <w:rPr>
          <w:lang w:val="it-IT"/>
        </w:rPr>
        <w:t>4. Pjesa që i takon nga koeficienti i rrugës  (346/4289) = 0.0807 koeficienti rrugës. Nga kriteri i koeficientit të rrugës, qarku X përfiton (0.0807x34,890 mijë lekë) = 2,815 mijë lekë.</w:t>
      </w:r>
    </w:p>
    <w:p w:rsidR="00FB6B42" w:rsidRDefault="00FB6B42" w:rsidP="00FB6B42">
      <w:pPr>
        <w:pStyle w:val="Paragrafi0"/>
      </w:pPr>
      <w:r w:rsidRPr="003057DD">
        <w:t>Qarku X përfiton grand (1,358 +8,546 +1,964 +2,815) = 14,683 mij</w:t>
      </w:r>
      <w:r>
        <w:t>ë</w:t>
      </w:r>
      <w:r w:rsidRPr="003057DD">
        <w:t xml:space="preserve"> lek</w:t>
      </w:r>
      <w:r>
        <w:t>ë</w:t>
      </w:r>
      <w:r w:rsidRPr="003057DD">
        <w:t>.</w:t>
      </w:r>
    </w:p>
    <w:p w:rsidR="00FB6B42" w:rsidRDefault="00FB6B42" w:rsidP="00FB6B42">
      <w:pPr>
        <w:pStyle w:val="Paragrafi0"/>
      </w:pPr>
    </w:p>
    <w:p w:rsidR="00FB6B42" w:rsidRPr="003057DD" w:rsidRDefault="00FB6B42" w:rsidP="00FB6B42">
      <w:pPr>
        <w:pStyle w:val="Paragrafi0"/>
      </w:pPr>
    </w:p>
    <w:p w:rsidR="00FB6B42" w:rsidRPr="003057DD" w:rsidRDefault="00FB6B42" w:rsidP="00FB6B42">
      <w:pPr>
        <w:pStyle w:val="Paragrafi0"/>
      </w:pPr>
      <w:r>
        <w:t>G.2</w:t>
      </w:r>
      <w:r w:rsidRPr="003057DD">
        <w:t xml:space="preserve"> Transferta e kushtëzuar </w:t>
      </w:r>
    </w:p>
    <w:p w:rsidR="00FB6B42" w:rsidRPr="003057DD" w:rsidRDefault="00FB6B42" w:rsidP="00FB6B42">
      <w:pPr>
        <w:pStyle w:val="Paragrafi0"/>
      </w:pPr>
      <w:r>
        <w:t xml:space="preserve">45. </w:t>
      </w:r>
      <w:r w:rsidRPr="003057DD">
        <w:t>Transferta e kushtëzuar parashikohet në programin buxhetor afatmesëm 2011-2013, për financimin e shpenzimeve për funksionet e deleguara. Sipas akteve ligjore n</w:t>
      </w:r>
      <w:r>
        <w:t>ë</w:t>
      </w:r>
      <w:r w:rsidRPr="003057DD">
        <w:t xml:space="preserve"> fuqi, funksione t</w:t>
      </w:r>
      <w:r>
        <w:t>ë</w:t>
      </w:r>
      <w:r w:rsidRPr="003057DD">
        <w:t xml:space="preserve"> deleguara n</w:t>
      </w:r>
      <w:r>
        <w:t>ë</w:t>
      </w:r>
      <w:r w:rsidRPr="003057DD">
        <w:t xml:space="preserve"> pushtetin vendor janë:</w:t>
      </w:r>
    </w:p>
    <w:p w:rsidR="00FB6B42" w:rsidRPr="003057DD" w:rsidRDefault="00FB6B42" w:rsidP="00FB6B42">
      <w:pPr>
        <w:pStyle w:val="Paragrafi0"/>
      </w:pPr>
      <w:r>
        <w:t>- Shërbimi i</w:t>
      </w:r>
      <w:r w:rsidRPr="003057DD">
        <w:t xml:space="preserve"> gjendjes civile si funksion i deleguar i detyrueshëm, parashikimi i shpenzimeve për paga, sigurime shoqërore, shpenzime ope</w:t>
      </w:r>
      <w:r>
        <w:t>rative dhe investime bëhen nga komunat dhe b</w:t>
      </w:r>
      <w:r w:rsidRPr="003057DD">
        <w:t>ashkitë, n</w:t>
      </w:r>
      <w:r>
        <w:t>ë</w:t>
      </w:r>
      <w:r w:rsidRPr="003057DD">
        <w:t xml:space="preserve"> baz</w:t>
      </w:r>
      <w:r>
        <w:t>ë</w:t>
      </w:r>
      <w:r w:rsidRPr="003057DD">
        <w:t xml:space="preserve"> t</w:t>
      </w:r>
      <w:r>
        <w:t>ë</w:t>
      </w:r>
      <w:r w:rsidRPr="003057DD">
        <w:t xml:space="preserve"> kuotave dhe udhëzimeve m</w:t>
      </w:r>
      <w:r>
        <w:t>ë</w:t>
      </w:r>
      <w:r w:rsidRPr="003057DD">
        <w:t xml:space="preserve"> t</w:t>
      </w:r>
      <w:r>
        <w:t>ë</w:t>
      </w:r>
      <w:r w:rsidRPr="003057DD">
        <w:t xml:space="preserve"> detajuara q</w:t>
      </w:r>
      <w:r>
        <w:t>ë</w:t>
      </w:r>
      <w:r w:rsidRPr="003057DD">
        <w:t xml:space="preserve"> do bëhen nga Ministria e Brendshme. Numri i punonj</w:t>
      </w:r>
      <w:r>
        <w:t>ësve dhe kuotat përkatëse për kë</w:t>
      </w:r>
      <w:r w:rsidRPr="003057DD">
        <w:t>të funksion do t</w:t>
      </w:r>
      <w:r>
        <w:t>ë</w:t>
      </w:r>
      <w:r w:rsidRPr="003057DD">
        <w:t xml:space="preserve"> dërgohen nga Ministria e Brendshme.</w:t>
      </w:r>
    </w:p>
    <w:p w:rsidR="00FB6B42" w:rsidRPr="003057DD" w:rsidRDefault="00FB6B42" w:rsidP="00FB6B42">
      <w:pPr>
        <w:pStyle w:val="Paragrafi0"/>
      </w:pPr>
      <w:r>
        <w:t xml:space="preserve">- </w:t>
      </w:r>
      <w:r w:rsidRPr="003057DD">
        <w:t>Për sekretar</w:t>
      </w:r>
      <w:r>
        <w:t>ët e deputetë</w:t>
      </w:r>
      <w:r w:rsidRPr="003057DD">
        <w:t>ve</w:t>
      </w:r>
      <w:r>
        <w:t>,</w:t>
      </w:r>
      <w:r w:rsidRPr="003057DD">
        <w:t xml:space="preserve"> si funksion i deleguar i detyrueshëm, parashikimi i shpenzimeve për paga, sigurime shoqërore, shpenzime oper</w:t>
      </w:r>
      <w:r>
        <w:t>ative dhe investime  bëhen nga komunat dhe b</w:t>
      </w:r>
      <w:r w:rsidRPr="003057DD">
        <w:t>ashkitë, n</w:t>
      </w:r>
      <w:r>
        <w:t>ë</w:t>
      </w:r>
      <w:r w:rsidRPr="003057DD">
        <w:t xml:space="preserve"> baz</w:t>
      </w:r>
      <w:r>
        <w:t>ë</w:t>
      </w:r>
      <w:r w:rsidRPr="003057DD">
        <w:t xml:space="preserve"> t</w:t>
      </w:r>
      <w:r>
        <w:t>ë</w:t>
      </w:r>
      <w:r w:rsidRPr="003057DD">
        <w:t xml:space="preserve"> kuotav</w:t>
      </w:r>
      <w:r>
        <w:t>e dhe udhëzimeve më të detajuara që</w:t>
      </w:r>
      <w:r w:rsidRPr="003057DD">
        <w:t xml:space="preserve"> do bëhen nga Ministria e Brendshme. Numri i punonjësve dhe kuotat përkatëse për k</w:t>
      </w:r>
      <w:r>
        <w:t>ëtë funksion do të</w:t>
      </w:r>
      <w:r w:rsidRPr="003057DD">
        <w:t xml:space="preserve"> dërgohen nga Ministria e Brendshme.</w:t>
      </w:r>
    </w:p>
    <w:p w:rsidR="00FB6B42" w:rsidRPr="003057DD" w:rsidRDefault="00FB6B42" w:rsidP="00FB6B42">
      <w:pPr>
        <w:pStyle w:val="Paragrafi0"/>
      </w:pPr>
      <w:r>
        <w:t xml:space="preserve">- </w:t>
      </w:r>
      <w:r w:rsidRPr="003057DD">
        <w:t xml:space="preserve">Për seksionin </w:t>
      </w:r>
      <w:r>
        <w:t>e mbrojtjes dhe administrimit të</w:t>
      </w:r>
      <w:r w:rsidRPr="003057DD">
        <w:t xml:space="preserve"> tokës</w:t>
      </w:r>
      <w:r>
        <w:t>,</w:t>
      </w:r>
      <w:r w:rsidRPr="003057DD">
        <w:t xml:space="preserve"> si funksion i deleguar i detyrueshëm, parashikimi i shpenzimeve për paga, sigurime shoqërore, shpenzime operative dhe</w:t>
      </w:r>
      <w:r>
        <w:t xml:space="preserve"> investime  bëhen nga qarqet, në</w:t>
      </w:r>
      <w:r w:rsidRPr="003057DD">
        <w:t xml:space="preserve"> baz</w:t>
      </w:r>
      <w:r>
        <w:t>ë</w:t>
      </w:r>
      <w:r w:rsidRPr="003057DD">
        <w:t xml:space="preserve"> t</w:t>
      </w:r>
      <w:r>
        <w:t>ë kuotave dhe udhëzimeve më</w:t>
      </w:r>
      <w:r w:rsidRPr="003057DD">
        <w:t xml:space="preserve"> t</w:t>
      </w:r>
      <w:r>
        <w:t>ë</w:t>
      </w:r>
      <w:r w:rsidRPr="003057DD">
        <w:t xml:space="preserve"> detajuara q</w:t>
      </w:r>
      <w:r>
        <w:t>ë</w:t>
      </w:r>
      <w:r w:rsidRPr="003057DD">
        <w:t xml:space="preserve"> do bëhen nga Ministria e Brendshme. Numri i punonjësve dhe kuotat p</w:t>
      </w:r>
      <w:r>
        <w:t>ërkatëse për këtë funksion do të</w:t>
      </w:r>
      <w:r w:rsidRPr="003057DD">
        <w:t xml:space="preserve"> dërgohen nga Ministria e Brendshme.</w:t>
      </w:r>
    </w:p>
    <w:p w:rsidR="00FB6B42" w:rsidRPr="003057DD" w:rsidRDefault="00FB6B42" w:rsidP="00FB6B42">
      <w:pPr>
        <w:pStyle w:val="Paragrafi0"/>
      </w:pPr>
      <w:r>
        <w:t>- Për qendrat e r</w:t>
      </w:r>
      <w:r w:rsidRPr="003057DD">
        <w:t>egjistrimit t</w:t>
      </w:r>
      <w:r>
        <w:t>ë b</w:t>
      </w:r>
      <w:r w:rsidRPr="003057DD">
        <w:t>izneseve, si funksion i deleguar i detyrueshëm, parashikimi i shpenzimeve për paga, sigurime shoq</w:t>
      </w:r>
      <w:r>
        <w:t xml:space="preserve">ërore dhe shpenzime operative </w:t>
      </w:r>
      <w:r w:rsidRPr="003057DD">
        <w:t>bëhen nga bashkitë, n</w:t>
      </w:r>
      <w:r>
        <w:t>ë</w:t>
      </w:r>
      <w:r w:rsidRPr="003057DD">
        <w:t xml:space="preserve"> baz</w:t>
      </w:r>
      <w:r>
        <w:t>ë</w:t>
      </w:r>
      <w:r w:rsidRPr="003057DD">
        <w:t xml:space="preserve"> t</w:t>
      </w:r>
      <w:r>
        <w:t>ë</w:t>
      </w:r>
      <w:r w:rsidRPr="003057DD">
        <w:t xml:space="preserve"> kuotave dhe udhëzimeve m</w:t>
      </w:r>
      <w:r>
        <w:t>ë</w:t>
      </w:r>
      <w:r w:rsidRPr="003057DD">
        <w:t xml:space="preserve"> t</w:t>
      </w:r>
      <w:r>
        <w:t>ë</w:t>
      </w:r>
      <w:r w:rsidRPr="003057DD">
        <w:t xml:space="preserve"> detajuara q</w:t>
      </w:r>
      <w:r>
        <w:t>ë</w:t>
      </w:r>
      <w:r w:rsidRPr="003057DD">
        <w:t xml:space="preserve"> do bëhen nga Ministria e Eko</w:t>
      </w:r>
      <w:r>
        <w:t>nomisë, Tregtisë dhe Energjetikë</w:t>
      </w:r>
      <w:r w:rsidRPr="003057DD">
        <w:t>s.</w:t>
      </w:r>
    </w:p>
    <w:p w:rsidR="00FB6B42" w:rsidRPr="003057DD" w:rsidRDefault="00FB6B42" w:rsidP="00FB6B42">
      <w:pPr>
        <w:pStyle w:val="Paragrafi0"/>
      </w:pPr>
      <w:r>
        <w:t xml:space="preserve">46. </w:t>
      </w:r>
      <w:r w:rsidRPr="003057DD">
        <w:t>Shuma e transfertave të kushtëzuara do të jetë rezultat i shpenzimeve sipas artikujve për çdo aktivitet që kryhet në zbatim të funksioneve të deleguara ose të përb</w:t>
      </w:r>
      <w:r>
        <w:t>ashkëta. Parashikimi i zërave të</w:t>
      </w:r>
      <w:r w:rsidRPr="003057DD">
        <w:t xml:space="preserve"> pagave sigurimeve shoqërore dhe shpenzimeve operative dhe t</w:t>
      </w:r>
      <w:r>
        <w:t>ë</w:t>
      </w:r>
      <w:r w:rsidRPr="003057DD">
        <w:t xml:space="preserve"> mirëmbajtjes do t</w:t>
      </w:r>
      <w:r>
        <w:t>ë</w:t>
      </w:r>
      <w:r w:rsidRPr="003057DD">
        <w:t xml:space="preserve"> bëhen n</w:t>
      </w:r>
      <w:r>
        <w:t>ë</w:t>
      </w:r>
      <w:r w:rsidRPr="003057DD">
        <w:t xml:space="preserve"> përputhje me aktet ligjore n</w:t>
      </w:r>
      <w:r>
        <w:t>ë</w:t>
      </w:r>
      <w:r w:rsidRPr="003057DD">
        <w:t xml:space="preserve"> fuqi për zërat përkatës.</w:t>
      </w:r>
    </w:p>
    <w:p w:rsidR="00FB6B42" w:rsidRPr="003057DD" w:rsidRDefault="00FB6B42" w:rsidP="00FB6B42">
      <w:pPr>
        <w:pStyle w:val="Paragrafi0"/>
      </w:pPr>
      <w:bookmarkStart w:id="49" w:name="_Toc191800917"/>
      <w:bookmarkStart w:id="50" w:name="_Toc191801061"/>
      <w:bookmarkStart w:id="51" w:name="_Toc191801086"/>
      <w:bookmarkStart w:id="52" w:name="_Toc191801115"/>
      <w:r>
        <w:t>GJ. Raportet – p</w:t>
      </w:r>
      <w:r w:rsidRPr="003057DD">
        <w:t>jes</w:t>
      </w:r>
      <w:r>
        <w:t>ë e kërkesave b</w:t>
      </w:r>
      <w:r w:rsidRPr="003057DD">
        <w:t>uxhetore</w:t>
      </w:r>
      <w:bookmarkEnd w:id="49"/>
      <w:bookmarkEnd w:id="50"/>
      <w:bookmarkEnd w:id="51"/>
      <w:bookmarkEnd w:id="52"/>
    </w:p>
    <w:p w:rsidR="00FB6B42" w:rsidRPr="003057DD" w:rsidRDefault="00FB6B42" w:rsidP="00FB6B42">
      <w:pPr>
        <w:pStyle w:val="Paragrafi0"/>
      </w:pPr>
      <w:r>
        <w:t>47. Kërkesat e PBA-së paraqiten në këshillin e NJQV-së</w:t>
      </w:r>
      <w:r w:rsidRPr="003057DD">
        <w:t>, së bashku me një relacion shoqërues të fi</w:t>
      </w:r>
      <w:r>
        <w:t>rmosur nga kryetari i njësisë së qeverisjes v</w:t>
      </w:r>
      <w:r w:rsidRPr="003057DD">
        <w:t xml:space="preserve">endore  dhe përmbajnë: </w:t>
      </w:r>
    </w:p>
    <w:p w:rsidR="00FB6B42" w:rsidRPr="00FB6B42" w:rsidRDefault="00FB6B42" w:rsidP="00FB6B42">
      <w:pPr>
        <w:pStyle w:val="Paragrafi0"/>
        <w:rPr>
          <w:lang w:val="it-IT"/>
        </w:rPr>
      </w:pPr>
      <w:r w:rsidRPr="003057DD">
        <w:t xml:space="preserve"> </w:t>
      </w:r>
      <w:r w:rsidRPr="00FB6B42">
        <w:rPr>
          <w:lang w:val="it-IT"/>
        </w:rPr>
        <w:t>48. “Raportet standarde” nga tabelat e excel</w:t>
      </w:r>
    </w:p>
    <w:p w:rsidR="00FB6B42" w:rsidRPr="00FB6B42" w:rsidRDefault="00FB6B42" w:rsidP="00FB6B42">
      <w:pPr>
        <w:pStyle w:val="Paragrafi0"/>
        <w:rPr>
          <w:lang w:val="it-IT"/>
        </w:rPr>
      </w:pPr>
      <w:r w:rsidRPr="00FB6B42">
        <w:rPr>
          <w:lang w:val="it-IT"/>
        </w:rPr>
        <w:t xml:space="preserve">- Misionin e NJQV-së dhe strukturën e programeve; </w:t>
      </w:r>
    </w:p>
    <w:p w:rsidR="00FB6B42" w:rsidRPr="00FB6B42" w:rsidRDefault="00FB6B42" w:rsidP="00FB6B42">
      <w:pPr>
        <w:pStyle w:val="Paragrafi0"/>
        <w:rPr>
          <w:lang w:val="it-IT"/>
        </w:rPr>
      </w:pPr>
      <w:r w:rsidRPr="00FB6B42">
        <w:rPr>
          <w:lang w:val="it-IT"/>
        </w:rPr>
        <w:t xml:space="preserve">- Deklaratat e politikës së programit; </w:t>
      </w:r>
    </w:p>
    <w:p w:rsidR="00FB6B42" w:rsidRPr="00FB6B42" w:rsidRDefault="00FB6B42" w:rsidP="00FB6B42">
      <w:pPr>
        <w:pStyle w:val="Paragrafi0"/>
        <w:rPr>
          <w:lang w:val="it-IT"/>
        </w:rPr>
      </w:pPr>
      <w:r w:rsidRPr="00FB6B42">
        <w:rPr>
          <w:lang w:val="it-IT"/>
        </w:rPr>
        <w:t>- Tavanët e njësisë sipas programeve;</w:t>
      </w:r>
    </w:p>
    <w:p w:rsidR="00FB6B42" w:rsidRPr="00FB6B42" w:rsidRDefault="00FB6B42" w:rsidP="00FB6B42">
      <w:pPr>
        <w:pStyle w:val="Paragrafi0"/>
        <w:rPr>
          <w:lang w:val="it-IT"/>
        </w:rPr>
      </w:pPr>
      <w:r w:rsidRPr="00FB6B42">
        <w:rPr>
          <w:lang w:val="it-IT"/>
        </w:rPr>
        <w:t xml:space="preserve">- Shpenzimet e njësisë sipas programeve; </w:t>
      </w:r>
    </w:p>
    <w:p w:rsidR="00FB6B42" w:rsidRPr="00FB6B42" w:rsidRDefault="00FB6B42" w:rsidP="00FB6B42">
      <w:pPr>
        <w:pStyle w:val="Paragrafi0"/>
        <w:rPr>
          <w:lang w:val="it-IT"/>
        </w:rPr>
      </w:pPr>
      <w:r w:rsidRPr="00FB6B42">
        <w:rPr>
          <w:lang w:val="it-IT"/>
        </w:rPr>
        <w:t xml:space="preserve">- Shpenzimet e programeve sipas artikujve; </w:t>
      </w:r>
    </w:p>
    <w:p w:rsidR="00FB6B42" w:rsidRPr="00FB6B42" w:rsidRDefault="00FB6B42" w:rsidP="00FB6B42">
      <w:pPr>
        <w:pStyle w:val="Paragrafi0"/>
        <w:rPr>
          <w:lang w:val="it-IT"/>
        </w:rPr>
      </w:pPr>
      <w:r w:rsidRPr="00FB6B42">
        <w:rPr>
          <w:lang w:val="it-IT"/>
        </w:rPr>
        <w:t>- Shpenzimet e programeve sipas produkteve;</w:t>
      </w:r>
    </w:p>
    <w:p w:rsidR="00FB6B42" w:rsidRPr="003057DD" w:rsidRDefault="00FB6B42" w:rsidP="00FB6B42">
      <w:pPr>
        <w:pStyle w:val="Paragrafi0"/>
      </w:pPr>
      <w:r>
        <w:t>- Projektet me financim të brendshëm;</w:t>
      </w:r>
    </w:p>
    <w:p w:rsidR="00FB6B42" w:rsidRPr="003057DD" w:rsidRDefault="00FB6B42" w:rsidP="00FB6B42">
      <w:pPr>
        <w:pStyle w:val="Paragrafi0"/>
      </w:pPr>
      <w:r>
        <w:t>- Projektet me financim të h</w:t>
      </w:r>
      <w:r w:rsidRPr="003057DD">
        <w:t>uaj</w:t>
      </w:r>
      <w:r>
        <w:t>.</w:t>
      </w:r>
    </w:p>
    <w:p w:rsidR="00FB6B42" w:rsidRPr="003057DD" w:rsidRDefault="00FB6B42" w:rsidP="00FB6B42">
      <w:pPr>
        <w:pStyle w:val="Paragrafi0"/>
      </w:pPr>
      <w:r>
        <w:t>49. Raportet e kërkesave s</w:t>
      </w:r>
      <w:r w:rsidRPr="003057DD">
        <w:t>htes</w:t>
      </w:r>
      <w:r>
        <w:t>ë</w:t>
      </w:r>
      <w:r w:rsidRPr="003057DD">
        <w:t xml:space="preserve"> janë:</w:t>
      </w:r>
    </w:p>
    <w:p w:rsidR="00FB6B42" w:rsidRPr="003057DD" w:rsidRDefault="00FB6B42" w:rsidP="00FB6B42">
      <w:pPr>
        <w:pStyle w:val="Paragrafi0"/>
      </w:pPr>
      <w:r>
        <w:t>- Kërkesat s</w:t>
      </w:r>
      <w:r w:rsidRPr="003057DD">
        <w:t>htes</w:t>
      </w:r>
      <w:r>
        <w:t>ë sipas p</w:t>
      </w:r>
      <w:r w:rsidRPr="003057DD">
        <w:t>rodukteve;</w:t>
      </w:r>
    </w:p>
    <w:p w:rsidR="00FB6B42" w:rsidRPr="003057DD" w:rsidRDefault="00FB6B42" w:rsidP="00FB6B42">
      <w:pPr>
        <w:pStyle w:val="Paragrafi0"/>
      </w:pPr>
      <w:r>
        <w:t>- Kërkesat shtesë sipas artikujve b</w:t>
      </w:r>
      <w:r w:rsidRPr="003057DD">
        <w:t>uxhetorë;</w:t>
      </w:r>
    </w:p>
    <w:p w:rsidR="00FB6B42" w:rsidRPr="003057DD" w:rsidRDefault="00FB6B42" w:rsidP="00FB6B42">
      <w:pPr>
        <w:pStyle w:val="Paragrafi0"/>
      </w:pPr>
      <w:r>
        <w:t xml:space="preserve">- </w:t>
      </w:r>
      <w:r w:rsidRPr="003057DD">
        <w:t>Forma A për argumentimin e kërkesë</w:t>
      </w:r>
      <w:r>
        <w:t>s</w:t>
      </w:r>
      <w:r w:rsidRPr="003057DD">
        <w:t xml:space="preserve"> shtesë (n</w:t>
      </w:r>
      <w:r>
        <w:t>ë fund të a</w:t>
      </w:r>
      <w:r w:rsidRPr="003057DD">
        <w:t xml:space="preserve">neksit 4). </w:t>
      </w:r>
    </w:p>
    <w:p w:rsidR="00FB6B42" w:rsidRPr="003057DD" w:rsidRDefault="00FB6B42" w:rsidP="00FB6B42">
      <w:pPr>
        <w:pStyle w:val="Paragrafi0"/>
      </w:pPr>
      <w:r>
        <w:t xml:space="preserve">50. </w:t>
      </w:r>
      <w:r w:rsidRPr="003057DD">
        <w:t>T</w:t>
      </w:r>
      <w:r>
        <w:t>ë</w:t>
      </w:r>
      <w:r w:rsidRPr="003057DD">
        <w:t xml:space="preserve"> gjitha raportet </w:t>
      </w:r>
      <w:r>
        <w:t>duhet të jenë të firmosura nga d</w:t>
      </w:r>
      <w:r w:rsidRPr="003057DD">
        <w:t>rejtuesi i EMP</w:t>
      </w:r>
      <w:r>
        <w:t>-së</w:t>
      </w:r>
      <w:r w:rsidRPr="003057DD">
        <w:t xml:space="preserve">.  </w:t>
      </w:r>
      <w:bookmarkStart w:id="53" w:name="_Toc191800918"/>
      <w:bookmarkStart w:id="54" w:name="_Toc191801062"/>
      <w:bookmarkStart w:id="55" w:name="_Toc191801087"/>
      <w:bookmarkStart w:id="56" w:name="_Toc191801116"/>
      <w:r w:rsidRPr="003057DD">
        <w:tab/>
      </w:r>
      <w:bookmarkEnd w:id="53"/>
      <w:bookmarkEnd w:id="54"/>
      <w:bookmarkEnd w:id="55"/>
      <w:bookmarkEnd w:id="56"/>
    </w:p>
    <w:p w:rsidR="00FB6B42" w:rsidRPr="003057DD" w:rsidRDefault="00FB6B42" w:rsidP="00FB6B42">
      <w:pPr>
        <w:pStyle w:val="Paragrafi0"/>
      </w:pPr>
      <w:bookmarkStart w:id="57" w:name="_Toc191800924"/>
      <w:bookmarkStart w:id="58" w:name="_Toc191801068"/>
      <w:bookmarkStart w:id="59" w:name="_Toc191801093"/>
      <w:bookmarkStart w:id="60" w:name="_Toc191801122"/>
      <w:r>
        <w:t>H.  Ndjekja e procesit dhe m</w:t>
      </w:r>
      <w:r w:rsidRPr="003057DD">
        <w:t xml:space="preserve">bështetja </w:t>
      </w:r>
      <w:bookmarkEnd w:id="57"/>
      <w:bookmarkEnd w:id="58"/>
      <w:bookmarkEnd w:id="59"/>
      <w:bookmarkEnd w:id="60"/>
      <w:r>
        <w:t>k</w:t>
      </w:r>
      <w:r w:rsidRPr="003057DD">
        <w:t>ëshillimore</w:t>
      </w:r>
    </w:p>
    <w:p w:rsidR="00FB6B42" w:rsidRPr="00166513" w:rsidRDefault="00FB6B42" w:rsidP="00FB6B42">
      <w:pPr>
        <w:pStyle w:val="Paragrafi0"/>
        <w:rPr>
          <w:u w:val="single"/>
        </w:rPr>
      </w:pPr>
      <w:r>
        <w:t xml:space="preserve">51. </w:t>
      </w:r>
      <w:r w:rsidRPr="003057DD">
        <w:t>Ministria e Financave, n</w:t>
      </w:r>
      <w:r>
        <w:t>ë</w:t>
      </w:r>
      <w:r w:rsidRPr="003057DD">
        <w:t xml:space="preserve"> kuadër t</w:t>
      </w:r>
      <w:r>
        <w:t>ë</w:t>
      </w:r>
      <w:r w:rsidRPr="003057DD">
        <w:t xml:space="preserve"> mbështetjes këshillimore për përgatitjen e PBA</w:t>
      </w:r>
      <w:r>
        <w:t>-së</w:t>
      </w:r>
      <w:r w:rsidRPr="003057DD">
        <w:t xml:space="preserve"> 2010-2012, v</w:t>
      </w:r>
      <w:r>
        <w:t>ë</w:t>
      </w:r>
      <w:r w:rsidRPr="003057DD">
        <w:t xml:space="preserve"> n</w:t>
      </w:r>
      <w:r>
        <w:t xml:space="preserve">ë dispozicion për çdo njësi </w:t>
      </w:r>
      <w:r w:rsidRPr="003057DD">
        <w:t>t</w:t>
      </w:r>
      <w:r>
        <w:t>ë qeverisjes v</w:t>
      </w:r>
      <w:r w:rsidRPr="003057DD">
        <w:t>endore adresat e e-m</w:t>
      </w:r>
      <w:r>
        <w:t>ail-it:</w:t>
      </w:r>
      <w:r w:rsidRPr="003057DD">
        <w:t xml:space="preserve"> </w:t>
      </w:r>
      <w:hyperlink r:id="rId7" w:history="1">
        <w:r w:rsidRPr="00166513">
          <w:rPr>
            <w:rStyle w:val="Hyperlink"/>
          </w:rPr>
          <w:t>fbrahimi@minfin.gov.al</w:t>
        </w:r>
      </w:hyperlink>
      <w:r w:rsidRPr="00166513">
        <w:rPr>
          <w:u w:val="single"/>
        </w:rPr>
        <w:t xml:space="preserve">, </w:t>
      </w:r>
      <w:hyperlink r:id="rId8" w:history="1">
        <w:r w:rsidRPr="00166513">
          <w:rPr>
            <w:rStyle w:val="Hyperlink"/>
          </w:rPr>
          <w:t>jmemaj@minfin.gov.al</w:t>
        </w:r>
      </w:hyperlink>
      <w:r>
        <w:rPr>
          <w:u w:val="single"/>
        </w:rPr>
        <w:t>.</w:t>
      </w:r>
      <w:r w:rsidRPr="00166513">
        <w:rPr>
          <w:u w:val="single"/>
        </w:rPr>
        <w:t xml:space="preserve"> </w:t>
      </w:r>
    </w:p>
    <w:p w:rsidR="00FB6B42" w:rsidRPr="00FB6B42" w:rsidRDefault="00FB6B42" w:rsidP="00FB6B42">
      <w:pPr>
        <w:pStyle w:val="Paragrafi0"/>
        <w:rPr>
          <w:lang w:val="it-IT"/>
        </w:rPr>
      </w:pPr>
      <w:bookmarkStart w:id="61" w:name="_Toc191800925"/>
      <w:bookmarkStart w:id="62" w:name="_Toc191801069"/>
      <w:bookmarkStart w:id="63" w:name="_Toc191801094"/>
      <w:bookmarkStart w:id="64" w:name="_Toc191801123"/>
      <w:r w:rsidRPr="00FB6B42">
        <w:rPr>
          <w:lang w:val="it-IT"/>
        </w:rPr>
        <w:t>I.  Rishikimi i PBA-së 2011-2013</w:t>
      </w:r>
      <w:bookmarkEnd w:id="61"/>
      <w:bookmarkEnd w:id="62"/>
      <w:bookmarkEnd w:id="63"/>
      <w:bookmarkEnd w:id="64"/>
      <w:r w:rsidRPr="00FB6B42">
        <w:rPr>
          <w:lang w:val="it-IT"/>
        </w:rPr>
        <w:t xml:space="preserve"> </w:t>
      </w:r>
    </w:p>
    <w:p w:rsidR="00FB6B42" w:rsidRPr="00FB6B42" w:rsidRDefault="00FB6B42" w:rsidP="00FB6B42">
      <w:pPr>
        <w:pStyle w:val="Paragrafi0"/>
        <w:rPr>
          <w:lang w:val="it-IT"/>
        </w:rPr>
      </w:pPr>
      <w:r w:rsidRPr="00FB6B42">
        <w:rPr>
          <w:lang w:val="it-IT"/>
        </w:rPr>
        <w:t>52. Pas miratimit nga Këshilli i Ministrave të kuadrit të rishikuar makroekonomik 2010-2012, Ministria e Financave, brenda datës 10 korrik 2009, u dërgon nëpunësve autorizues të NJQV-ve, treguesit makroekonomikë, të cilët shërbejnë për rishikimin e PBA-së 2010-2012 të NJQV.</w:t>
      </w:r>
    </w:p>
    <w:p w:rsidR="00FB6B42" w:rsidRPr="00FB6B42" w:rsidRDefault="00FB6B42" w:rsidP="00FB6B42">
      <w:pPr>
        <w:pStyle w:val="Paragrafi0"/>
        <w:rPr>
          <w:lang w:val="it-IT"/>
        </w:rPr>
      </w:pPr>
    </w:p>
    <w:p w:rsidR="00FB6B42" w:rsidRPr="00FB6B42" w:rsidRDefault="00FB6B42" w:rsidP="00FB6B42">
      <w:pPr>
        <w:pStyle w:val="Paragrafi0"/>
        <w:rPr>
          <w:lang w:val="it-IT"/>
        </w:rPr>
      </w:pPr>
      <w:r w:rsidRPr="00FB6B42">
        <w:rPr>
          <w:lang w:val="it-IT"/>
        </w:rPr>
        <w:t xml:space="preserve"> </w:t>
      </w:r>
    </w:p>
    <w:p w:rsidR="00FB6B42" w:rsidRPr="00FB6B42" w:rsidRDefault="00FB6B42" w:rsidP="00FB6B42">
      <w:pPr>
        <w:pStyle w:val="Paragrafi0"/>
        <w:rPr>
          <w:lang w:val="it-IT"/>
        </w:rPr>
      </w:pPr>
      <w:r w:rsidRPr="00FB6B42">
        <w:rPr>
          <w:lang w:val="it-IT"/>
        </w:rPr>
        <w:t xml:space="preserve">J.  Të tjera </w:t>
      </w:r>
    </w:p>
    <w:p w:rsidR="00FB6B42" w:rsidRPr="00FB6B42" w:rsidRDefault="00FB6B42" w:rsidP="00FB6B42">
      <w:pPr>
        <w:pStyle w:val="Paragrafi0"/>
        <w:rPr>
          <w:lang w:val="it-IT"/>
        </w:rPr>
      </w:pPr>
      <w:r w:rsidRPr="00FB6B42">
        <w:rPr>
          <w:lang w:val="it-IT"/>
        </w:rPr>
        <w:t xml:space="preserve">53. Për sqarime të mëtejshme, përveç këtij udhëzimi mund të përdorni për analogji edhe udhëzimin nr.7, datë 22.2.2010 “Për përgatitjen e Buxhetit të Shtetit dhe fondet speciale”. </w:t>
      </w:r>
    </w:p>
    <w:p w:rsidR="00FB6B42" w:rsidRPr="00FB6B42" w:rsidRDefault="00FB6B42" w:rsidP="00FB6B42">
      <w:pPr>
        <w:pStyle w:val="Paragrafi0"/>
        <w:ind w:firstLine="0"/>
        <w:rPr>
          <w:sz w:val="12"/>
          <w:lang w:val="it-IT"/>
        </w:rPr>
      </w:pPr>
    </w:p>
    <w:p w:rsidR="00FB6B42" w:rsidRPr="00BC287E" w:rsidRDefault="00FB6B42" w:rsidP="00FB6B42">
      <w:pPr>
        <w:pStyle w:val="Autoriteti"/>
      </w:pPr>
      <w:r w:rsidRPr="00BC287E">
        <w:t>Ministri i Financave</w:t>
      </w:r>
    </w:p>
    <w:p w:rsidR="00FB6B42" w:rsidRPr="00BC287E" w:rsidRDefault="00FB6B42" w:rsidP="00FB6B42">
      <w:pPr>
        <w:pStyle w:val="AutoritetiEmer"/>
      </w:pPr>
      <w:r w:rsidRPr="00BC287E">
        <w:t>Ridvan Bode</w:t>
      </w:r>
    </w:p>
    <w:p w:rsidR="00FB6B42" w:rsidRDefault="00FB6B42" w:rsidP="00FB6B42">
      <w:pPr>
        <w:pStyle w:val="Paragrafi0"/>
        <w:ind w:firstLine="0"/>
      </w:pPr>
    </w:p>
    <w:tbl>
      <w:tblPr>
        <w:tblW w:w="4873" w:type="pct"/>
        <w:jc w:val="center"/>
        <w:tblLook w:val="0000" w:firstRow="0" w:lastRow="0" w:firstColumn="0" w:lastColumn="0" w:noHBand="0" w:noVBand="0"/>
      </w:tblPr>
      <w:tblGrid>
        <w:gridCol w:w="521"/>
        <w:gridCol w:w="6503"/>
        <w:gridCol w:w="655"/>
        <w:gridCol w:w="681"/>
        <w:gridCol w:w="691"/>
      </w:tblGrid>
      <w:tr w:rsidR="00FB6B42" w:rsidRPr="00F2496B" w:rsidTr="00FB6B42">
        <w:trPr>
          <w:trHeight w:val="300"/>
          <w:jc w:val="center"/>
        </w:trPr>
        <w:tc>
          <w:tcPr>
            <w:tcW w:w="5000" w:type="pct"/>
            <w:gridSpan w:val="5"/>
            <w:tcBorders>
              <w:top w:val="nil"/>
              <w:left w:val="nil"/>
              <w:bottom w:val="nil"/>
              <w:right w:val="nil"/>
            </w:tcBorders>
            <w:shd w:val="clear" w:color="auto" w:fill="auto"/>
            <w:noWrap/>
            <w:vAlign w:val="bottom"/>
          </w:tcPr>
          <w:p w:rsidR="00FB6B42" w:rsidRPr="00F2496B" w:rsidRDefault="00FB6B42" w:rsidP="00FB6B42">
            <w:pPr>
              <w:pStyle w:val="Tabele"/>
            </w:pPr>
            <w:r>
              <w:t>Bashkia/komuna/q</w:t>
            </w:r>
            <w:r w:rsidRPr="00F2496B">
              <w:t>arku____________________________________</w:t>
            </w:r>
          </w:p>
        </w:tc>
      </w:tr>
      <w:tr w:rsidR="00FB6B42" w:rsidRPr="00F2496B" w:rsidTr="00FB6B42">
        <w:trPr>
          <w:trHeight w:val="255"/>
          <w:jc w:val="center"/>
        </w:trPr>
        <w:tc>
          <w:tcPr>
            <w:tcW w:w="3561" w:type="pct"/>
            <w:gridSpan w:val="2"/>
            <w:tcBorders>
              <w:top w:val="nil"/>
              <w:left w:val="nil"/>
              <w:bottom w:val="nil"/>
              <w:right w:val="nil"/>
            </w:tcBorders>
            <w:shd w:val="clear" w:color="auto" w:fill="auto"/>
            <w:noWrap/>
            <w:vAlign w:val="bottom"/>
          </w:tcPr>
          <w:p w:rsidR="00FB6B42" w:rsidRPr="00F2496B" w:rsidRDefault="00FB6B42" w:rsidP="00FB6B42">
            <w:pPr>
              <w:pStyle w:val="Tabele"/>
            </w:pPr>
            <w:r w:rsidRPr="00F2496B">
              <w:t>Formulari 1</w:t>
            </w:r>
          </w:p>
        </w:tc>
        <w:tc>
          <w:tcPr>
            <w:tcW w:w="455" w:type="pct"/>
            <w:tcBorders>
              <w:top w:val="nil"/>
              <w:left w:val="nil"/>
              <w:bottom w:val="nil"/>
              <w:right w:val="nil"/>
            </w:tcBorders>
            <w:shd w:val="clear" w:color="auto" w:fill="auto"/>
            <w:noWrap/>
            <w:vAlign w:val="bottom"/>
          </w:tcPr>
          <w:p w:rsidR="00FB6B42" w:rsidRPr="00F2496B" w:rsidRDefault="00FB6B42" w:rsidP="00FB6B42">
            <w:pPr>
              <w:rPr>
                <w:rFonts w:ascii="CG Times" w:eastAsia="Times New Roman" w:hAnsi="CG Times" w:cs="Arial"/>
                <w:sz w:val="20"/>
                <w:szCs w:val="20"/>
              </w:rPr>
            </w:pPr>
          </w:p>
        </w:tc>
        <w:tc>
          <w:tcPr>
            <w:tcW w:w="493" w:type="pct"/>
            <w:tcBorders>
              <w:top w:val="nil"/>
              <w:left w:val="nil"/>
              <w:bottom w:val="nil"/>
              <w:right w:val="nil"/>
            </w:tcBorders>
            <w:shd w:val="clear" w:color="auto" w:fill="auto"/>
            <w:noWrap/>
            <w:vAlign w:val="bottom"/>
          </w:tcPr>
          <w:p w:rsidR="00FB6B42" w:rsidRPr="00F2496B" w:rsidRDefault="00FB6B42" w:rsidP="00FB6B42">
            <w:pPr>
              <w:rPr>
                <w:rFonts w:ascii="CG Times" w:eastAsia="Times New Roman" w:hAnsi="CG Times" w:cs="Arial"/>
                <w:sz w:val="20"/>
                <w:szCs w:val="20"/>
              </w:rPr>
            </w:pPr>
          </w:p>
        </w:tc>
        <w:tc>
          <w:tcPr>
            <w:tcW w:w="491" w:type="pct"/>
            <w:tcBorders>
              <w:top w:val="nil"/>
              <w:left w:val="nil"/>
              <w:bottom w:val="nil"/>
              <w:right w:val="nil"/>
            </w:tcBorders>
            <w:shd w:val="clear" w:color="auto" w:fill="auto"/>
            <w:noWrap/>
            <w:vAlign w:val="bottom"/>
          </w:tcPr>
          <w:p w:rsidR="00FB6B42" w:rsidRPr="00F2496B" w:rsidRDefault="00FB6B42" w:rsidP="00FB6B42">
            <w:pPr>
              <w:rPr>
                <w:rFonts w:ascii="CG Times" w:eastAsia="Times New Roman" w:hAnsi="CG Times" w:cs="Arial"/>
                <w:sz w:val="20"/>
                <w:szCs w:val="20"/>
              </w:rPr>
            </w:pPr>
          </w:p>
        </w:tc>
      </w:tr>
      <w:tr w:rsidR="00FB6B42" w:rsidRPr="00FB6B42" w:rsidTr="00FB6B42">
        <w:trPr>
          <w:trHeight w:val="255"/>
          <w:jc w:val="center"/>
        </w:trPr>
        <w:tc>
          <w:tcPr>
            <w:tcW w:w="5000" w:type="pct"/>
            <w:gridSpan w:val="5"/>
            <w:tcBorders>
              <w:top w:val="nil"/>
              <w:left w:val="nil"/>
              <w:bottom w:val="nil"/>
              <w:right w:val="nil"/>
            </w:tcBorders>
            <w:shd w:val="clear" w:color="auto" w:fill="auto"/>
            <w:noWrap/>
            <w:vAlign w:val="bottom"/>
          </w:tcPr>
          <w:p w:rsidR="00FB6B42" w:rsidRPr="00FB6B42" w:rsidRDefault="00FB6B42" w:rsidP="00FB6B42">
            <w:pPr>
              <w:pStyle w:val="Tabele"/>
            </w:pPr>
            <w:r w:rsidRPr="00FB6B42">
              <w:t xml:space="preserve"> Parashikimi i të ardhurave për  periudhën 2011-2013</w:t>
            </w:r>
          </w:p>
        </w:tc>
      </w:tr>
      <w:tr w:rsidR="00FB6B42" w:rsidRPr="00F2496B" w:rsidTr="00FB6B42">
        <w:trPr>
          <w:trHeight w:val="270"/>
          <w:jc w:val="center"/>
        </w:trPr>
        <w:tc>
          <w:tcPr>
            <w:tcW w:w="284" w:type="pct"/>
            <w:tcBorders>
              <w:top w:val="nil"/>
              <w:left w:val="nil"/>
              <w:bottom w:val="single" w:sz="4" w:space="0" w:color="auto"/>
              <w:right w:val="nil"/>
            </w:tcBorders>
            <w:shd w:val="clear" w:color="auto" w:fill="auto"/>
            <w:noWrap/>
            <w:vAlign w:val="bottom"/>
          </w:tcPr>
          <w:p w:rsidR="00FB6B42" w:rsidRPr="00FB6B42" w:rsidRDefault="00FB6B42" w:rsidP="00FB6B42">
            <w:pPr>
              <w:rPr>
                <w:rFonts w:ascii="CG Times" w:eastAsia="Times New Roman" w:hAnsi="CG Times" w:cs="Arial"/>
                <w:sz w:val="20"/>
                <w:szCs w:val="20"/>
                <w:lang w:val="it-IT"/>
              </w:rPr>
            </w:pPr>
          </w:p>
        </w:tc>
        <w:tc>
          <w:tcPr>
            <w:tcW w:w="3277" w:type="pct"/>
            <w:tcBorders>
              <w:top w:val="nil"/>
              <w:left w:val="nil"/>
              <w:bottom w:val="single" w:sz="4" w:space="0" w:color="auto"/>
              <w:right w:val="nil"/>
            </w:tcBorders>
            <w:shd w:val="clear" w:color="auto" w:fill="auto"/>
            <w:noWrap/>
            <w:vAlign w:val="bottom"/>
          </w:tcPr>
          <w:p w:rsidR="00FB6B42" w:rsidRPr="00FB6B42" w:rsidRDefault="00FB6B42" w:rsidP="00FB6B42">
            <w:pPr>
              <w:rPr>
                <w:rFonts w:ascii="CG Times" w:eastAsia="Times New Roman" w:hAnsi="CG Times" w:cs="Arial"/>
                <w:sz w:val="20"/>
                <w:szCs w:val="20"/>
                <w:lang w:val="it-IT"/>
              </w:rPr>
            </w:pPr>
          </w:p>
        </w:tc>
        <w:tc>
          <w:tcPr>
            <w:tcW w:w="455" w:type="pct"/>
            <w:tcBorders>
              <w:top w:val="nil"/>
              <w:left w:val="nil"/>
              <w:bottom w:val="single" w:sz="4" w:space="0" w:color="auto"/>
              <w:right w:val="nil"/>
            </w:tcBorders>
            <w:shd w:val="clear" w:color="auto" w:fill="auto"/>
            <w:noWrap/>
            <w:vAlign w:val="bottom"/>
          </w:tcPr>
          <w:p w:rsidR="00FB6B42" w:rsidRPr="00FB6B42" w:rsidRDefault="00FB6B42" w:rsidP="00FB6B42">
            <w:pPr>
              <w:rPr>
                <w:rFonts w:ascii="CG Times" w:eastAsia="Times New Roman" w:hAnsi="CG Times" w:cs="Arial"/>
                <w:sz w:val="20"/>
                <w:szCs w:val="20"/>
                <w:lang w:val="it-IT"/>
              </w:rPr>
            </w:pPr>
          </w:p>
        </w:tc>
        <w:tc>
          <w:tcPr>
            <w:tcW w:w="984" w:type="pct"/>
            <w:gridSpan w:val="2"/>
            <w:tcBorders>
              <w:top w:val="nil"/>
              <w:left w:val="nil"/>
              <w:bottom w:val="single" w:sz="4" w:space="0" w:color="auto"/>
              <w:right w:val="nil"/>
            </w:tcBorders>
            <w:shd w:val="clear" w:color="auto" w:fill="auto"/>
            <w:noWrap/>
            <w:vAlign w:val="bottom"/>
          </w:tcPr>
          <w:p w:rsidR="00FB6B42" w:rsidRDefault="00FB6B42" w:rsidP="00FB6B42">
            <w:pPr>
              <w:pStyle w:val="Tabele"/>
            </w:pPr>
            <w:r>
              <w:t>Në mijë lekë</w:t>
            </w:r>
          </w:p>
        </w:tc>
      </w:tr>
      <w:tr w:rsidR="00FB6B42" w:rsidRPr="00F2496B" w:rsidTr="00FB6B42">
        <w:trPr>
          <w:trHeight w:val="240"/>
          <w:jc w:val="center"/>
        </w:trPr>
        <w:tc>
          <w:tcPr>
            <w:tcW w:w="284" w:type="pct"/>
            <w:tcBorders>
              <w:top w:val="single" w:sz="8" w:space="0" w:color="auto"/>
              <w:left w:val="single" w:sz="8" w:space="0" w:color="auto"/>
              <w:bottom w:val="single" w:sz="4" w:space="0" w:color="auto"/>
              <w:right w:val="single" w:sz="8" w:space="0" w:color="auto"/>
            </w:tcBorders>
            <w:vAlign w:val="center"/>
          </w:tcPr>
          <w:p w:rsidR="00FB6B42" w:rsidRPr="00F2496B" w:rsidRDefault="00FB6B42" w:rsidP="00FB6B42">
            <w:pPr>
              <w:pStyle w:val="Tabele"/>
            </w:pPr>
            <w:r w:rsidRPr="00F2496B">
              <w:t>Nr</w:t>
            </w:r>
          </w:p>
        </w:tc>
        <w:tc>
          <w:tcPr>
            <w:tcW w:w="3277" w:type="pct"/>
            <w:tcBorders>
              <w:top w:val="single" w:sz="8" w:space="0" w:color="auto"/>
              <w:left w:val="single" w:sz="8" w:space="0" w:color="auto"/>
              <w:bottom w:val="single" w:sz="4" w:space="0" w:color="auto"/>
              <w:right w:val="single" w:sz="4" w:space="0" w:color="auto"/>
            </w:tcBorders>
            <w:vAlign w:val="center"/>
          </w:tcPr>
          <w:p w:rsidR="00FB6B42" w:rsidRPr="00FB6B42" w:rsidRDefault="00FB6B42" w:rsidP="00FB6B42">
            <w:pPr>
              <w:pStyle w:val="Tabele"/>
            </w:pPr>
            <w:r w:rsidRPr="00FB6B42">
              <w:t>Emërtimi i të ardhurave tatimore</w:t>
            </w:r>
          </w:p>
        </w:tc>
        <w:tc>
          <w:tcPr>
            <w:tcW w:w="455" w:type="pct"/>
            <w:tcBorders>
              <w:top w:val="single" w:sz="8" w:space="0" w:color="auto"/>
              <w:left w:val="single" w:sz="8" w:space="0" w:color="auto"/>
              <w:bottom w:val="single" w:sz="4" w:space="0" w:color="auto"/>
              <w:right w:val="single" w:sz="4" w:space="0" w:color="auto"/>
            </w:tcBorders>
            <w:vAlign w:val="center"/>
          </w:tcPr>
          <w:p w:rsidR="00FB6B42" w:rsidRPr="00F2496B" w:rsidRDefault="00FB6B42" w:rsidP="00FB6B42">
            <w:pPr>
              <w:pStyle w:val="Tabele"/>
            </w:pPr>
            <w:r w:rsidRPr="00F2496B">
              <w:t>2011</w:t>
            </w:r>
          </w:p>
        </w:tc>
        <w:tc>
          <w:tcPr>
            <w:tcW w:w="493" w:type="pct"/>
            <w:tcBorders>
              <w:top w:val="nil"/>
              <w:left w:val="single" w:sz="8" w:space="0" w:color="auto"/>
              <w:bottom w:val="single" w:sz="4" w:space="0" w:color="auto"/>
              <w:right w:val="single" w:sz="4" w:space="0" w:color="auto"/>
            </w:tcBorders>
            <w:vAlign w:val="center"/>
          </w:tcPr>
          <w:p w:rsidR="00FB6B42" w:rsidRPr="00F2496B" w:rsidRDefault="00FB6B42" w:rsidP="00FB6B42">
            <w:pPr>
              <w:pStyle w:val="Tabele"/>
            </w:pPr>
            <w:r w:rsidRPr="00F2496B">
              <w:t>2012</w:t>
            </w:r>
          </w:p>
        </w:tc>
        <w:tc>
          <w:tcPr>
            <w:tcW w:w="491" w:type="pct"/>
            <w:tcBorders>
              <w:top w:val="nil"/>
              <w:left w:val="single" w:sz="8" w:space="0" w:color="auto"/>
              <w:bottom w:val="single" w:sz="4" w:space="0" w:color="auto"/>
              <w:right w:val="single" w:sz="4" w:space="0" w:color="auto"/>
            </w:tcBorders>
            <w:vAlign w:val="center"/>
          </w:tcPr>
          <w:p w:rsidR="00FB6B42" w:rsidRPr="00F2496B" w:rsidRDefault="00FB6B42" w:rsidP="00FB6B42">
            <w:pPr>
              <w:pStyle w:val="Tabele"/>
            </w:pPr>
            <w:r w:rsidRPr="00F2496B">
              <w:t>2013</w:t>
            </w:r>
          </w:p>
        </w:tc>
      </w:tr>
      <w:tr w:rsidR="00FB6B42" w:rsidRPr="00F2496B" w:rsidTr="00FB6B42">
        <w:trPr>
          <w:trHeight w:val="300"/>
          <w:jc w:val="center"/>
        </w:trPr>
        <w:tc>
          <w:tcPr>
            <w:tcW w:w="284" w:type="pct"/>
            <w:tcBorders>
              <w:top w:val="single" w:sz="8" w:space="0" w:color="auto"/>
              <w:left w:val="single" w:sz="8" w:space="0" w:color="auto"/>
              <w:bottom w:val="single" w:sz="4" w:space="0" w:color="auto"/>
              <w:right w:val="single" w:sz="4" w:space="0" w:color="auto"/>
            </w:tcBorders>
            <w:shd w:val="clear" w:color="auto" w:fill="auto"/>
            <w:noWrap/>
            <w:vAlign w:val="center"/>
          </w:tcPr>
          <w:p w:rsidR="00FB6B42" w:rsidRPr="00F2496B" w:rsidRDefault="00FB6B42" w:rsidP="00FB6B42">
            <w:pPr>
              <w:pStyle w:val="Tabele"/>
            </w:pPr>
            <w:r w:rsidRPr="00F2496B">
              <w:t>I.</w:t>
            </w:r>
          </w:p>
        </w:tc>
        <w:tc>
          <w:tcPr>
            <w:tcW w:w="3277" w:type="pct"/>
            <w:tcBorders>
              <w:top w:val="single" w:sz="8" w:space="0" w:color="auto"/>
              <w:left w:val="nil"/>
              <w:bottom w:val="single" w:sz="4" w:space="0" w:color="auto"/>
              <w:right w:val="single" w:sz="4" w:space="0" w:color="auto"/>
            </w:tcBorders>
            <w:shd w:val="clear" w:color="auto" w:fill="auto"/>
            <w:noWrap/>
            <w:vAlign w:val="center"/>
          </w:tcPr>
          <w:p w:rsidR="00FB6B42" w:rsidRPr="00F2496B" w:rsidRDefault="00FB6B42" w:rsidP="00FB6B42">
            <w:pPr>
              <w:pStyle w:val="Tabele"/>
            </w:pPr>
            <w:r>
              <w:t>Të</w:t>
            </w:r>
            <w:r w:rsidRPr="00F2496B">
              <w:t xml:space="preserve"> ardhura nga taksa </w:t>
            </w:r>
          </w:p>
        </w:tc>
        <w:tc>
          <w:tcPr>
            <w:tcW w:w="455" w:type="pct"/>
            <w:tcBorders>
              <w:top w:val="single" w:sz="8" w:space="0" w:color="auto"/>
              <w:left w:val="nil"/>
              <w:bottom w:val="single" w:sz="4" w:space="0" w:color="auto"/>
              <w:right w:val="single" w:sz="4" w:space="0" w:color="auto"/>
            </w:tcBorders>
            <w:shd w:val="clear" w:color="auto" w:fill="auto"/>
            <w:noWrap/>
            <w:vAlign w:val="center"/>
          </w:tcPr>
          <w:p w:rsidR="00FB6B42" w:rsidRPr="00F2496B" w:rsidRDefault="00FB6B42" w:rsidP="00FB6B42">
            <w:pPr>
              <w:pStyle w:val="Tabele"/>
            </w:pPr>
            <w:r w:rsidRPr="00F2496B">
              <w:t> </w:t>
            </w:r>
          </w:p>
        </w:tc>
        <w:tc>
          <w:tcPr>
            <w:tcW w:w="493" w:type="pct"/>
            <w:tcBorders>
              <w:top w:val="single" w:sz="8" w:space="0" w:color="auto"/>
              <w:left w:val="nil"/>
              <w:bottom w:val="single" w:sz="4" w:space="0" w:color="auto"/>
              <w:right w:val="single" w:sz="4" w:space="0" w:color="auto"/>
            </w:tcBorders>
            <w:shd w:val="clear" w:color="auto" w:fill="auto"/>
            <w:noWrap/>
            <w:vAlign w:val="center"/>
          </w:tcPr>
          <w:p w:rsidR="00FB6B42" w:rsidRPr="00F2496B" w:rsidRDefault="00FB6B42" w:rsidP="00FB6B42">
            <w:pPr>
              <w:pStyle w:val="Tabele"/>
            </w:pPr>
            <w:r w:rsidRPr="00F2496B">
              <w:t> </w:t>
            </w:r>
          </w:p>
        </w:tc>
        <w:tc>
          <w:tcPr>
            <w:tcW w:w="491" w:type="pct"/>
            <w:tcBorders>
              <w:top w:val="single" w:sz="8" w:space="0" w:color="auto"/>
              <w:left w:val="nil"/>
              <w:bottom w:val="single" w:sz="4" w:space="0" w:color="auto"/>
              <w:right w:val="single" w:sz="4" w:space="0" w:color="auto"/>
            </w:tcBorders>
            <w:shd w:val="clear" w:color="auto" w:fill="auto"/>
            <w:noWrap/>
            <w:vAlign w:val="center"/>
          </w:tcPr>
          <w:p w:rsidR="00FB6B42" w:rsidRPr="00F2496B" w:rsidRDefault="00FB6B42" w:rsidP="00FB6B42">
            <w:pPr>
              <w:pStyle w:val="Tabele"/>
            </w:pPr>
            <w:r w:rsidRPr="00F2496B">
              <w:t> </w:t>
            </w:r>
          </w:p>
        </w:tc>
      </w:tr>
      <w:tr w:rsidR="00FB6B42" w:rsidRPr="00FB6B42" w:rsidTr="00FB6B42">
        <w:trPr>
          <w:trHeight w:val="25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w:t>
            </w:r>
          </w:p>
        </w:tc>
        <w:tc>
          <w:tcPr>
            <w:tcW w:w="3277"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Taksa vendore mbi biznesin e vogël</w:t>
            </w:r>
          </w:p>
        </w:tc>
        <w:tc>
          <w:tcPr>
            <w:tcW w:w="455" w:type="pct"/>
            <w:tcBorders>
              <w:top w:val="nil"/>
              <w:left w:val="nil"/>
              <w:bottom w:val="single" w:sz="4" w:space="0" w:color="auto"/>
              <w:right w:val="single" w:sz="4" w:space="0" w:color="auto"/>
            </w:tcBorders>
            <w:shd w:val="clear" w:color="auto" w:fill="FFFFFF"/>
            <w:noWrap/>
            <w:vAlign w:val="bottom"/>
          </w:tcPr>
          <w:p w:rsidR="00FB6B42" w:rsidRPr="00FB6B42" w:rsidRDefault="00FB6B42" w:rsidP="00FB6B42">
            <w:pPr>
              <w:pStyle w:val="Tabele"/>
            </w:pPr>
            <w:r w:rsidRPr="00FB6B42">
              <w:t> </w:t>
            </w:r>
          </w:p>
        </w:tc>
        <w:tc>
          <w:tcPr>
            <w:tcW w:w="493"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w:t>
            </w:r>
          </w:p>
        </w:tc>
        <w:tc>
          <w:tcPr>
            <w:tcW w:w="491" w:type="pct"/>
            <w:tcBorders>
              <w:top w:val="nil"/>
              <w:left w:val="nil"/>
              <w:bottom w:val="single" w:sz="4" w:space="0" w:color="auto"/>
              <w:right w:val="single" w:sz="8" w:space="0" w:color="auto"/>
            </w:tcBorders>
            <w:shd w:val="clear" w:color="auto" w:fill="auto"/>
            <w:noWrap/>
            <w:vAlign w:val="bottom"/>
          </w:tcPr>
          <w:p w:rsidR="00FB6B42" w:rsidRPr="00FB6B42" w:rsidRDefault="00FB6B42" w:rsidP="00FB6B42">
            <w:pPr>
              <w:pStyle w:val="Tabele"/>
            </w:pPr>
            <w:r w:rsidRPr="00FB6B42">
              <w:t> </w:t>
            </w:r>
          </w:p>
        </w:tc>
      </w:tr>
      <w:tr w:rsidR="00FB6B42" w:rsidRPr="00F2496B" w:rsidTr="00FB6B42">
        <w:trPr>
          <w:trHeight w:val="25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2</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Taksa mbi ndë</w:t>
            </w:r>
            <w:r w:rsidRPr="00F2496B">
              <w:t>rtesat</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197"/>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3</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Taksa mbi  tokën  bujqë</w:t>
            </w:r>
            <w:r w:rsidRPr="00F2496B">
              <w:t>sore</w:t>
            </w:r>
          </w:p>
        </w:tc>
        <w:tc>
          <w:tcPr>
            <w:tcW w:w="455" w:type="pct"/>
            <w:tcBorders>
              <w:top w:val="nil"/>
              <w:left w:val="nil"/>
              <w:bottom w:val="nil"/>
              <w:right w:val="nil"/>
            </w:tcBorders>
            <w:shd w:val="clear" w:color="auto" w:fill="auto"/>
            <w:noWrap/>
            <w:vAlign w:val="bottom"/>
          </w:tcPr>
          <w:p w:rsidR="00FB6B42" w:rsidRPr="00F2496B" w:rsidRDefault="00FB6B42" w:rsidP="00FB6B42">
            <w:pPr>
              <w:rPr>
                <w:rFonts w:ascii="CG Times" w:eastAsia="Times New Roman" w:hAnsi="CG Times" w:cs="Arial"/>
                <w:sz w:val="20"/>
                <w:szCs w:val="20"/>
              </w:rPr>
            </w:pPr>
          </w:p>
        </w:tc>
        <w:tc>
          <w:tcPr>
            <w:tcW w:w="493"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70"/>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4</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Taksa e fjetjes në hotel</w:t>
            </w:r>
          </w:p>
        </w:tc>
        <w:tc>
          <w:tcPr>
            <w:tcW w:w="455" w:type="pct"/>
            <w:tcBorders>
              <w:top w:val="single" w:sz="4" w:space="0" w:color="auto"/>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B6B42" w:rsidTr="00FB6B42">
        <w:trPr>
          <w:trHeight w:val="31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5</w:t>
            </w:r>
          </w:p>
        </w:tc>
        <w:tc>
          <w:tcPr>
            <w:tcW w:w="3277"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Taksa e ndikimit në infrastrukturë nga ndërtimet e reja</w:t>
            </w:r>
          </w:p>
        </w:tc>
        <w:tc>
          <w:tcPr>
            <w:tcW w:w="455" w:type="pct"/>
            <w:tcBorders>
              <w:top w:val="nil"/>
              <w:left w:val="nil"/>
              <w:bottom w:val="single" w:sz="4" w:space="0" w:color="auto"/>
              <w:right w:val="single" w:sz="4" w:space="0" w:color="auto"/>
            </w:tcBorders>
            <w:shd w:val="clear" w:color="auto" w:fill="FFFFFF"/>
            <w:noWrap/>
            <w:vAlign w:val="bottom"/>
          </w:tcPr>
          <w:p w:rsidR="00FB6B42" w:rsidRPr="00FB6B42" w:rsidRDefault="00FB6B42" w:rsidP="00FB6B42">
            <w:pPr>
              <w:pStyle w:val="Tabele"/>
            </w:pPr>
            <w:r w:rsidRPr="00FB6B42">
              <w:t> </w:t>
            </w:r>
          </w:p>
        </w:tc>
        <w:tc>
          <w:tcPr>
            <w:tcW w:w="493"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w:t>
            </w:r>
          </w:p>
        </w:tc>
        <w:tc>
          <w:tcPr>
            <w:tcW w:w="491" w:type="pct"/>
            <w:tcBorders>
              <w:top w:val="nil"/>
              <w:left w:val="nil"/>
              <w:bottom w:val="single" w:sz="4" w:space="0" w:color="auto"/>
              <w:right w:val="single" w:sz="8" w:space="0" w:color="auto"/>
            </w:tcBorders>
            <w:shd w:val="clear" w:color="auto" w:fill="auto"/>
            <w:noWrap/>
            <w:vAlign w:val="bottom"/>
          </w:tcPr>
          <w:p w:rsidR="00FB6B42" w:rsidRPr="00FB6B42" w:rsidRDefault="00FB6B42" w:rsidP="00FB6B42">
            <w:pPr>
              <w:pStyle w:val="Tabele"/>
            </w:pPr>
            <w:r w:rsidRPr="00FB6B42">
              <w:t> </w:t>
            </w:r>
          </w:p>
        </w:tc>
      </w:tr>
      <w:tr w:rsidR="00FB6B42" w:rsidRPr="00F2496B" w:rsidTr="00FB6B42">
        <w:trPr>
          <w:trHeight w:val="31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6</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Taksa mbi kalimin e s</w:t>
            </w:r>
            <w:r w:rsidRPr="00F2496B">
              <w:t>ë drejtës së pronësisë për pasuritë e paluajtshme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31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7</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Taksa e regjistrimit të përvitshëm të automjeteve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31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8</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Taksa për zënien e hapësirave publike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31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9</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Taksa e tabelës</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31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10</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Taksa të përkohshme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II.</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Të</w:t>
            </w:r>
            <w:r w:rsidRPr="00F2496B">
              <w:t xml:space="preserve"> ardhura nga tarifat </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8"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Tarifa pë</w:t>
            </w:r>
            <w:r w:rsidRPr="00F2496B">
              <w:t>r pastrim</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2</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Tarifa për hapë</w:t>
            </w:r>
            <w:r w:rsidRPr="00F2496B">
              <w:t>sira publike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B6B42"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3</w:t>
            </w:r>
          </w:p>
        </w:tc>
        <w:tc>
          <w:tcPr>
            <w:tcW w:w="3277"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Tarifa e ujit të pijshëm</w:t>
            </w:r>
          </w:p>
        </w:tc>
        <w:tc>
          <w:tcPr>
            <w:tcW w:w="455" w:type="pct"/>
            <w:tcBorders>
              <w:top w:val="nil"/>
              <w:left w:val="nil"/>
              <w:bottom w:val="single" w:sz="4" w:space="0" w:color="auto"/>
              <w:right w:val="single" w:sz="4" w:space="0" w:color="auto"/>
            </w:tcBorders>
            <w:shd w:val="clear" w:color="auto" w:fill="FFFFFF"/>
            <w:noWrap/>
            <w:vAlign w:val="bottom"/>
          </w:tcPr>
          <w:p w:rsidR="00FB6B42" w:rsidRPr="00FB6B42" w:rsidRDefault="00FB6B42" w:rsidP="00FB6B42">
            <w:pPr>
              <w:pStyle w:val="Tabele"/>
            </w:pPr>
            <w:r w:rsidRPr="00FB6B42">
              <w:t> </w:t>
            </w:r>
          </w:p>
        </w:tc>
        <w:tc>
          <w:tcPr>
            <w:tcW w:w="493"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w:t>
            </w:r>
          </w:p>
        </w:tc>
        <w:tc>
          <w:tcPr>
            <w:tcW w:w="491"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4</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Tarifë</w:t>
            </w:r>
            <w:r w:rsidRPr="00F2496B">
              <w:t xml:space="preserve"> ndriçimi rrugor</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5</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Tarifë</w:t>
            </w:r>
            <w:r w:rsidRPr="00F2496B">
              <w:t xml:space="preserve"> tabele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6</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Tarifë</w:t>
            </w:r>
            <w:r w:rsidRPr="00F2496B">
              <w:t xml:space="preserve"> gj</w:t>
            </w:r>
            <w:r>
              <w:t>elbë</w:t>
            </w:r>
            <w:r w:rsidRPr="00F2496B">
              <w:t>rimi</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7</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Tarifë për reklamë</w:t>
            </w:r>
            <w:r w:rsidRPr="00F2496B">
              <w:t xml:space="preserve"> </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8</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Tarifë</w:t>
            </w:r>
            <w:r w:rsidRPr="00F2496B">
              <w:t xml:space="preserve"> parkimi</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9</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Tarifë për therjen e bagë</w:t>
            </w:r>
            <w:r w:rsidRPr="00F2496B">
              <w:t xml:space="preserve">tive </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10</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Tarifë për shërbime të</w:t>
            </w:r>
            <w:r w:rsidRPr="00F2496B">
              <w:t xml:space="preserve"> tjera administrative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B6B42"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11</w:t>
            </w:r>
          </w:p>
        </w:tc>
        <w:tc>
          <w:tcPr>
            <w:tcW w:w="3277"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Tarifë për shërbime sociale (arsim parashkollor, konvikte)</w:t>
            </w:r>
          </w:p>
        </w:tc>
        <w:tc>
          <w:tcPr>
            <w:tcW w:w="455" w:type="pct"/>
            <w:tcBorders>
              <w:top w:val="nil"/>
              <w:left w:val="nil"/>
              <w:bottom w:val="single" w:sz="4" w:space="0" w:color="auto"/>
              <w:right w:val="single" w:sz="4" w:space="0" w:color="auto"/>
            </w:tcBorders>
            <w:shd w:val="clear" w:color="auto" w:fill="FFFFFF"/>
            <w:noWrap/>
            <w:vAlign w:val="bottom"/>
          </w:tcPr>
          <w:p w:rsidR="00FB6B42" w:rsidRPr="00FB6B42" w:rsidRDefault="00FB6B42" w:rsidP="00FB6B42">
            <w:pPr>
              <w:pStyle w:val="Tabele"/>
            </w:pPr>
            <w:r w:rsidRPr="00FB6B42">
              <w:t> </w:t>
            </w:r>
          </w:p>
        </w:tc>
        <w:tc>
          <w:tcPr>
            <w:tcW w:w="493"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w:t>
            </w:r>
          </w:p>
        </w:tc>
        <w:tc>
          <w:tcPr>
            <w:tcW w:w="491"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12</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Sporte dhe kultura</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13</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Tarifa të</w:t>
            </w:r>
            <w:r w:rsidRPr="00F2496B">
              <w:t xml:space="preserve"> tjera</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B6B42"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III.</w:t>
            </w:r>
          </w:p>
        </w:tc>
        <w:tc>
          <w:tcPr>
            <w:tcW w:w="3277"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xml:space="preserve">Të ardhura nga shitja e pronës dhe dhënia me qira </w:t>
            </w:r>
          </w:p>
        </w:tc>
        <w:tc>
          <w:tcPr>
            <w:tcW w:w="455" w:type="pct"/>
            <w:tcBorders>
              <w:top w:val="nil"/>
              <w:left w:val="nil"/>
              <w:bottom w:val="single" w:sz="4" w:space="0" w:color="auto"/>
              <w:right w:val="single" w:sz="4" w:space="0" w:color="auto"/>
            </w:tcBorders>
            <w:shd w:val="clear" w:color="auto" w:fill="FFFFFF"/>
            <w:noWrap/>
            <w:vAlign w:val="bottom"/>
          </w:tcPr>
          <w:p w:rsidR="00FB6B42" w:rsidRPr="00FB6B42" w:rsidRDefault="00FB6B42" w:rsidP="00FB6B42">
            <w:pPr>
              <w:pStyle w:val="Tabele"/>
            </w:pPr>
            <w:r w:rsidRPr="00FB6B42">
              <w:t> </w:t>
            </w:r>
          </w:p>
        </w:tc>
        <w:tc>
          <w:tcPr>
            <w:tcW w:w="493"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w:t>
            </w:r>
          </w:p>
        </w:tc>
        <w:tc>
          <w:tcPr>
            <w:tcW w:w="491"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pPr>
            <w:r w:rsidRPr="00FB6B42">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Shitje n</w:t>
            </w:r>
            <w:r w:rsidRPr="00F2496B">
              <w:t xml:space="preserve">dërtese </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2</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Shitje t</w:t>
            </w:r>
            <w:r w:rsidRPr="00F2496B">
              <w:t>roje</w:t>
            </w:r>
            <w:r>
              <w:t>sh</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3</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Shitje të pronave të ndryshme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4</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Qira t</w:t>
            </w:r>
            <w:r w:rsidRPr="00F2496B">
              <w:t>roje</w:t>
            </w:r>
            <w:r>
              <w:t>sh</w:t>
            </w:r>
            <w:r w:rsidRPr="00F2496B">
              <w:t xml:space="preserve"> </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5</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Qira nga n</w:t>
            </w:r>
            <w:r w:rsidRPr="00F2496B">
              <w:t xml:space="preserve">dërtesat </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IV.</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Të ardhura nga ndë</w:t>
            </w:r>
            <w:r w:rsidRPr="00F2496B">
              <w:t>rmarrjet e ndryshme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V.</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Të ardhura të</w:t>
            </w:r>
            <w:r w:rsidRPr="00F2496B">
              <w:t xml:space="preserve"> tjera</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1</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Transferta e pakushtë</w:t>
            </w:r>
            <w:r w:rsidRPr="00F2496B">
              <w:t>zuar</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2</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Kredi dhe h</w:t>
            </w:r>
            <w:r w:rsidRPr="00F2496B">
              <w:t xml:space="preserve">ua </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2496B" w:rsidTr="00FB6B42">
        <w:trPr>
          <w:trHeight w:val="255"/>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3</w:t>
            </w:r>
          </w:p>
        </w:tc>
        <w:tc>
          <w:tcPr>
            <w:tcW w:w="3277"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t>Dhurat dhe sponsorizime të</w:t>
            </w:r>
            <w:r w:rsidRPr="00F2496B">
              <w:t xml:space="preserve"> ndryshme</w:t>
            </w:r>
          </w:p>
        </w:tc>
        <w:tc>
          <w:tcPr>
            <w:tcW w:w="455" w:type="pct"/>
            <w:tcBorders>
              <w:top w:val="nil"/>
              <w:left w:val="nil"/>
              <w:bottom w:val="single" w:sz="4" w:space="0" w:color="auto"/>
              <w:right w:val="single" w:sz="4" w:space="0" w:color="auto"/>
            </w:tcBorders>
            <w:shd w:val="clear" w:color="auto" w:fill="FFFFFF"/>
            <w:noWrap/>
            <w:vAlign w:val="bottom"/>
          </w:tcPr>
          <w:p w:rsidR="00FB6B42" w:rsidRPr="00F2496B" w:rsidRDefault="00FB6B42" w:rsidP="00FB6B42">
            <w:pPr>
              <w:pStyle w:val="Tabele"/>
            </w:pPr>
            <w:r w:rsidRPr="00F2496B">
              <w:t> </w:t>
            </w:r>
          </w:p>
        </w:tc>
        <w:tc>
          <w:tcPr>
            <w:tcW w:w="493"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491"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r>
      <w:tr w:rsidR="00FB6B42" w:rsidRPr="00FB6B42" w:rsidTr="00FB6B42">
        <w:trPr>
          <w:trHeight w:val="270"/>
          <w:jc w:val="center"/>
        </w:trPr>
        <w:tc>
          <w:tcPr>
            <w:tcW w:w="284" w:type="pct"/>
            <w:tcBorders>
              <w:top w:val="nil"/>
              <w:left w:val="single" w:sz="8" w:space="0" w:color="auto"/>
              <w:bottom w:val="single" w:sz="8" w:space="0" w:color="auto"/>
              <w:right w:val="single" w:sz="4" w:space="0" w:color="auto"/>
            </w:tcBorders>
            <w:shd w:val="clear" w:color="auto" w:fill="auto"/>
            <w:noWrap/>
            <w:vAlign w:val="bottom"/>
          </w:tcPr>
          <w:p w:rsidR="00FB6B42" w:rsidRPr="00F2496B" w:rsidRDefault="00FB6B42" w:rsidP="00FB6B42">
            <w:pPr>
              <w:pStyle w:val="Tabele"/>
            </w:pPr>
            <w:r w:rsidRPr="00F2496B">
              <w:t> </w:t>
            </w:r>
          </w:p>
        </w:tc>
        <w:tc>
          <w:tcPr>
            <w:tcW w:w="3277" w:type="pct"/>
            <w:tcBorders>
              <w:top w:val="nil"/>
              <w:left w:val="nil"/>
              <w:bottom w:val="single" w:sz="8" w:space="0" w:color="auto"/>
              <w:right w:val="single" w:sz="4" w:space="0" w:color="auto"/>
            </w:tcBorders>
            <w:shd w:val="clear" w:color="auto" w:fill="auto"/>
            <w:noWrap/>
            <w:vAlign w:val="bottom"/>
          </w:tcPr>
          <w:p w:rsidR="00FB6B42" w:rsidRPr="00FB6B42" w:rsidRDefault="00FB6B42" w:rsidP="00FB6B42">
            <w:pPr>
              <w:pStyle w:val="Tabele"/>
            </w:pPr>
            <w:r w:rsidRPr="00FB6B42">
              <w:t>Totali (I+II+III+IV+V )</w:t>
            </w:r>
          </w:p>
        </w:tc>
        <w:tc>
          <w:tcPr>
            <w:tcW w:w="455" w:type="pct"/>
            <w:tcBorders>
              <w:top w:val="nil"/>
              <w:left w:val="nil"/>
              <w:bottom w:val="single" w:sz="8" w:space="0" w:color="auto"/>
              <w:right w:val="single" w:sz="4" w:space="0" w:color="auto"/>
            </w:tcBorders>
            <w:shd w:val="clear" w:color="auto" w:fill="FFFFFF"/>
            <w:noWrap/>
            <w:vAlign w:val="bottom"/>
          </w:tcPr>
          <w:p w:rsidR="00FB6B42" w:rsidRPr="00FB6B42" w:rsidRDefault="00FB6B42" w:rsidP="00FB6B42">
            <w:pPr>
              <w:pStyle w:val="Tabele"/>
            </w:pPr>
            <w:r w:rsidRPr="00FB6B42">
              <w:t> </w:t>
            </w:r>
          </w:p>
        </w:tc>
        <w:tc>
          <w:tcPr>
            <w:tcW w:w="493" w:type="pct"/>
            <w:tcBorders>
              <w:top w:val="nil"/>
              <w:left w:val="nil"/>
              <w:bottom w:val="single" w:sz="8" w:space="0" w:color="auto"/>
              <w:right w:val="single" w:sz="4" w:space="0" w:color="auto"/>
            </w:tcBorders>
            <w:shd w:val="clear" w:color="auto" w:fill="FFFFFF"/>
            <w:noWrap/>
            <w:vAlign w:val="bottom"/>
          </w:tcPr>
          <w:p w:rsidR="00FB6B42" w:rsidRPr="00FB6B42" w:rsidRDefault="00FB6B42" w:rsidP="00FB6B42">
            <w:pPr>
              <w:pStyle w:val="Tabele"/>
            </w:pPr>
            <w:r w:rsidRPr="00FB6B42">
              <w:t> </w:t>
            </w:r>
          </w:p>
        </w:tc>
        <w:tc>
          <w:tcPr>
            <w:tcW w:w="491" w:type="pct"/>
            <w:tcBorders>
              <w:top w:val="nil"/>
              <w:left w:val="nil"/>
              <w:bottom w:val="single" w:sz="8" w:space="0" w:color="auto"/>
              <w:right w:val="single" w:sz="8" w:space="0" w:color="auto"/>
            </w:tcBorders>
            <w:shd w:val="clear" w:color="auto" w:fill="FFFFFF"/>
            <w:noWrap/>
            <w:vAlign w:val="bottom"/>
          </w:tcPr>
          <w:p w:rsidR="00FB6B42" w:rsidRPr="00FB6B42" w:rsidRDefault="00FB6B42" w:rsidP="00FB6B42">
            <w:pPr>
              <w:pStyle w:val="Tabele"/>
            </w:pPr>
            <w:r w:rsidRPr="00FB6B42">
              <w:t> </w:t>
            </w:r>
          </w:p>
        </w:tc>
      </w:tr>
    </w:tbl>
    <w:p w:rsidR="00FB6B42" w:rsidRPr="00FB6B42" w:rsidRDefault="00FB6B42" w:rsidP="00FB6B42">
      <w:pPr>
        <w:pStyle w:val="Paragrafi0"/>
        <w:ind w:firstLine="0"/>
        <w:rPr>
          <w:lang w:val="it-IT"/>
        </w:rPr>
      </w:pPr>
    </w:p>
    <w:p w:rsidR="00FB6B42" w:rsidRDefault="00FB6B42" w:rsidP="00FB6B42">
      <w:pPr>
        <w:pStyle w:val="Paragrafi0"/>
        <w:jc w:val="center"/>
      </w:pPr>
      <w:r w:rsidRPr="003C1C60">
        <w:rPr>
          <w:rFonts w:eastAsia="Times New Roman" w:cs="Arial"/>
          <w:b/>
          <w:bCs/>
          <w:sz w:val="18"/>
          <w:szCs w:val="18"/>
        </w:rPr>
        <w:t>N</w:t>
      </w:r>
      <w:r>
        <w:rPr>
          <w:rFonts w:eastAsia="Times New Roman" w:cs="Arial"/>
          <w:b/>
          <w:bCs/>
          <w:sz w:val="18"/>
          <w:szCs w:val="18"/>
        </w:rPr>
        <w:t>ëpunësi a</w:t>
      </w:r>
      <w:r w:rsidRPr="003C1C60">
        <w:rPr>
          <w:rFonts w:eastAsia="Times New Roman" w:cs="Arial"/>
          <w:b/>
          <w:bCs/>
          <w:sz w:val="18"/>
          <w:szCs w:val="18"/>
        </w:rPr>
        <w:t>utorizues</w:t>
      </w:r>
    </w:p>
    <w:p w:rsidR="00FB6B42" w:rsidRDefault="00FB6B42" w:rsidP="00FB6B42">
      <w:pPr>
        <w:pStyle w:val="Paragrafi0"/>
        <w:ind w:left="3600" w:firstLine="0"/>
      </w:pPr>
      <w:r>
        <w:rPr>
          <w:rFonts w:eastAsia="Times New Roman" w:cs="Arial"/>
          <w:b/>
          <w:bCs/>
          <w:sz w:val="18"/>
          <w:szCs w:val="18"/>
        </w:rPr>
        <w:t xml:space="preserve">   </w:t>
      </w:r>
      <w:r w:rsidRPr="003C1C60">
        <w:rPr>
          <w:rFonts w:eastAsia="Times New Roman" w:cs="Arial"/>
          <w:b/>
          <w:bCs/>
          <w:sz w:val="18"/>
          <w:szCs w:val="18"/>
        </w:rPr>
        <w:t>(_______________________)</w:t>
      </w:r>
    </w:p>
    <w:p w:rsidR="00FB6B42" w:rsidRDefault="00FB6B42" w:rsidP="00FB6B42">
      <w:pPr>
        <w:pStyle w:val="Paragrafi0"/>
        <w:sectPr w:rsidR="00FB6B42" w:rsidSect="00FB6B42">
          <w:footerReference w:type="even" r:id="rId9"/>
          <w:footerReference w:type="default" r:id="rId10"/>
          <w:pgSz w:w="11907" w:h="16840" w:code="9"/>
          <w:pgMar w:top="1418" w:right="1418" w:bottom="1418" w:left="1418" w:header="720" w:footer="720" w:gutter="0"/>
          <w:pgNumType w:start="577"/>
          <w:cols w:space="720"/>
          <w:docGrid w:linePitch="360"/>
        </w:sectPr>
      </w:pPr>
    </w:p>
    <w:p w:rsidR="00FB6B42" w:rsidRDefault="00FB6B42" w:rsidP="00FB6B42">
      <w:pPr>
        <w:pStyle w:val="Tabele"/>
      </w:pPr>
    </w:p>
    <w:p w:rsidR="00FB6B42" w:rsidRDefault="00FB6B42" w:rsidP="00FB6B42">
      <w:pPr>
        <w:pStyle w:val="Tabele"/>
      </w:pPr>
    </w:p>
    <w:tbl>
      <w:tblPr>
        <w:tblW w:w="5000" w:type="pct"/>
        <w:jc w:val="center"/>
        <w:tblLook w:val="0000" w:firstRow="0" w:lastRow="0" w:firstColumn="0" w:lastColumn="0" w:noHBand="0" w:noVBand="0"/>
      </w:tblPr>
      <w:tblGrid>
        <w:gridCol w:w="675"/>
        <w:gridCol w:w="2941"/>
        <w:gridCol w:w="1419"/>
        <w:gridCol w:w="1325"/>
        <w:gridCol w:w="967"/>
        <w:gridCol w:w="1305"/>
        <w:gridCol w:w="1325"/>
        <w:gridCol w:w="967"/>
        <w:gridCol w:w="1305"/>
        <w:gridCol w:w="1030"/>
        <w:gridCol w:w="961"/>
      </w:tblGrid>
      <w:tr w:rsidR="00FB6B42" w:rsidRPr="003C1C60" w:rsidTr="00FB6B42">
        <w:trPr>
          <w:trHeight w:val="255"/>
          <w:jc w:val="center"/>
        </w:trPr>
        <w:tc>
          <w:tcPr>
            <w:tcW w:w="5000" w:type="pct"/>
            <w:gridSpan w:val="11"/>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b/>
                <w:bCs/>
                <w:sz w:val="18"/>
                <w:szCs w:val="18"/>
              </w:rPr>
            </w:pPr>
            <w:r>
              <w:rPr>
                <w:rFonts w:eastAsia="Times New Roman" w:cs="Arial"/>
                <w:b/>
                <w:bCs/>
                <w:sz w:val="18"/>
                <w:szCs w:val="18"/>
              </w:rPr>
              <w:t>Bashki/komunë/q</w:t>
            </w:r>
            <w:r w:rsidRPr="003C1C60">
              <w:rPr>
                <w:rFonts w:eastAsia="Times New Roman" w:cs="Arial"/>
                <w:b/>
                <w:bCs/>
                <w:sz w:val="18"/>
                <w:szCs w:val="18"/>
              </w:rPr>
              <w:t>ark_____________________________________</w:t>
            </w:r>
          </w:p>
        </w:tc>
      </w:tr>
      <w:tr w:rsidR="00FB6B42" w:rsidRPr="003C1C60" w:rsidTr="00FB6B42">
        <w:trPr>
          <w:trHeight w:val="255"/>
          <w:jc w:val="center"/>
        </w:trPr>
        <w:tc>
          <w:tcPr>
            <w:tcW w:w="1770" w:type="pct"/>
            <w:gridSpan w:val="3"/>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Formulari 2</w:t>
            </w:r>
          </w:p>
        </w:tc>
        <w:tc>
          <w:tcPr>
            <w:tcW w:w="466"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sz w:val="18"/>
                <w:szCs w:val="18"/>
              </w:rPr>
            </w:pPr>
          </w:p>
        </w:tc>
        <w:tc>
          <w:tcPr>
            <w:tcW w:w="340"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sz w:val="18"/>
                <w:szCs w:val="18"/>
              </w:rPr>
            </w:pPr>
          </w:p>
        </w:tc>
        <w:tc>
          <w:tcPr>
            <w:tcW w:w="459"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sz w:val="18"/>
                <w:szCs w:val="18"/>
              </w:rPr>
            </w:pPr>
          </w:p>
        </w:tc>
        <w:tc>
          <w:tcPr>
            <w:tcW w:w="466"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sz w:val="18"/>
                <w:szCs w:val="18"/>
              </w:rPr>
            </w:pPr>
          </w:p>
        </w:tc>
        <w:tc>
          <w:tcPr>
            <w:tcW w:w="340"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sz w:val="18"/>
                <w:szCs w:val="18"/>
              </w:rPr>
            </w:pPr>
          </w:p>
        </w:tc>
        <w:tc>
          <w:tcPr>
            <w:tcW w:w="459"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sz w:val="18"/>
                <w:szCs w:val="18"/>
              </w:rPr>
            </w:pPr>
          </w:p>
        </w:tc>
        <w:tc>
          <w:tcPr>
            <w:tcW w:w="362"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sz w:val="18"/>
                <w:szCs w:val="18"/>
              </w:rPr>
            </w:pPr>
          </w:p>
        </w:tc>
        <w:tc>
          <w:tcPr>
            <w:tcW w:w="338"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sz w:val="18"/>
                <w:szCs w:val="18"/>
              </w:rPr>
            </w:pPr>
          </w:p>
        </w:tc>
      </w:tr>
      <w:tr w:rsidR="00FB6B42" w:rsidRPr="00FB6B42" w:rsidTr="00FB6B42">
        <w:trPr>
          <w:trHeight w:val="255"/>
          <w:jc w:val="center"/>
        </w:trPr>
        <w:tc>
          <w:tcPr>
            <w:tcW w:w="237" w:type="pct"/>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b/>
                <w:bCs/>
                <w:sz w:val="18"/>
                <w:szCs w:val="18"/>
              </w:rPr>
            </w:pPr>
          </w:p>
        </w:tc>
        <w:tc>
          <w:tcPr>
            <w:tcW w:w="4763" w:type="pct"/>
            <w:gridSpan w:val="10"/>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b/>
                <w:bCs/>
                <w:sz w:val="18"/>
                <w:szCs w:val="18"/>
                <w:lang w:val="it-IT"/>
              </w:rPr>
            </w:pPr>
            <w:r w:rsidRPr="00FB6B42">
              <w:rPr>
                <w:rFonts w:eastAsia="Times New Roman" w:cs="Arial"/>
                <w:b/>
                <w:bCs/>
                <w:sz w:val="18"/>
                <w:szCs w:val="18"/>
                <w:lang w:val="it-IT"/>
              </w:rPr>
              <w:t>Parashikimi i shpërndarjes së burimeve financiare për periudhën 2011-2013</w:t>
            </w:r>
          </w:p>
        </w:tc>
      </w:tr>
      <w:tr w:rsidR="00FB6B42" w:rsidRPr="003C1C60" w:rsidTr="00FB6B42">
        <w:trPr>
          <w:trHeight w:val="270"/>
          <w:jc w:val="center"/>
        </w:trPr>
        <w:tc>
          <w:tcPr>
            <w:tcW w:w="237"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b/>
                <w:bCs/>
                <w:sz w:val="18"/>
                <w:szCs w:val="18"/>
                <w:lang w:val="it-IT"/>
              </w:rPr>
            </w:pPr>
          </w:p>
        </w:tc>
        <w:tc>
          <w:tcPr>
            <w:tcW w:w="1034"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sz w:val="18"/>
                <w:szCs w:val="18"/>
                <w:lang w:val="it-IT"/>
              </w:rPr>
            </w:pPr>
          </w:p>
        </w:tc>
        <w:tc>
          <w:tcPr>
            <w:tcW w:w="499"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sz w:val="18"/>
                <w:szCs w:val="18"/>
                <w:lang w:val="it-IT"/>
              </w:rPr>
            </w:pPr>
          </w:p>
        </w:tc>
        <w:tc>
          <w:tcPr>
            <w:tcW w:w="466"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sz w:val="18"/>
                <w:szCs w:val="18"/>
                <w:lang w:val="it-IT"/>
              </w:rPr>
            </w:pPr>
          </w:p>
        </w:tc>
        <w:tc>
          <w:tcPr>
            <w:tcW w:w="340"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sz w:val="18"/>
                <w:szCs w:val="18"/>
                <w:lang w:val="it-IT"/>
              </w:rPr>
            </w:pPr>
          </w:p>
        </w:tc>
        <w:tc>
          <w:tcPr>
            <w:tcW w:w="459"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sz w:val="18"/>
                <w:szCs w:val="18"/>
                <w:lang w:val="it-IT"/>
              </w:rPr>
            </w:pPr>
          </w:p>
        </w:tc>
        <w:tc>
          <w:tcPr>
            <w:tcW w:w="466"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sz w:val="18"/>
                <w:szCs w:val="18"/>
                <w:lang w:val="it-IT"/>
              </w:rPr>
            </w:pPr>
          </w:p>
        </w:tc>
        <w:tc>
          <w:tcPr>
            <w:tcW w:w="340"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sz w:val="18"/>
                <w:szCs w:val="18"/>
                <w:lang w:val="it-IT"/>
              </w:rPr>
            </w:pPr>
          </w:p>
        </w:tc>
        <w:tc>
          <w:tcPr>
            <w:tcW w:w="459" w:type="pct"/>
            <w:tcBorders>
              <w:top w:val="nil"/>
              <w:left w:val="nil"/>
              <w:bottom w:val="nil"/>
              <w:right w:val="nil"/>
            </w:tcBorders>
            <w:shd w:val="clear" w:color="auto" w:fill="auto"/>
            <w:noWrap/>
            <w:vAlign w:val="bottom"/>
          </w:tcPr>
          <w:p w:rsidR="00FB6B42" w:rsidRPr="00FB6B42" w:rsidRDefault="00FB6B42" w:rsidP="00FB6B42">
            <w:pPr>
              <w:pStyle w:val="Tabele"/>
              <w:rPr>
                <w:rFonts w:eastAsia="Times New Roman" w:cs="Arial"/>
                <w:sz w:val="18"/>
                <w:szCs w:val="18"/>
                <w:lang w:val="it-IT"/>
              </w:rPr>
            </w:pPr>
          </w:p>
        </w:tc>
        <w:tc>
          <w:tcPr>
            <w:tcW w:w="700" w:type="pct"/>
            <w:gridSpan w:val="2"/>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i/>
                <w:iCs/>
                <w:sz w:val="18"/>
                <w:szCs w:val="18"/>
              </w:rPr>
            </w:pPr>
            <w:r w:rsidRPr="003C1C60">
              <w:rPr>
                <w:rFonts w:eastAsia="Times New Roman" w:cs="Arial"/>
                <w:i/>
                <w:iCs/>
                <w:sz w:val="18"/>
                <w:szCs w:val="18"/>
              </w:rPr>
              <w:t>N</w:t>
            </w:r>
            <w:r>
              <w:rPr>
                <w:rFonts w:eastAsia="Times New Roman" w:cs="Arial"/>
                <w:i/>
                <w:iCs/>
                <w:sz w:val="18"/>
                <w:szCs w:val="18"/>
              </w:rPr>
              <w:t>ë</w:t>
            </w:r>
            <w:r w:rsidRPr="003C1C60">
              <w:rPr>
                <w:rFonts w:eastAsia="Times New Roman" w:cs="Arial"/>
                <w:i/>
                <w:iCs/>
                <w:sz w:val="18"/>
                <w:szCs w:val="18"/>
              </w:rPr>
              <w:t xml:space="preserve"> mij</w:t>
            </w:r>
            <w:r>
              <w:rPr>
                <w:rFonts w:eastAsia="Times New Roman" w:cs="Arial"/>
                <w:i/>
                <w:iCs/>
                <w:sz w:val="18"/>
                <w:szCs w:val="18"/>
              </w:rPr>
              <w:t>ë</w:t>
            </w:r>
            <w:r w:rsidRPr="003C1C60">
              <w:rPr>
                <w:rFonts w:eastAsia="Times New Roman" w:cs="Arial"/>
                <w:i/>
                <w:iCs/>
                <w:sz w:val="18"/>
                <w:szCs w:val="18"/>
              </w:rPr>
              <w:t xml:space="preserve"> lek</w:t>
            </w:r>
            <w:r>
              <w:rPr>
                <w:rFonts w:eastAsia="Times New Roman" w:cs="Arial"/>
                <w:i/>
                <w:iCs/>
                <w:sz w:val="18"/>
                <w:szCs w:val="18"/>
              </w:rPr>
              <w:t>ë</w:t>
            </w:r>
          </w:p>
        </w:tc>
      </w:tr>
      <w:tr w:rsidR="00FB6B42" w:rsidRPr="003C1C60" w:rsidTr="00FB6B42">
        <w:trPr>
          <w:trHeight w:val="270"/>
          <w:jc w:val="center"/>
        </w:trPr>
        <w:tc>
          <w:tcPr>
            <w:tcW w:w="237" w:type="pct"/>
            <w:vMerge w:val="restart"/>
            <w:tcBorders>
              <w:top w:val="single" w:sz="8" w:space="0" w:color="auto"/>
              <w:left w:val="single" w:sz="8" w:space="0" w:color="auto"/>
              <w:bottom w:val="nil"/>
              <w:right w:val="single" w:sz="8" w:space="0" w:color="auto"/>
            </w:tcBorders>
            <w:shd w:val="clear" w:color="auto" w:fill="auto"/>
            <w:vAlign w:val="center"/>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Nr</w:t>
            </w:r>
          </w:p>
        </w:tc>
        <w:tc>
          <w:tcPr>
            <w:tcW w:w="1034" w:type="pct"/>
            <w:vMerge w:val="restart"/>
            <w:tcBorders>
              <w:top w:val="single" w:sz="8" w:space="0" w:color="auto"/>
              <w:left w:val="single" w:sz="8" w:space="0" w:color="auto"/>
              <w:bottom w:val="nil"/>
              <w:right w:val="single" w:sz="8" w:space="0" w:color="auto"/>
            </w:tcBorders>
            <w:shd w:val="clear" w:color="auto" w:fill="auto"/>
            <w:vAlign w:val="center"/>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Funksionet</w:t>
            </w:r>
          </w:p>
        </w:tc>
        <w:tc>
          <w:tcPr>
            <w:tcW w:w="1305" w:type="pct"/>
            <w:gridSpan w:val="3"/>
            <w:tcBorders>
              <w:top w:val="single" w:sz="8" w:space="0" w:color="auto"/>
              <w:left w:val="nil"/>
              <w:bottom w:val="single" w:sz="8" w:space="0" w:color="auto"/>
              <w:right w:val="single" w:sz="8" w:space="0" w:color="000000"/>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2011</w:t>
            </w:r>
          </w:p>
        </w:tc>
        <w:tc>
          <w:tcPr>
            <w:tcW w:w="1265" w:type="pct"/>
            <w:gridSpan w:val="3"/>
            <w:tcBorders>
              <w:top w:val="single" w:sz="8" w:space="0" w:color="auto"/>
              <w:left w:val="nil"/>
              <w:bottom w:val="single" w:sz="8" w:space="0" w:color="auto"/>
              <w:right w:val="single" w:sz="8" w:space="0" w:color="000000"/>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2012</w:t>
            </w:r>
          </w:p>
        </w:tc>
        <w:tc>
          <w:tcPr>
            <w:tcW w:w="1159" w:type="pct"/>
            <w:gridSpan w:val="3"/>
            <w:tcBorders>
              <w:top w:val="single" w:sz="8" w:space="0" w:color="auto"/>
              <w:left w:val="nil"/>
              <w:bottom w:val="single" w:sz="8" w:space="0" w:color="auto"/>
              <w:right w:val="single" w:sz="8" w:space="0" w:color="000000"/>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2013</w:t>
            </w:r>
          </w:p>
        </w:tc>
      </w:tr>
      <w:tr w:rsidR="00FB6B42" w:rsidRPr="003C1C60" w:rsidTr="00FB6B42">
        <w:trPr>
          <w:trHeight w:val="975"/>
          <w:jc w:val="center"/>
        </w:trPr>
        <w:tc>
          <w:tcPr>
            <w:tcW w:w="237" w:type="pct"/>
            <w:vMerge/>
            <w:tcBorders>
              <w:top w:val="single" w:sz="8" w:space="0" w:color="auto"/>
              <w:left w:val="single" w:sz="8" w:space="0" w:color="auto"/>
              <w:bottom w:val="nil"/>
              <w:right w:val="single" w:sz="8" w:space="0" w:color="auto"/>
            </w:tcBorders>
            <w:vAlign w:val="center"/>
          </w:tcPr>
          <w:p w:rsidR="00FB6B42" w:rsidRPr="003C1C60" w:rsidRDefault="00FB6B42" w:rsidP="00FB6B42">
            <w:pPr>
              <w:pStyle w:val="Tabele"/>
              <w:rPr>
                <w:rFonts w:eastAsia="Times New Roman" w:cs="Arial"/>
                <w:b/>
                <w:bCs/>
                <w:sz w:val="18"/>
                <w:szCs w:val="18"/>
              </w:rPr>
            </w:pPr>
          </w:p>
        </w:tc>
        <w:tc>
          <w:tcPr>
            <w:tcW w:w="1034" w:type="pct"/>
            <w:vMerge/>
            <w:tcBorders>
              <w:top w:val="single" w:sz="8" w:space="0" w:color="auto"/>
              <w:left w:val="single" w:sz="8" w:space="0" w:color="auto"/>
              <w:bottom w:val="nil"/>
              <w:right w:val="single" w:sz="8" w:space="0" w:color="auto"/>
            </w:tcBorders>
            <w:vAlign w:val="center"/>
          </w:tcPr>
          <w:p w:rsidR="00FB6B42" w:rsidRPr="003C1C60" w:rsidRDefault="00FB6B42" w:rsidP="00FB6B42">
            <w:pPr>
              <w:pStyle w:val="Tabele"/>
              <w:rPr>
                <w:rFonts w:eastAsia="Times New Roman" w:cs="Arial"/>
                <w:b/>
                <w:bCs/>
                <w:sz w:val="18"/>
                <w:szCs w:val="18"/>
              </w:rPr>
            </w:pPr>
          </w:p>
        </w:tc>
        <w:tc>
          <w:tcPr>
            <w:tcW w:w="499"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Pr>
                <w:rFonts w:eastAsia="Times New Roman" w:cs="Arial"/>
                <w:b/>
                <w:sz w:val="18"/>
                <w:szCs w:val="18"/>
              </w:rPr>
              <w:t>Paga s</w:t>
            </w:r>
            <w:r w:rsidRPr="00F2496B">
              <w:rPr>
                <w:rFonts w:eastAsia="Times New Roman" w:cs="Arial"/>
                <w:b/>
                <w:sz w:val="18"/>
                <w:szCs w:val="18"/>
              </w:rPr>
              <w:t>igurime dhe operative</w:t>
            </w:r>
          </w:p>
        </w:tc>
        <w:tc>
          <w:tcPr>
            <w:tcW w:w="466"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sidRPr="00F2496B">
              <w:rPr>
                <w:rFonts w:eastAsia="Times New Roman" w:cs="Arial"/>
                <w:b/>
                <w:sz w:val="18"/>
                <w:szCs w:val="18"/>
              </w:rPr>
              <w:t>Investime</w:t>
            </w:r>
          </w:p>
        </w:tc>
        <w:tc>
          <w:tcPr>
            <w:tcW w:w="340"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sidRPr="00F2496B">
              <w:rPr>
                <w:rFonts w:eastAsia="Times New Roman" w:cs="Arial"/>
                <w:b/>
                <w:sz w:val="18"/>
                <w:szCs w:val="18"/>
              </w:rPr>
              <w:t>Totali</w:t>
            </w:r>
          </w:p>
        </w:tc>
        <w:tc>
          <w:tcPr>
            <w:tcW w:w="459"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Pr>
                <w:rFonts w:eastAsia="Times New Roman" w:cs="Arial"/>
                <w:b/>
                <w:sz w:val="18"/>
                <w:szCs w:val="18"/>
              </w:rPr>
              <w:t>Paga s</w:t>
            </w:r>
            <w:r w:rsidRPr="00F2496B">
              <w:rPr>
                <w:rFonts w:eastAsia="Times New Roman" w:cs="Arial"/>
                <w:b/>
                <w:sz w:val="18"/>
                <w:szCs w:val="18"/>
              </w:rPr>
              <w:t>igurime dhe operative</w:t>
            </w:r>
          </w:p>
        </w:tc>
        <w:tc>
          <w:tcPr>
            <w:tcW w:w="466"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sidRPr="00F2496B">
              <w:rPr>
                <w:rFonts w:eastAsia="Times New Roman" w:cs="Arial"/>
                <w:b/>
                <w:sz w:val="18"/>
                <w:szCs w:val="18"/>
              </w:rPr>
              <w:t>Investime</w:t>
            </w:r>
          </w:p>
        </w:tc>
        <w:tc>
          <w:tcPr>
            <w:tcW w:w="340"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sidRPr="00F2496B">
              <w:rPr>
                <w:rFonts w:eastAsia="Times New Roman" w:cs="Arial"/>
                <w:b/>
                <w:sz w:val="18"/>
                <w:szCs w:val="18"/>
              </w:rPr>
              <w:t>Totali</w:t>
            </w:r>
          </w:p>
        </w:tc>
        <w:tc>
          <w:tcPr>
            <w:tcW w:w="459"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Pr>
                <w:rFonts w:eastAsia="Times New Roman" w:cs="Arial"/>
                <w:b/>
                <w:sz w:val="18"/>
                <w:szCs w:val="18"/>
              </w:rPr>
              <w:t>Paga s</w:t>
            </w:r>
            <w:r w:rsidRPr="00F2496B">
              <w:rPr>
                <w:rFonts w:eastAsia="Times New Roman" w:cs="Arial"/>
                <w:b/>
                <w:sz w:val="18"/>
                <w:szCs w:val="18"/>
              </w:rPr>
              <w:t>igurime dhe operative</w:t>
            </w:r>
          </w:p>
        </w:tc>
        <w:tc>
          <w:tcPr>
            <w:tcW w:w="362"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sidRPr="00F2496B">
              <w:rPr>
                <w:rFonts w:eastAsia="Times New Roman" w:cs="Arial"/>
                <w:b/>
                <w:sz w:val="18"/>
                <w:szCs w:val="18"/>
              </w:rPr>
              <w:t>Investime</w:t>
            </w:r>
          </w:p>
        </w:tc>
        <w:tc>
          <w:tcPr>
            <w:tcW w:w="338" w:type="pct"/>
            <w:tcBorders>
              <w:top w:val="nil"/>
              <w:left w:val="nil"/>
              <w:bottom w:val="single" w:sz="8" w:space="0" w:color="auto"/>
              <w:right w:val="single" w:sz="8" w:space="0" w:color="auto"/>
            </w:tcBorders>
            <w:shd w:val="clear" w:color="auto" w:fill="auto"/>
            <w:vAlign w:val="center"/>
          </w:tcPr>
          <w:p w:rsidR="00FB6B42" w:rsidRPr="00F2496B" w:rsidRDefault="00FB6B42" w:rsidP="00FB6B42">
            <w:pPr>
              <w:pStyle w:val="Tabele"/>
              <w:rPr>
                <w:rFonts w:eastAsia="Times New Roman" w:cs="Arial"/>
                <w:b/>
                <w:sz w:val="18"/>
                <w:szCs w:val="18"/>
              </w:rPr>
            </w:pPr>
            <w:r w:rsidRPr="00F2496B">
              <w:rPr>
                <w:rFonts w:eastAsia="Times New Roman" w:cs="Arial"/>
                <w:b/>
                <w:sz w:val="18"/>
                <w:szCs w:val="18"/>
              </w:rPr>
              <w:t>Totali</w:t>
            </w:r>
          </w:p>
        </w:tc>
      </w:tr>
      <w:tr w:rsidR="00FB6B42" w:rsidRPr="003C1C60" w:rsidTr="00FB6B42">
        <w:trPr>
          <w:trHeight w:val="255"/>
          <w:jc w:val="center"/>
        </w:trPr>
        <w:tc>
          <w:tcPr>
            <w:tcW w:w="237" w:type="pct"/>
            <w:tcBorders>
              <w:top w:val="single" w:sz="4" w:space="0" w:color="auto"/>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w:t>
            </w:r>
          </w:p>
        </w:tc>
        <w:tc>
          <w:tcPr>
            <w:tcW w:w="1034" w:type="pct"/>
            <w:tcBorders>
              <w:top w:val="single" w:sz="4" w:space="0" w:color="auto"/>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Administrata</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2</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Pastrim-g</w:t>
            </w:r>
            <w:r w:rsidRPr="00F2496B">
              <w:rPr>
                <w:rFonts w:eastAsia="Times New Roman" w:cs="Arial"/>
                <w:bCs/>
                <w:sz w:val="18"/>
                <w:szCs w:val="18"/>
              </w:rPr>
              <w:t>jelb</w:t>
            </w:r>
            <w:r>
              <w:rPr>
                <w:rFonts w:eastAsia="Times New Roman" w:cs="Arial"/>
                <w:bCs/>
                <w:sz w:val="18"/>
                <w:szCs w:val="18"/>
              </w:rPr>
              <w:t>ë</w:t>
            </w:r>
            <w:r w:rsidRPr="00F2496B">
              <w:rPr>
                <w:rFonts w:eastAsia="Times New Roman" w:cs="Arial"/>
                <w:bCs/>
                <w:sz w:val="18"/>
                <w:szCs w:val="18"/>
              </w:rPr>
              <w:t>rim</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3</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Uj</w:t>
            </w:r>
            <w:r>
              <w:rPr>
                <w:rFonts w:eastAsia="Times New Roman" w:cs="Arial"/>
                <w:bCs/>
                <w:sz w:val="18"/>
                <w:szCs w:val="18"/>
              </w:rPr>
              <w:t>ë</w:t>
            </w:r>
            <w:r w:rsidRPr="00F2496B">
              <w:rPr>
                <w:rFonts w:eastAsia="Times New Roman" w:cs="Arial"/>
                <w:bCs/>
                <w:sz w:val="18"/>
                <w:szCs w:val="18"/>
              </w:rPr>
              <w:t>sjell</w:t>
            </w:r>
            <w:r>
              <w:rPr>
                <w:rFonts w:eastAsia="Times New Roman" w:cs="Arial"/>
                <w:bCs/>
                <w:sz w:val="18"/>
                <w:szCs w:val="18"/>
              </w:rPr>
              <w:t>ës k</w:t>
            </w:r>
            <w:r w:rsidRPr="00F2496B">
              <w:rPr>
                <w:rFonts w:eastAsia="Times New Roman" w:cs="Arial"/>
                <w:bCs/>
                <w:sz w:val="18"/>
                <w:szCs w:val="18"/>
              </w:rPr>
              <w:t>analizime</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4</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Menaxhimi  r</w:t>
            </w:r>
            <w:r w:rsidRPr="00F2496B">
              <w:rPr>
                <w:rFonts w:eastAsia="Times New Roman" w:cs="Arial"/>
                <w:bCs/>
                <w:sz w:val="18"/>
                <w:szCs w:val="18"/>
              </w:rPr>
              <w:t>rugor</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5</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Transporti p</w:t>
            </w:r>
            <w:r w:rsidRPr="00F2496B">
              <w:rPr>
                <w:rFonts w:eastAsia="Times New Roman" w:cs="Arial"/>
                <w:bCs/>
                <w:sz w:val="18"/>
                <w:szCs w:val="18"/>
              </w:rPr>
              <w:t>ublik</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6</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Zhvillim</w:t>
            </w:r>
            <w:r>
              <w:rPr>
                <w:rFonts w:eastAsia="Times New Roman" w:cs="Arial"/>
                <w:bCs/>
                <w:sz w:val="18"/>
                <w:szCs w:val="18"/>
              </w:rPr>
              <w:t>i i t</w:t>
            </w:r>
            <w:r w:rsidRPr="00F2496B">
              <w:rPr>
                <w:rFonts w:eastAsia="Times New Roman" w:cs="Arial"/>
                <w:bCs/>
                <w:sz w:val="18"/>
                <w:szCs w:val="18"/>
              </w:rPr>
              <w:t>urizmit</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7</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 xml:space="preserve">Strehimi dhe </w:t>
            </w:r>
            <w:r>
              <w:rPr>
                <w:rFonts w:eastAsia="Times New Roman" w:cs="Arial"/>
                <w:bCs/>
                <w:sz w:val="18"/>
                <w:szCs w:val="18"/>
              </w:rPr>
              <w:t>u</w:t>
            </w:r>
            <w:r w:rsidRPr="00F2496B">
              <w:rPr>
                <w:rFonts w:eastAsia="Times New Roman" w:cs="Arial"/>
                <w:bCs/>
                <w:sz w:val="18"/>
                <w:szCs w:val="18"/>
              </w:rPr>
              <w:t>rbanistika</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8</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Ndriçimi p</w:t>
            </w:r>
            <w:r w:rsidRPr="00F2496B">
              <w:rPr>
                <w:rFonts w:eastAsia="Times New Roman" w:cs="Arial"/>
                <w:bCs/>
                <w:sz w:val="18"/>
                <w:szCs w:val="18"/>
              </w:rPr>
              <w:t>ublik</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9</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Zhvillimi ekonomik</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FB6B42"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10</w:t>
            </w:r>
          </w:p>
        </w:tc>
        <w:tc>
          <w:tcPr>
            <w:tcW w:w="1034" w:type="pct"/>
            <w:tcBorders>
              <w:top w:val="nil"/>
              <w:left w:val="single" w:sz="8" w:space="0" w:color="auto"/>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bCs/>
                <w:sz w:val="18"/>
                <w:szCs w:val="18"/>
                <w:lang w:val="it-IT"/>
              </w:rPr>
            </w:pPr>
            <w:r w:rsidRPr="00FB6B42">
              <w:rPr>
                <w:rFonts w:eastAsia="Times New Roman" w:cs="Arial"/>
                <w:bCs/>
                <w:sz w:val="18"/>
                <w:szCs w:val="18"/>
                <w:lang w:val="it-IT"/>
              </w:rPr>
              <w:t>Mbrotja dhe zhvillimi i pyjeve lokale</w:t>
            </w:r>
          </w:p>
        </w:tc>
        <w:tc>
          <w:tcPr>
            <w:tcW w:w="499"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FB6B42" w:rsidRDefault="00FB6B42" w:rsidP="00FB6B42">
            <w:pPr>
              <w:pStyle w:val="Tabele"/>
              <w:rPr>
                <w:rFonts w:eastAsia="Times New Roman" w:cs="Arial"/>
                <w:sz w:val="18"/>
                <w:szCs w:val="18"/>
                <w:lang w:val="it-IT"/>
              </w:rPr>
            </w:pPr>
            <w:r w:rsidRPr="00FB6B42">
              <w:rPr>
                <w:rFonts w:eastAsia="Times New Roman" w:cs="Arial"/>
                <w:sz w:val="18"/>
                <w:szCs w:val="18"/>
                <w:lang w:val="it-IT"/>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11</w:t>
            </w:r>
          </w:p>
        </w:tc>
        <w:tc>
          <w:tcPr>
            <w:tcW w:w="103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Mbrojtja e mjedisit</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12</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Zhvillimi i s</w:t>
            </w:r>
            <w:r w:rsidRPr="00F2496B">
              <w:rPr>
                <w:rFonts w:eastAsia="Times New Roman" w:cs="Arial"/>
                <w:bCs/>
                <w:sz w:val="18"/>
                <w:szCs w:val="18"/>
              </w:rPr>
              <w:t>portit</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13</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Programe k</w:t>
            </w:r>
            <w:r w:rsidRPr="00F2496B">
              <w:rPr>
                <w:rFonts w:eastAsia="Times New Roman" w:cs="Arial"/>
                <w:bCs/>
                <w:sz w:val="18"/>
                <w:szCs w:val="18"/>
              </w:rPr>
              <w:t>ulturale</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14</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Kujdesi s</w:t>
            </w:r>
            <w:r w:rsidRPr="00F2496B">
              <w:rPr>
                <w:rFonts w:eastAsia="Times New Roman" w:cs="Arial"/>
                <w:bCs/>
                <w:sz w:val="18"/>
                <w:szCs w:val="18"/>
              </w:rPr>
              <w:t>ocial</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15</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 xml:space="preserve">Arsimi </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16</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Shë</w:t>
            </w:r>
            <w:r w:rsidRPr="00F2496B">
              <w:rPr>
                <w:rFonts w:eastAsia="Times New Roman" w:cs="Arial"/>
                <w:bCs/>
                <w:sz w:val="18"/>
                <w:szCs w:val="18"/>
              </w:rPr>
              <w:t>ndet</w:t>
            </w:r>
            <w:r>
              <w:rPr>
                <w:rFonts w:eastAsia="Times New Roman" w:cs="Arial"/>
                <w:bCs/>
                <w:sz w:val="18"/>
                <w:szCs w:val="18"/>
              </w:rPr>
              <w:t>ë</w:t>
            </w:r>
            <w:r w:rsidRPr="00F2496B">
              <w:rPr>
                <w:rFonts w:eastAsia="Times New Roman" w:cs="Arial"/>
                <w:bCs/>
                <w:sz w:val="18"/>
                <w:szCs w:val="18"/>
              </w:rPr>
              <w:t>sia</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17</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Pr>
                <w:rFonts w:eastAsia="Times New Roman" w:cs="Arial"/>
                <w:bCs/>
                <w:sz w:val="18"/>
                <w:szCs w:val="18"/>
              </w:rPr>
              <w:t>Emergjencat c</w:t>
            </w:r>
            <w:r w:rsidRPr="00F2496B">
              <w:rPr>
                <w:rFonts w:eastAsia="Times New Roman" w:cs="Arial"/>
                <w:bCs/>
                <w:sz w:val="18"/>
                <w:szCs w:val="18"/>
              </w:rPr>
              <w:t>ivile</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18</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Sh</w:t>
            </w:r>
            <w:r>
              <w:rPr>
                <w:rFonts w:eastAsia="Times New Roman" w:cs="Arial"/>
                <w:bCs/>
                <w:sz w:val="18"/>
                <w:szCs w:val="18"/>
              </w:rPr>
              <w:t>ërbimi borxhit afat</w:t>
            </w:r>
            <w:r w:rsidRPr="00F2496B">
              <w:rPr>
                <w:rFonts w:eastAsia="Times New Roman" w:cs="Arial"/>
                <w:bCs/>
                <w:sz w:val="18"/>
                <w:szCs w:val="18"/>
              </w:rPr>
              <w:t>shkurt</w:t>
            </w:r>
            <w:r>
              <w:rPr>
                <w:rFonts w:eastAsia="Times New Roman" w:cs="Arial"/>
                <w:bCs/>
                <w:sz w:val="18"/>
                <w:szCs w:val="18"/>
              </w:rPr>
              <w:t>ë</w:t>
            </w:r>
            <w:r w:rsidRPr="00F2496B">
              <w:rPr>
                <w:rFonts w:eastAsia="Times New Roman" w:cs="Arial"/>
                <w:bCs/>
                <w:sz w:val="18"/>
                <w:szCs w:val="18"/>
              </w:rPr>
              <w:t>r</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19</w:t>
            </w:r>
          </w:p>
        </w:tc>
        <w:tc>
          <w:tcPr>
            <w:tcW w:w="1034" w:type="pct"/>
            <w:tcBorders>
              <w:top w:val="nil"/>
              <w:left w:val="nil"/>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Sh</w:t>
            </w:r>
            <w:r>
              <w:rPr>
                <w:rFonts w:eastAsia="Times New Roman" w:cs="Arial"/>
                <w:bCs/>
                <w:sz w:val="18"/>
                <w:szCs w:val="18"/>
              </w:rPr>
              <w:t>ërbimi i borxhit afat</w:t>
            </w:r>
            <w:r w:rsidRPr="00F2496B">
              <w:rPr>
                <w:rFonts w:eastAsia="Times New Roman" w:cs="Arial"/>
                <w:bCs/>
                <w:sz w:val="18"/>
                <w:szCs w:val="18"/>
              </w:rPr>
              <w:t>gjat</w:t>
            </w:r>
            <w:r>
              <w:rPr>
                <w:rFonts w:eastAsia="Times New Roman" w:cs="Arial"/>
                <w:bCs/>
                <w:sz w:val="18"/>
                <w:szCs w:val="18"/>
              </w:rPr>
              <w:t>ë</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237"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20</w:t>
            </w:r>
          </w:p>
        </w:tc>
        <w:tc>
          <w:tcPr>
            <w:tcW w:w="1034" w:type="pct"/>
            <w:tcBorders>
              <w:top w:val="nil"/>
              <w:left w:val="single" w:sz="8" w:space="0" w:color="auto"/>
              <w:bottom w:val="single" w:sz="4" w:space="0" w:color="auto"/>
              <w:right w:val="single" w:sz="4" w:space="0" w:color="auto"/>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Sh</w:t>
            </w:r>
            <w:r>
              <w:rPr>
                <w:rFonts w:eastAsia="Times New Roman" w:cs="Arial"/>
                <w:bCs/>
                <w:sz w:val="18"/>
                <w:szCs w:val="18"/>
              </w:rPr>
              <w:t>ë</w:t>
            </w:r>
            <w:r w:rsidRPr="00F2496B">
              <w:rPr>
                <w:rFonts w:eastAsia="Times New Roman" w:cs="Arial"/>
                <w:bCs/>
                <w:sz w:val="18"/>
                <w:szCs w:val="18"/>
              </w:rPr>
              <w:t>rbime t</w:t>
            </w:r>
            <w:r>
              <w:rPr>
                <w:rFonts w:eastAsia="Times New Roman" w:cs="Arial"/>
                <w:bCs/>
                <w:sz w:val="18"/>
                <w:szCs w:val="18"/>
              </w:rPr>
              <w:t>ë</w:t>
            </w:r>
            <w:r w:rsidRPr="00F2496B">
              <w:rPr>
                <w:rFonts w:eastAsia="Times New Roman" w:cs="Arial"/>
                <w:bCs/>
                <w:sz w:val="18"/>
                <w:szCs w:val="18"/>
              </w:rPr>
              <w:t xml:space="preserve"> tjera publike</w:t>
            </w:r>
          </w:p>
        </w:tc>
        <w:tc>
          <w:tcPr>
            <w:tcW w:w="49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66"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4"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4"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70"/>
          <w:jc w:val="center"/>
        </w:trPr>
        <w:tc>
          <w:tcPr>
            <w:tcW w:w="237" w:type="pct"/>
            <w:tcBorders>
              <w:top w:val="nil"/>
              <w:left w:val="single" w:sz="8" w:space="0" w:color="auto"/>
              <w:bottom w:val="single" w:sz="8" w:space="0" w:color="auto"/>
              <w:right w:val="nil"/>
            </w:tcBorders>
            <w:shd w:val="clear" w:color="auto" w:fill="auto"/>
            <w:noWrap/>
            <w:vAlign w:val="bottom"/>
          </w:tcPr>
          <w:p w:rsidR="00FB6B42" w:rsidRPr="00F2496B" w:rsidRDefault="00FB6B42" w:rsidP="00FB6B42">
            <w:pPr>
              <w:pStyle w:val="Tabele"/>
              <w:rPr>
                <w:rFonts w:eastAsia="Times New Roman" w:cs="Arial"/>
                <w:bCs/>
                <w:sz w:val="18"/>
                <w:szCs w:val="18"/>
              </w:rPr>
            </w:pPr>
            <w:r w:rsidRPr="00F2496B">
              <w:rPr>
                <w:rFonts w:eastAsia="Times New Roman" w:cs="Arial"/>
                <w:bCs/>
                <w:sz w:val="18"/>
                <w:szCs w:val="18"/>
              </w:rPr>
              <w:t> </w:t>
            </w:r>
          </w:p>
        </w:tc>
        <w:tc>
          <w:tcPr>
            <w:tcW w:w="1034" w:type="pct"/>
            <w:tcBorders>
              <w:top w:val="nil"/>
              <w:left w:val="single" w:sz="8" w:space="0" w:color="auto"/>
              <w:bottom w:val="single" w:sz="8" w:space="0" w:color="auto"/>
              <w:right w:val="single" w:sz="4" w:space="0" w:color="auto"/>
            </w:tcBorders>
            <w:shd w:val="clear" w:color="auto" w:fill="auto"/>
            <w:noWrap/>
            <w:vAlign w:val="bottom"/>
          </w:tcPr>
          <w:p w:rsidR="00FB6B42" w:rsidRPr="00C26307" w:rsidRDefault="00FB6B42" w:rsidP="00FB6B42">
            <w:pPr>
              <w:pStyle w:val="Tabele"/>
              <w:rPr>
                <w:rFonts w:eastAsia="Times New Roman" w:cs="Arial"/>
                <w:b/>
                <w:bCs/>
                <w:sz w:val="18"/>
                <w:szCs w:val="18"/>
              </w:rPr>
            </w:pPr>
            <w:r w:rsidRPr="00C26307">
              <w:rPr>
                <w:rFonts w:eastAsia="Times New Roman" w:cs="Arial"/>
                <w:b/>
                <w:bCs/>
                <w:sz w:val="18"/>
                <w:szCs w:val="18"/>
              </w:rPr>
              <w:t>Totali</w:t>
            </w:r>
          </w:p>
        </w:tc>
        <w:tc>
          <w:tcPr>
            <w:tcW w:w="499" w:type="pct"/>
            <w:tcBorders>
              <w:top w:val="nil"/>
              <w:left w:val="nil"/>
              <w:bottom w:val="single" w:sz="8"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 </w:t>
            </w:r>
          </w:p>
        </w:tc>
        <w:tc>
          <w:tcPr>
            <w:tcW w:w="466" w:type="pct"/>
            <w:tcBorders>
              <w:top w:val="nil"/>
              <w:left w:val="nil"/>
              <w:bottom w:val="single" w:sz="8"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 </w:t>
            </w:r>
          </w:p>
        </w:tc>
        <w:tc>
          <w:tcPr>
            <w:tcW w:w="340" w:type="pct"/>
            <w:tcBorders>
              <w:top w:val="nil"/>
              <w:left w:val="nil"/>
              <w:bottom w:val="single" w:sz="8"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 </w:t>
            </w:r>
          </w:p>
        </w:tc>
        <w:tc>
          <w:tcPr>
            <w:tcW w:w="459" w:type="pct"/>
            <w:tcBorders>
              <w:top w:val="nil"/>
              <w:left w:val="nil"/>
              <w:bottom w:val="single" w:sz="8"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 </w:t>
            </w:r>
          </w:p>
        </w:tc>
        <w:tc>
          <w:tcPr>
            <w:tcW w:w="466" w:type="pct"/>
            <w:tcBorders>
              <w:top w:val="nil"/>
              <w:left w:val="nil"/>
              <w:bottom w:val="single" w:sz="8"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40" w:type="pct"/>
            <w:tcBorders>
              <w:top w:val="nil"/>
              <w:left w:val="nil"/>
              <w:bottom w:val="single" w:sz="8"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459" w:type="pct"/>
            <w:tcBorders>
              <w:top w:val="nil"/>
              <w:left w:val="nil"/>
              <w:bottom w:val="single" w:sz="8"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62" w:type="pct"/>
            <w:tcBorders>
              <w:top w:val="nil"/>
              <w:left w:val="nil"/>
              <w:bottom w:val="single" w:sz="8" w:space="0" w:color="auto"/>
              <w:right w:val="single" w:sz="4"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c>
          <w:tcPr>
            <w:tcW w:w="338" w:type="pct"/>
            <w:tcBorders>
              <w:top w:val="nil"/>
              <w:left w:val="nil"/>
              <w:bottom w:val="single" w:sz="8" w:space="0" w:color="auto"/>
              <w:right w:val="single" w:sz="8" w:space="0" w:color="auto"/>
            </w:tcBorders>
            <w:shd w:val="clear" w:color="auto" w:fill="auto"/>
            <w:noWrap/>
            <w:vAlign w:val="bottom"/>
          </w:tcPr>
          <w:p w:rsidR="00FB6B42" w:rsidRPr="003C1C60" w:rsidRDefault="00FB6B42" w:rsidP="00FB6B42">
            <w:pPr>
              <w:pStyle w:val="Tabele"/>
              <w:rPr>
                <w:rFonts w:eastAsia="Times New Roman" w:cs="Arial"/>
                <w:sz w:val="18"/>
                <w:szCs w:val="18"/>
              </w:rPr>
            </w:pPr>
            <w:r w:rsidRPr="003C1C60">
              <w:rPr>
                <w:rFonts w:eastAsia="Times New Roman" w:cs="Arial"/>
                <w:sz w:val="18"/>
                <w:szCs w:val="18"/>
              </w:rPr>
              <w:t> </w:t>
            </w:r>
          </w:p>
        </w:tc>
      </w:tr>
      <w:tr w:rsidR="00FB6B42" w:rsidRPr="003C1C60" w:rsidTr="00FB6B42">
        <w:trPr>
          <w:trHeight w:val="255"/>
          <w:jc w:val="center"/>
        </w:trPr>
        <w:tc>
          <w:tcPr>
            <w:tcW w:w="5000" w:type="pct"/>
            <w:gridSpan w:val="11"/>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N</w:t>
            </w:r>
            <w:r>
              <w:rPr>
                <w:rFonts w:eastAsia="Times New Roman" w:cs="Arial"/>
                <w:b/>
                <w:bCs/>
                <w:sz w:val="18"/>
                <w:szCs w:val="18"/>
              </w:rPr>
              <w:t>ëpunësi a</w:t>
            </w:r>
            <w:r w:rsidRPr="003C1C60">
              <w:rPr>
                <w:rFonts w:eastAsia="Times New Roman" w:cs="Arial"/>
                <w:b/>
                <w:bCs/>
                <w:sz w:val="18"/>
                <w:szCs w:val="18"/>
              </w:rPr>
              <w:t>utorizues</w:t>
            </w:r>
          </w:p>
        </w:tc>
      </w:tr>
      <w:tr w:rsidR="00FB6B42" w:rsidRPr="003C1C60" w:rsidTr="00FB6B42">
        <w:trPr>
          <w:trHeight w:val="255"/>
          <w:jc w:val="center"/>
        </w:trPr>
        <w:tc>
          <w:tcPr>
            <w:tcW w:w="5000" w:type="pct"/>
            <w:gridSpan w:val="11"/>
            <w:tcBorders>
              <w:top w:val="nil"/>
              <w:left w:val="nil"/>
              <w:bottom w:val="nil"/>
              <w:right w:val="nil"/>
            </w:tcBorders>
            <w:shd w:val="clear" w:color="auto" w:fill="auto"/>
            <w:noWrap/>
            <w:vAlign w:val="bottom"/>
          </w:tcPr>
          <w:p w:rsidR="00FB6B42" w:rsidRPr="003C1C60" w:rsidRDefault="00FB6B42" w:rsidP="00FB6B42">
            <w:pPr>
              <w:pStyle w:val="Tabele"/>
              <w:rPr>
                <w:rFonts w:eastAsia="Times New Roman" w:cs="Arial"/>
                <w:b/>
                <w:bCs/>
                <w:sz w:val="18"/>
                <w:szCs w:val="18"/>
              </w:rPr>
            </w:pPr>
            <w:r w:rsidRPr="003C1C60">
              <w:rPr>
                <w:rFonts w:eastAsia="Times New Roman" w:cs="Arial"/>
                <w:b/>
                <w:bCs/>
                <w:sz w:val="18"/>
                <w:szCs w:val="18"/>
              </w:rPr>
              <w:t>(_______________________)</w:t>
            </w:r>
          </w:p>
        </w:tc>
      </w:tr>
    </w:tbl>
    <w:p w:rsidR="00FB6B42" w:rsidRDefault="00FB6B42" w:rsidP="00FB6B42">
      <w:pPr>
        <w:pStyle w:val="Tabele"/>
        <w:sectPr w:rsidR="00FB6B42" w:rsidSect="00FB6B42">
          <w:pgSz w:w="16840" w:h="11907" w:orient="landscape" w:code="9"/>
          <w:pgMar w:top="1418" w:right="1418" w:bottom="1418" w:left="1418" w:header="720" w:footer="720" w:gutter="0"/>
          <w:cols w:space="720"/>
          <w:docGrid w:linePitch="360"/>
        </w:sectPr>
      </w:pPr>
    </w:p>
    <w:p w:rsidR="00016606" w:rsidRDefault="00016606" w:rsidP="00FB6B42">
      <w:pPr>
        <w:pStyle w:val="Tabele"/>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B5E58">
      <w:r>
        <w:separator/>
      </w:r>
    </w:p>
  </w:endnote>
  <w:endnote w:type="continuationSeparator" w:id="0">
    <w:p w:rsidR="00000000" w:rsidRDefault="005B5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B42" w:rsidRDefault="00FB6B42" w:rsidP="00FB6B4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B6B42" w:rsidRDefault="00FB6B42" w:rsidP="00FB6B4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B42" w:rsidRPr="00747CE5" w:rsidRDefault="00FB6B42" w:rsidP="00FB6B42">
    <w:pPr>
      <w:pStyle w:val="Footer"/>
      <w:framePr w:wrap="around" w:vAnchor="text" w:hAnchor="margin" w:xAlign="outside" w:y="1"/>
      <w:rPr>
        <w:rStyle w:val="PageNumber"/>
        <w:rFonts w:ascii="CG Times" w:hAnsi="CG Times"/>
        <w:sz w:val="22"/>
        <w:szCs w:val="22"/>
      </w:rPr>
    </w:pPr>
    <w:r w:rsidRPr="00747CE5">
      <w:rPr>
        <w:rStyle w:val="PageNumber"/>
        <w:rFonts w:ascii="CG Times" w:hAnsi="CG Times"/>
        <w:sz w:val="22"/>
        <w:szCs w:val="22"/>
      </w:rPr>
      <w:fldChar w:fldCharType="begin"/>
    </w:r>
    <w:r w:rsidRPr="00747CE5">
      <w:rPr>
        <w:rStyle w:val="PageNumber"/>
        <w:rFonts w:ascii="CG Times" w:hAnsi="CG Times"/>
        <w:sz w:val="22"/>
        <w:szCs w:val="22"/>
      </w:rPr>
      <w:instrText xml:space="preserve">PAGE  </w:instrText>
    </w:r>
    <w:r w:rsidRPr="00747CE5">
      <w:rPr>
        <w:rStyle w:val="PageNumber"/>
        <w:rFonts w:ascii="CG Times" w:hAnsi="CG Times"/>
        <w:sz w:val="22"/>
        <w:szCs w:val="22"/>
      </w:rPr>
      <w:fldChar w:fldCharType="separate"/>
    </w:r>
    <w:r w:rsidR="005B5E58">
      <w:rPr>
        <w:rStyle w:val="PageNumber"/>
        <w:rFonts w:ascii="CG Times" w:hAnsi="CG Times"/>
        <w:noProof/>
        <w:sz w:val="22"/>
        <w:szCs w:val="22"/>
      </w:rPr>
      <w:t>580</w:t>
    </w:r>
    <w:r w:rsidRPr="00747CE5">
      <w:rPr>
        <w:rStyle w:val="PageNumber"/>
        <w:rFonts w:ascii="CG Times" w:hAnsi="CG Times"/>
        <w:sz w:val="22"/>
        <w:szCs w:val="22"/>
      </w:rPr>
      <w:fldChar w:fldCharType="end"/>
    </w:r>
  </w:p>
  <w:p w:rsidR="00FB6B42" w:rsidRDefault="00FB6B42" w:rsidP="00FB6B4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B5E58">
      <w:r>
        <w:separator/>
      </w:r>
    </w:p>
  </w:footnote>
  <w:footnote w:type="continuationSeparator" w:id="0">
    <w:p w:rsidR="00000000" w:rsidRDefault="005B5E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Char"/>
      <w:lvlText w:val=""/>
      <w:lvlJc w:val="left"/>
      <w:pPr>
        <w:tabs>
          <w:tab w:val="num" w:pos="720"/>
        </w:tabs>
        <w:ind w:left="720" w:hanging="360"/>
      </w:pPr>
      <w:rPr>
        <w:rFonts w:ascii="Symbol" w:hAnsi="Symbol" w:hint="default"/>
      </w:rPr>
    </w:lvl>
  </w:abstractNum>
  <w:abstractNum w:abstractNumId="1">
    <w:nsid w:val="FFFFFF89"/>
    <w:multiLevelType w:val="singleLevel"/>
    <w:tmpl w:val="3DA69266"/>
    <w:lvl w:ilvl="0">
      <w:start w:val="1"/>
      <w:numFmt w:val="bullet"/>
      <w:pStyle w:val="Article"/>
      <w:lvlText w:val=""/>
      <w:lvlJc w:val="left"/>
      <w:pPr>
        <w:tabs>
          <w:tab w:val="num" w:pos="1080"/>
        </w:tabs>
        <w:ind w:left="1080" w:hanging="360"/>
      </w:pPr>
      <w:rPr>
        <w:rFonts w:ascii="Wingdings" w:hAnsi="Wingdings" w:hint="default"/>
        <w:b/>
        <w:i w:val="0"/>
        <w:color w:val="auto"/>
      </w:rPr>
    </w:lvl>
  </w:abstractNum>
  <w:abstractNum w:abstractNumId="2">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B5728DD"/>
    <w:multiLevelType w:val="multilevel"/>
    <w:tmpl w:val="DF9E3DF8"/>
    <w:lvl w:ilvl="0">
      <w:start w:val="1"/>
      <w:numFmt w:val="decimal"/>
      <w:lvlText w:val="%1."/>
      <w:lvlJc w:val="left"/>
      <w:pPr>
        <w:tabs>
          <w:tab w:val="num" w:pos="634"/>
        </w:tabs>
        <w:ind w:left="634" w:hanging="454"/>
      </w:pPr>
      <w:rPr>
        <w:rFonts w:ascii="Times New Roman" w:hAnsi="Times New Roman" w:cs="Times New Roman" w:hint="default"/>
        <w:b w:val="0"/>
        <w:color w:val="auto"/>
        <w:sz w:val="24"/>
        <w:szCs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D552D49"/>
    <w:multiLevelType w:val="hybridMultilevel"/>
    <w:tmpl w:val="BD9200B2"/>
    <w:lvl w:ilvl="0" w:tplc="E97844FC">
      <w:start w:val="1"/>
      <w:numFmt w:val="decimal"/>
      <w:lvlText w:val="%1."/>
      <w:lvlJc w:val="left"/>
      <w:pPr>
        <w:tabs>
          <w:tab w:val="num" w:pos="504"/>
        </w:tabs>
        <w:ind w:left="504" w:hanging="360"/>
      </w:pPr>
      <w:rPr>
        <w:b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5">
    <w:nsid w:val="0DAC2431"/>
    <w:multiLevelType w:val="hybridMultilevel"/>
    <w:tmpl w:val="49943D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14C925F0"/>
    <w:multiLevelType w:val="hybridMultilevel"/>
    <w:tmpl w:val="5B483B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657436B"/>
    <w:multiLevelType w:val="multilevel"/>
    <w:tmpl w:val="43EE85FA"/>
    <w:lvl w:ilvl="0">
      <w:start w:val="1"/>
      <w:numFmt w:val="decimal"/>
      <w:lvlText w:val="%1"/>
      <w:lvlJc w:val="left"/>
      <w:pPr>
        <w:tabs>
          <w:tab w:val="num" w:pos="432"/>
        </w:tabs>
        <w:ind w:left="432" w:hanging="432"/>
      </w:pPr>
      <w:rPr>
        <w:rFonts w:hint="default"/>
      </w:rPr>
    </w:lvl>
    <w:lvl w:ilvl="1">
      <w:start w:val="1"/>
      <w:numFmt w:val="decimal"/>
      <w:pStyle w:val="Hyperlink"/>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17C4738E"/>
    <w:multiLevelType w:val="hybridMultilevel"/>
    <w:tmpl w:val="AB103510"/>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0">
    <w:nsid w:val="1B2D468A"/>
    <w:multiLevelType w:val="hybridMultilevel"/>
    <w:tmpl w:val="28E8AF7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C297FEB"/>
    <w:multiLevelType w:val="hybridMultilevel"/>
    <w:tmpl w:val="38B28EF4"/>
    <w:lvl w:ilvl="0" w:tplc="0409000F">
      <w:start w:val="1"/>
      <w:numFmt w:val="decimal"/>
      <w:lvlText w:val="%1."/>
      <w:lvlJc w:val="left"/>
      <w:pPr>
        <w:tabs>
          <w:tab w:val="num" w:pos="504"/>
        </w:tabs>
        <w:ind w:left="504" w:hanging="360"/>
      </w:p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2">
    <w:nsid w:val="2E3F67AE"/>
    <w:multiLevelType w:val="hybridMultilevel"/>
    <w:tmpl w:val="F0E8A2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09F0C00"/>
    <w:multiLevelType w:val="multilevel"/>
    <w:tmpl w:val="82149B7C"/>
    <w:lvl w:ilvl="0">
      <w:start w:val="1"/>
      <w:numFmt w:val="decimal"/>
      <w:pStyle w:val="Chapter"/>
      <w:lvlText w:val="Article %1"/>
      <w:lvlJc w:val="left"/>
      <w:pPr>
        <w:tabs>
          <w:tab w:val="num" w:pos="1140"/>
        </w:tabs>
        <w:ind w:left="1140" w:hanging="432"/>
      </w:pPr>
      <w:rPr>
        <w:rFonts w:hint="default"/>
      </w:rPr>
    </w:lvl>
    <w:lvl w:ilvl="1">
      <w:start w:val="1"/>
      <w:numFmt w:val="decimal"/>
      <w:lvlText w:val="%1.%2"/>
      <w:lvlJc w:val="left"/>
      <w:pPr>
        <w:tabs>
          <w:tab w:val="num" w:pos="1284"/>
        </w:tabs>
        <w:ind w:left="1284" w:hanging="576"/>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572"/>
        </w:tabs>
        <w:ind w:left="157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14">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2605399"/>
    <w:multiLevelType w:val="hybridMultilevel"/>
    <w:tmpl w:val="B874B1B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5AF2C33"/>
    <w:multiLevelType w:val="singleLevel"/>
    <w:tmpl w:val="AE58F4C0"/>
    <w:lvl w:ilvl="0">
      <w:start w:val="1"/>
      <w:numFmt w:val="bullet"/>
      <w:pStyle w:val="TableGrid"/>
      <w:lvlText w:val=""/>
      <w:lvlJc w:val="left"/>
      <w:pPr>
        <w:tabs>
          <w:tab w:val="num" w:pos="648"/>
        </w:tabs>
        <w:ind w:left="432" w:hanging="144"/>
      </w:pPr>
      <w:rPr>
        <w:rFonts w:ascii="Wingdings" w:hAnsi="Wingdings" w:hint="default"/>
      </w:rPr>
    </w:lvl>
  </w:abstractNum>
  <w:abstractNum w:abstractNumId="17">
    <w:nsid w:val="37CE1A46"/>
    <w:multiLevelType w:val="hybridMultilevel"/>
    <w:tmpl w:val="5894BA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39C03DC2"/>
    <w:multiLevelType w:val="hybridMultilevel"/>
    <w:tmpl w:val="10FAAF78"/>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19">
    <w:nsid w:val="425D36F4"/>
    <w:multiLevelType w:val="hybridMultilevel"/>
    <w:tmpl w:val="C012E8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427244D3"/>
    <w:multiLevelType w:val="hybridMultilevel"/>
    <w:tmpl w:val="2312EB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6C10CDD"/>
    <w:multiLevelType w:val="hybridMultilevel"/>
    <w:tmpl w:val="0D62EC6C"/>
    <w:lvl w:ilvl="0" w:tplc="FFFFFFFF">
      <w:start w:val="1"/>
      <w:numFmt w:val="upperLetter"/>
      <w:lvlText w:val="%1."/>
      <w:lvlJc w:val="left"/>
      <w:pPr>
        <w:tabs>
          <w:tab w:val="num" w:pos="851"/>
        </w:tabs>
        <w:ind w:left="851" w:hanging="851"/>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496F754D"/>
    <w:multiLevelType w:val="multilevel"/>
    <w:tmpl w:val="D41A8920"/>
    <w:lvl w:ilvl="0">
      <w:start w:val="1"/>
      <w:numFmt w:val="bullet"/>
      <w:pStyle w:val="StyleCentr"/>
      <w:lvlText w:val=""/>
      <w:lvlJc w:val="left"/>
      <w:pPr>
        <w:tabs>
          <w:tab w:val="num" w:pos="1440"/>
        </w:tabs>
        <w:ind w:left="1440" w:hanging="360"/>
      </w:pPr>
      <w:rPr>
        <w:rFonts w:ascii="Wingdings" w:hAnsi="Wingdings" w:hint="default"/>
      </w:rPr>
    </w:lvl>
    <w:lvl w:ilvl="1">
      <w:start w:val="1"/>
      <w:numFmt w:val="bullet"/>
      <w:lvlText w:val=""/>
      <w:lvlJc w:val="left"/>
      <w:pPr>
        <w:tabs>
          <w:tab w:val="num" w:pos="360"/>
        </w:tabs>
        <w:ind w:left="360" w:hanging="360"/>
      </w:pPr>
      <w:rPr>
        <w:rFonts w:ascii="Wingdings" w:hAnsi="Wingding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1754611"/>
    <w:multiLevelType w:val="hybridMultilevel"/>
    <w:tmpl w:val="9E1C22C2"/>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4">
    <w:nsid w:val="57145E57"/>
    <w:multiLevelType w:val="hybridMultilevel"/>
    <w:tmpl w:val="E646D26C"/>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5">
    <w:nsid w:val="590F6CDD"/>
    <w:multiLevelType w:val="hybridMultilevel"/>
    <w:tmpl w:val="6ECC0968"/>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6">
    <w:nsid w:val="5CB60AC8"/>
    <w:multiLevelType w:val="hybridMultilevel"/>
    <w:tmpl w:val="A43618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687A6419"/>
    <w:multiLevelType w:val="hybridMultilevel"/>
    <w:tmpl w:val="26B2EB7E"/>
    <w:lvl w:ilvl="0" w:tplc="08090001">
      <w:start w:val="1"/>
      <w:numFmt w:val="bullet"/>
      <w:lvlText w:val=""/>
      <w:lvlJc w:val="left"/>
      <w:pPr>
        <w:tabs>
          <w:tab w:val="num" w:pos="880"/>
        </w:tabs>
        <w:ind w:left="880" w:hanging="340"/>
      </w:pPr>
      <w:rPr>
        <w:rFonts w:ascii="Symbol" w:hAnsi="Symbol" w:hint="default"/>
        <w:color w:val="auto"/>
        <w:sz w:val="2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6A7720AA"/>
    <w:multiLevelType w:val="hybridMultilevel"/>
    <w:tmpl w:val="5AC25358"/>
    <w:lvl w:ilvl="0" w:tplc="BF3E346A">
      <w:start w:val="1"/>
      <w:numFmt w:val="decimal"/>
      <w:lvlText w:val="%1."/>
      <w:lvlJc w:val="left"/>
      <w:pPr>
        <w:tabs>
          <w:tab w:val="num" w:pos="360"/>
        </w:tabs>
        <w:ind w:left="360" w:hanging="360"/>
      </w:pPr>
      <w:rPr>
        <w:rFonts w:hint="default"/>
        <w:b w:val="0"/>
        <w:color w:val="auto"/>
        <w:sz w:val="24"/>
        <w:szCs w:val="24"/>
      </w:rPr>
    </w:lvl>
    <w:lvl w:ilvl="1" w:tplc="08090003">
      <w:start w:val="1"/>
      <w:numFmt w:val="bullet"/>
      <w:lvlText w:val=""/>
      <w:lvlJc w:val="left"/>
      <w:pPr>
        <w:tabs>
          <w:tab w:val="num" w:pos="1260"/>
        </w:tabs>
        <w:ind w:left="1260" w:hanging="360"/>
      </w:pPr>
      <w:rPr>
        <w:rFonts w:ascii="Symbol" w:hAnsi="Symbol" w:hint="default"/>
      </w:rPr>
    </w:lvl>
    <w:lvl w:ilvl="2" w:tplc="08090005" w:tentative="1">
      <w:start w:val="1"/>
      <w:numFmt w:val="lowerRoman"/>
      <w:lvlText w:val="%3."/>
      <w:lvlJc w:val="right"/>
      <w:pPr>
        <w:tabs>
          <w:tab w:val="num" w:pos="1980"/>
        </w:tabs>
        <w:ind w:left="1980" w:hanging="180"/>
      </w:pPr>
    </w:lvl>
    <w:lvl w:ilvl="3" w:tplc="08090001" w:tentative="1">
      <w:start w:val="1"/>
      <w:numFmt w:val="decimal"/>
      <w:lvlText w:val="%4."/>
      <w:lvlJc w:val="left"/>
      <w:pPr>
        <w:tabs>
          <w:tab w:val="num" w:pos="2700"/>
        </w:tabs>
        <w:ind w:left="2700" w:hanging="360"/>
      </w:pPr>
    </w:lvl>
    <w:lvl w:ilvl="4" w:tplc="08090003" w:tentative="1">
      <w:start w:val="1"/>
      <w:numFmt w:val="lowerLetter"/>
      <w:lvlText w:val="%5."/>
      <w:lvlJc w:val="left"/>
      <w:pPr>
        <w:tabs>
          <w:tab w:val="num" w:pos="3420"/>
        </w:tabs>
        <w:ind w:left="3420" w:hanging="360"/>
      </w:pPr>
    </w:lvl>
    <w:lvl w:ilvl="5" w:tplc="08090005" w:tentative="1">
      <w:start w:val="1"/>
      <w:numFmt w:val="lowerRoman"/>
      <w:lvlText w:val="%6."/>
      <w:lvlJc w:val="right"/>
      <w:pPr>
        <w:tabs>
          <w:tab w:val="num" w:pos="4140"/>
        </w:tabs>
        <w:ind w:left="4140" w:hanging="180"/>
      </w:pPr>
    </w:lvl>
    <w:lvl w:ilvl="6" w:tplc="08090001" w:tentative="1">
      <w:start w:val="1"/>
      <w:numFmt w:val="decimal"/>
      <w:lvlText w:val="%7."/>
      <w:lvlJc w:val="left"/>
      <w:pPr>
        <w:tabs>
          <w:tab w:val="num" w:pos="4860"/>
        </w:tabs>
        <w:ind w:left="4860" w:hanging="360"/>
      </w:pPr>
    </w:lvl>
    <w:lvl w:ilvl="7" w:tplc="08090003" w:tentative="1">
      <w:start w:val="1"/>
      <w:numFmt w:val="lowerLetter"/>
      <w:lvlText w:val="%8."/>
      <w:lvlJc w:val="left"/>
      <w:pPr>
        <w:tabs>
          <w:tab w:val="num" w:pos="5580"/>
        </w:tabs>
        <w:ind w:left="5580" w:hanging="360"/>
      </w:pPr>
    </w:lvl>
    <w:lvl w:ilvl="8" w:tplc="08090005" w:tentative="1">
      <w:start w:val="1"/>
      <w:numFmt w:val="lowerRoman"/>
      <w:lvlText w:val="%9."/>
      <w:lvlJc w:val="right"/>
      <w:pPr>
        <w:tabs>
          <w:tab w:val="num" w:pos="6300"/>
        </w:tabs>
        <w:ind w:left="6300" w:hanging="180"/>
      </w:pPr>
    </w:lvl>
  </w:abstractNum>
  <w:abstractNum w:abstractNumId="29">
    <w:nsid w:val="6FDB03CA"/>
    <w:multiLevelType w:val="hybridMultilevel"/>
    <w:tmpl w:val="333607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31">
    <w:nsid w:val="712D2AD5"/>
    <w:multiLevelType w:val="multilevel"/>
    <w:tmpl w:val="E17E61D2"/>
    <w:lvl w:ilvl="0">
      <w:start w:val="1"/>
      <w:numFmt w:val="bullet"/>
      <w:pStyle w:val="TableFigureFooter"/>
      <w:lvlText w:val=""/>
      <w:lvlJc w:val="left"/>
      <w:pPr>
        <w:tabs>
          <w:tab w:val="num" w:pos="1620"/>
        </w:tabs>
        <w:ind w:left="1620" w:hanging="360"/>
      </w:pPr>
      <w:rPr>
        <w:rFonts w:ascii="Wingdings" w:hAnsi="Wingdings" w:hint="default"/>
      </w:rPr>
    </w:lvl>
    <w:lvl w:ilvl="1">
      <w:start w:val="1"/>
      <w:numFmt w:val="decimal"/>
      <w:lvlText w:val="%1.%2"/>
      <w:lvlJc w:val="left"/>
      <w:pPr>
        <w:tabs>
          <w:tab w:val="num" w:pos="1116"/>
        </w:tabs>
        <w:ind w:left="1116" w:hanging="576"/>
      </w:pPr>
      <w:rPr>
        <w:rFonts w:hint="default"/>
      </w:rPr>
    </w:lvl>
    <w:lvl w:ilvl="2">
      <w:start w:val="1"/>
      <w:numFmt w:val="bullet"/>
      <w:lvlText w:val=""/>
      <w:lvlJc w:val="left"/>
      <w:pPr>
        <w:tabs>
          <w:tab w:val="num" w:pos="900"/>
        </w:tabs>
        <w:ind w:left="900" w:hanging="360"/>
      </w:pPr>
      <w:rPr>
        <w:rFonts w:ascii="Wingdings" w:hAnsi="Wingding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2">
    <w:nsid w:val="727E1D2E"/>
    <w:multiLevelType w:val="hybridMultilevel"/>
    <w:tmpl w:val="2B02375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4">
    <w:nsid w:val="7B751D93"/>
    <w:multiLevelType w:val="hybridMultilevel"/>
    <w:tmpl w:val="18B65844"/>
    <w:lvl w:ilvl="0" w:tplc="0809000F">
      <w:start w:val="1"/>
      <w:numFmt w:val="decimal"/>
      <w:pStyle w:val="Header"/>
      <w:lvlText w:val="CHAPTER %1"/>
      <w:lvlJc w:val="left"/>
      <w:pPr>
        <w:tabs>
          <w:tab w:val="num" w:pos="397"/>
        </w:tabs>
        <w:ind w:left="1474" w:hanging="147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7C675C65"/>
    <w:multiLevelType w:val="hybridMultilevel"/>
    <w:tmpl w:val="BF5A93F2"/>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14"/>
  </w:num>
  <w:num w:numId="3">
    <w:abstractNumId w:val="33"/>
  </w:num>
  <w:num w:numId="4">
    <w:abstractNumId w:val="6"/>
  </w:num>
  <w:num w:numId="5">
    <w:abstractNumId w:val="2"/>
  </w:num>
  <w:num w:numId="6">
    <w:abstractNumId w:val="2"/>
  </w:num>
  <w:num w:numId="7">
    <w:abstractNumId w:val="30"/>
  </w:num>
  <w:num w:numId="8">
    <w:abstractNumId w:val="14"/>
  </w:num>
  <w:num w:numId="9">
    <w:abstractNumId w:val="33"/>
  </w:num>
  <w:num w:numId="10">
    <w:abstractNumId w:val="14"/>
  </w:num>
  <w:num w:numId="11">
    <w:abstractNumId w:val="33"/>
  </w:num>
  <w:num w:numId="12">
    <w:abstractNumId w:val="14"/>
  </w:num>
  <w:num w:numId="13">
    <w:abstractNumId w:val="33"/>
  </w:num>
  <w:num w:numId="14">
    <w:abstractNumId w:val="14"/>
  </w:num>
  <w:num w:numId="15">
    <w:abstractNumId w:val="33"/>
  </w:num>
  <w:num w:numId="16">
    <w:abstractNumId w:val="0"/>
  </w:num>
  <w:num w:numId="17">
    <w:abstractNumId w:val="10"/>
  </w:num>
  <w:num w:numId="18">
    <w:abstractNumId w:val="16"/>
  </w:num>
  <w:num w:numId="19">
    <w:abstractNumId w:val="13"/>
  </w:num>
  <w:num w:numId="20">
    <w:abstractNumId w:val="34"/>
  </w:num>
  <w:num w:numId="21">
    <w:abstractNumId w:val="8"/>
  </w:num>
  <w:num w:numId="22">
    <w:abstractNumId w:val="1"/>
  </w:num>
  <w:num w:numId="23">
    <w:abstractNumId w:val="31"/>
  </w:num>
  <w:num w:numId="24">
    <w:abstractNumId w:val="22"/>
  </w:num>
  <w:num w:numId="25">
    <w:abstractNumId w:val="28"/>
  </w:num>
  <w:num w:numId="26">
    <w:abstractNumId w:val="27"/>
  </w:num>
  <w:num w:numId="27">
    <w:abstractNumId w:val="21"/>
  </w:num>
  <w:num w:numId="28">
    <w:abstractNumId w:val="9"/>
  </w:num>
  <w:num w:numId="29">
    <w:abstractNumId w:val="24"/>
  </w:num>
  <w:num w:numId="30">
    <w:abstractNumId w:val="18"/>
  </w:num>
  <w:num w:numId="31">
    <w:abstractNumId w:val="4"/>
  </w:num>
  <w:num w:numId="32">
    <w:abstractNumId w:val="23"/>
  </w:num>
  <w:num w:numId="33">
    <w:abstractNumId w:val="25"/>
  </w:num>
  <w:num w:numId="34">
    <w:abstractNumId w:val="11"/>
  </w:num>
  <w:num w:numId="35">
    <w:abstractNumId w:val="5"/>
  </w:num>
  <w:num w:numId="36">
    <w:abstractNumId w:val="12"/>
  </w:num>
  <w:num w:numId="37">
    <w:abstractNumId w:val="7"/>
  </w:num>
  <w:num w:numId="38">
    <w:abstractNumId w:val="29"/>
  </w:num>
  <w:num w:numId="39">
    <w:abstractNumId w:val="32"/>
  </w:num>
  <w:num w:numId="40">
    <w:abstractNumId w:val="3"/>
  </w:num>
  <w:num w:numId="41">
    <w:abstractNumId w:val="35"/>
  </w:num>
  <w:num w:numId="42">
    <w:abstractNumId w:val="17"/>
  </w:num>
  <w:num w:numId="43">
    <w:abstractNumId w:val="15"/>
  </w:num>
  <w:num w:numId="44">
    <w:abstractNumId w:val="20"/>
  </w:num>
  <w:num w:numId="45">
    <w:abstractNumId w:val="19"/>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B6B42"/>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0FA"/>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5E58"/>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6B4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DEA26FC-7949-478C-970A-3B5E8303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B42"/>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aliases w:val="Text,Heading 2 UDHEZIM"/>
    <w:basedOn w:val="Normal"/>
    <w:next w:val="Normal"/>
    <w:link w:val="Heading2Char1"/>
    <w:qFormat/>
    <w:rsid w:val="00FB6B42"/>
    <w:pPr>
      <w:keepNext/>
      <w:spacing w:before="240" w:after="60"/>
      <w:outlineLvl w:val="1"/>
    </w:pPr>
    <w:rPr>
      <w:rFonts w:ascii="Arial" w:hAnsi="Arial" w:cs="Arial"/>
      <w:b/>
      <w:bCs/>
      <w:i/>
      <w:iCs/>
      <w:sz w:val="28"/>
      <w:szCs w:val="28"/>
    </w:rPr>
  </w:style>
  <w:style w:type="paragraph" w:styleId="Heading3">
    <w:name w:val="heading 3"/>
    <w:aliases w:val="(text)"/>
    <w:basedOn w:val="Normal"/>
    <w:next w:val="Normal"/>
    <w:qFormat/>
    <w:rsid w:val="00FB6B42"/>
    <w:pPr>
      <w:keepNext/>
      <w:spacing w:before="240" w:after="60"/>
      <w:outlineLvl w:val="2"/>
    </w:pPr>
    <w:rPr>
      <w:rFonts w:ascii="Arial" w:hAnsi="Arial" w:cs="Arial"/>
      <w:b/>
      <w:bCs/>
      <w:sz w:val="26"/>
      <w:szCs w:val="26"/>
    </w:rPr>
  </w:style>
  <w:style w:type="paragraph" w:styleId="Heading4">
    <w:name w:val="heading 4"/>
    <w:basedOn w:val="Normal"/>
    <w:next w:val="Normal"/>
    <w:qFormat/>
    <w:rsid w:val="00FB6B42"/>
    <w:pPr>
      <w:keepNext/>
      <w:spacing w:before="240" w:after="60"/>
      <w:outlineLvl w:val="3"/>
    </w:pPr>
    <w:rPr>
      <w:rFonts w:eastAsia="SimSun"/>
      <w:b/>
      <w:bCs/>
      <w:sz w:val="28"/>
      <w:szCs w:val="28"/>
      <w:lang w:val="sq-AL" w:eastAsia="zh-CN"/>
    </w:rPr>
  </w:style>
  <w:style w:type="paragraph" w:styleId="Heading5">
    <w:name w:val="heading 5"/>
    <w:basedOn w:val="Normal"/>
    <w:next w:val="Normal"/>
    <w:qFormat/>
    <w:rsid w:val="00FB6B42"/>
    <w:pPr>
      <w:spacing w:before="240" w:after="60"/>
      <w:outlineLvl w:val="4"/>
    </w:pPr>
    <w:rPr>
      <w:rFonts w:eastAsia="Times New Roman"/>
      <w:b/>
      <w:bCs/>
      <w:i/>
      <w:iCs/>
      <w:sz w:val="26"/>
      <w:szCs w:val="26"/>
      <w:lang w:val="fr-FR" w:eastAsia="fr-FR"/>
    </w:rPr>
  </w:style>
  <w:style w:type="paragraph" w:styleId="Heading6">
    <w:name w:val="heading 6"/>
    <w:basedOn w:val="Normal"/>
    <w:next w:val="Normal"/>
    <w:qFormat/>
    <w:rsid w:val="00FB6B42"/>
    <w:pPr>
      <w:spacing w:before="240" w:after="60"/>
      <w:outlineLvl w:val="5"/>
    </w:pPr>
    <w:rPr>
      <w:b/>
      <w:bCs/>
      <w:sz w:val="22"/>
      <w:szCs w:val="22"/>
    </w:rPr>
  </w:style>
  <w:style w:type="paragraph" w:styleId="Heading7">
    <w:name w:val="heading 7"/>
    <w:basedOn w:val="Normal"/>
    <w:next w:val="Normal"/>
    <w:qFormat/>
    <w:rsid w:val="00FB6B42"/>
    <w:pPr>
      <w:spacing w:before="240" w:after="60"/>
      <w:outlineLvl w:val="6"/>
    </w:pPr>
    <w:rPr>
      <w:rFonts w:eastAsia="Times New Roman"/>
      <w:lang w:val="fr-FR" w:eastAsia="fr-FR"/>
    </w:rPr>
  </w:style>
  <w:style w:type="paragraph" w:styleId="Heading8">
    <w:name w:val="heading 8"/>
    <w:basedOn w:val="Normal"/>
    <w:next w:val="Normal"/>
    <w:qFormat/>
    <w:rsid w:val="00FB6B42"/>
    <w:pPr>
      <w:spacing w:before="240" w:after="60"/>
      <w:outlineLvl w:val="7"/>
    </w:pPr>
    <w:rPr>
      <w:rFonts w:eastAsia="Times New Roman"/>
      <w:i/>
      <w:iCs/>
      <w:lang w:val="fr-FR" w:eastAsia="fr-FR"/>
    </w:rPr>
  </w:style>
  <w:style w:type="paragraph" w:styleId="Heading9">
    <w:name w:val="heading 9"/>
    <w:basedOn w:val="Normal"/>
    <w:next w:val="Normal"/>
    <w:qFormat/>
    <w:rsid w:val="00FB6B42"/>
    <w:pPr>
      <w:spacing w:before="240" w:after="60"/>
      <w:outlineLvl w:val="8"/>
    </w:pPr>
    <w:rPr>
      <w:rFonts w:ascii="Arial" w:eastAsia="Times New Roman" w:hAnsi="Arial" w:cs="Arial"/>
      <w:sz w:val="22"/>
      <w:szCs w:val="22"/>
      <w:lang w:val="fr-FR" w:eastAsia="fr-F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Heading2Char1">
    <w:name w:val="Heading 2 Char1"/>
    <w:aliases w:val="Text Char,Heading 2 UDHEZIM Char"/>
    <w:basedOn w:val="DefaultParagraphFont"/>
    <w:link w:val="Heading2"/>
    <w:rsid w:val="00FB6B42"/>
    <w:rPr>
      <w:rFonts w:ascii="Arial" w:eastAsia="MS Mincho" w:hAnsi="Arial" w:cs="Arial"/>
      <w:b/>
      <w:bCs/>
      <w:i/>
      <w:iCs/>
      <w:sz w:val="28"/>
      <w:szCs w:val="28"/>
      <w:lang w:val="en-US" w:eastAsia="en-US" w:bidi="ar-SA"/>
    </w:rPr>
  </w:style>
  <w:style w:type="character" w:customStyle="1" w:styleId="CommentTextChar">
    <w:name w:val="Comment Text Char"/>
    <w:basedOn w:val="DefaultParagraphFont"/>
    <w:link w:val="CommentText"/>
    <w:rsid w:val="00FB6B42"/>
    <w:rPr>
      <w:rFonts w:ascii="Trebuchet MS" w:eastAsia="MS Mincho" w:hAnsi="Trebuchet MS"/>
      <w:lang w:val="en-GB" w:eastAsia="en-US" w:bidi="ar-SA"/>
    </w:rPr>
  </w:style>
  <w:style w:type="paragraph" w:styleId="CommentText">
    <w:name w:val="annotation text"/>
    <w:basedOn w:val="Normal"/>
    <w:link w:val="CommentTextChar"/>
    <w:rsid w:val="00FB6B42"/>
    <w:rPr>
      <w:rFonts w:ascii="Trebuchet MS" w:hAnsi="Trebuchet MS"/>
      <w:sz w:val="20"/>
      <w:szCs w:val="20"/>
      <w:lang w:val="en-GB"/>
    </w:rPr>
  </w:style>
  <w:style w:type="character" w:customStyle="1" w:styleId="AutoritetiChar">
    <w:name w:val="Autoriteti Char"/>
    <w:basedOn w:val="DefaultParagraphFont"/>
    <w:link w:val="Autoriteti"/>
    <w:rsid w:val="00FB6B42"/>
    <w:rPr>
      <w:rFonts w:ascii="CG Times" w:eastAsia="MS Mincho" w:hAnsi="CG Times"/>
      <w:caps/>
      <w:sz w:val="22"/>
      <w:szCs w:val="22"/>
      <w:lang w:val="en-GB" w:eastAsia="en-US" w:bidi="ar-SA"/>
    </w:rPr>
  </w:style>
  <w:style w:type="paragraph" w:customStyle="1" w:styleId="BoxText">
    <w:name w:val="Box Text"/>
    <w:basedOn w:val="Normal"/>
    <w:rsid w:val="00FB6B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FB6B4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FB6B42"/>
    <w:rPr>
      <w:rFonts w:ascii="Trebuchet MS" w:eastAsia="MS Mincho" w:hAnsi="Trebuchet MS"/>
      <w:szCs w:val="22"/>
      <w:lang w:val="en-GB" w:eastAsia="en-US" w:bidi="ar-SA"/>
    </w:rPr>
  </w:style>
  <w:style w:type="paragraph" w:customStyle="1" w:styleId="bulletmeshkronja">
    <w:name w:val="bullet me shkronja"/>
    <w:basedOn w:val="Normal"/>
    <w:rsid w:val="00FB6B4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FB6B42"/>
    <w:rPr>
      <w:rFonts w:ascii="Trebuchet MS" w:eastAsia="MS Mincho" w:hAnsi="Trebuchet MS"/>
      <w:sz w:val="22"/>
      <w:lang w:val="en-GB" w:eastAsia="en-US" w:bidi="ar-SA"/>
    </w:rPr>
  </w:style>
  <w:style w:type="character" w:customStyle="1" w:styleId="footnoteChar">
    <w:name w:val="footnote Char"/>
    <w:basedOn w:val="DefaultParagraphFont"/>
    <w:rsid w:val="00FB6B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B6B42"/>
    <w:rPr>
      <w:rFonts w:ascii="Trebuchet MS" w:eastAsia="MS Mincho" w:hAnsi="Trebuchet MS"/>
      <w:sz w:val="18"/>
      <w:lang w:val="en-GB" w:eastAsia="en-US" w:bidi="ar-SA"/>
    </w:rPr>
  </w:style>
  <w:style w:type="character" w:customStyle="1" w:styleId="Heading1CharChar">
    <w:name w:val="Heading 1 Char Char"/>
    <w:basedOn w:val="DefaultParagraphFont"/>
    <w:rsid w:val="00FB6B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B6B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B6B42"/>
    <w:rPr>
      <w:rFonts w:ascii="Trebuchet MS" w:eastAsia="MS Mincho" w:hAnsi="Trebuchet MS" w:cs="Arial"/>
      <w:b/>
      <w:bCs/>
      <w:sz w:val="24"/>
      <w:szCs w:val="24"/>
      <w:lang w:val="en-US" w:eastAsia="en-US" w:bidi="ar-SA"/>
    </w:rPr>
  </w:style>
  <w:style w:type="paragraph" w:customStyle="1" w:styleId="hyrje">
    <w:name w:val="hyrje"/>
    <w:basedOn w:val="Heading1"/>
    <w:rsid w:val="00FB6B42"/>
    <w:pPr>
      <w:pageBreakBefore/>
      <w:spacing w:before="360" w:after="360"/>
      <w:jc w:val="both"/>
    </w:pPr>
    <w:rPr>
      <w:rFonts w:ascii="Trebuchet MS" w:hAnsi="Trebuchet MS"/>
      <w:sz w:val="36"/>
      <w:szCs w:val="36"/>
      <w:lang w:val="en-GB"/>
    </w:rPr>
  </w:style>
  <w:style w:type="paragraph" w:customStyle="1" w:styleId="Level11">
    <w:name w:val="Level 1.1"/>
    <w:basedOn w:val="Normal"/>
    <w:rsid w:val="00FB6B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FB6B4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FB6B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B6B42"/>
    <w:rPr>
      <w:rFonts w:ascii="Trebuchet MS" w:eastAsia="MS Mincho" w:hAnsi="Trebuchet MS"/>
      <w:sz w:val="22"/>
      <w:szCs w:val="22"/>
      <w:lang w:val="en-US" w:eastAsia="en-US" w:bidi="ar-SA"/>
    </w:rPr>
  </w:style>
  <w:style w:type="paragraph" w:customStyle="1" w:styleId="listmenumra">
    <w:name w:val="list me numra"/>
    <w:basedOn w:val="ListBullet2"/>
    <w:rsid w:val="00FB6B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FB6B42"/>
    <w:pPr>
      <w:numPr>
        <w:numId w:val="1"/>
      </w:numPr>
    </w:pPr>
  </w:style>
  <w:style w:type="character" w:customStyle="1" w:styleId="listmenumraCharChar">
    <w:name w:val="list me numra Char Char"/>
    <w:basedOn w:val="ListBullet2Char"/>
    <w:rsid w:val="00FB6B42"/>
    <w:rPr>
      <w:rFonts w:ascii="Trebuchet MS" w:eastAsia="MS Mincho" w:hAnsi="Trebuchet MS"/>
      <w:sz w:val="22"/>
      <w:szCs w:val="22"/>
      <w:lang w:val="en-US" w:eastAsia="en-US" w:bidi="ar-SA"/>
    </w:rPr>
  </w:style>
  <w:style w:type="paragraph" w:styleId="ListParagraph">
    <w:name w:val="List Paragraph"/>
    <w:basedOn w:val="Normal"/>
    <w:qFormat/>
    <w:rsid w:val="00FB6B42"/>
    <w:pPr>
      <w:ind w:left="720"/>
      <w:contextualSpacing/>
    </w:pPr>
    <w:rPr>
      <w:sz w:val="20"/>
      <w:szCs w:val="20"/>
    </w:rPr>
  </w:style>
  <w:style w:type="paragraph" w:customStyle="1" w:styleId="para">
    <w:name w:val="para"/>
    <w:basedOn w:val="Normal"/>
    <w:rsid w:val="00FB6B4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FB6B42"/>
    <w:rPr>
      <w:rFonts w:ascii="Arial" w:eastAsia="MS Mincho" w:hAnsi="Arial"/>
      <w:sz w:val="22"/>
      <w:szCs w:val="24"/>
      <w:lang w:val="en-US" w:eastAsia="en-US" w:bidi="ar-SA"/>
    </w:rPr>
  </w:style>
  <w:style w:type="paragraph" w:customStyle="1" w:styleId="para-indent">
    <w:name w:val="para-indent"/>
    <w:basedOn w:val="para"/>
    <w:rsid w:val="00FB6B42"/>
    <w:pPr>
      <w:ind w:left="720"/>
    </w:pPr>
  </w:style>
  <w:style w:type="paragraph" w:customStyle="1" w:styleId="Pas">
    <w:name w:val="Pas"/>
    <w:basedOn w:val="Normal"/>
    <w:rsid w:val="00FB6B42"/>
    <w:pPr>
      <w:widowControl w:val="0"/>
    </w:pPr>
    <w:rPr>
      <w:rFonts w:ascii="CG Times" w:hAnsi="CG Times"/>
      <w:sz w:val="22"/>
      <w:szCs w:val="22"/>
      <w:lang w:val="sq-AL"/>
    </w:rPr>
  </w:style>
  <w:style w:type="paragraph" w:customStyle="1" w:styleId="Section">
    <w:name w:val="Section"/>
    <w:rsid w:val="00FB6B42"/>
    <w:rPr>
      <w:rFonts w:ascii="Arial" w:eastAsia="Batang" w:hAnsi="Arial" w:cs="Arial"/>
      <w:bCs/>
      <w:kern w:val="32"/>
      <w:sz w:val="48"/>
      <w:szCs w:val="32"/>
    </w:rPr>
  </w:style>
  <w:style w:type="paragraph" w:customStyle="1" w:styleId="SectionNUM">
    <w:name w:val="Section NUM"/>
    <w:next w:val="Heading1"/>
    <w:rsid w:val="00FB6B42"/>
    <w:pPr>
      <w:keepNext/>
      <w:pageBreakBefore/>
      <w:tabs>
        <w:tab w:val="num" w:pos="720"/>
      </w:tabs>
      <w:spacing w:after="240"/>
      <w:ind w:left="720" w:hanging="360"/>
    </w:pPr>
    <w:rPr>
      <w:rFonts w:ascii="Trebuchet MS" w:eastAsia="Batang" w:hAnsi="Trebuchet MS"/>
      <w:b/>
      <w:kern w:val="32"/>
      <w:sz w:val="36"/>
      <w:lang w:val="en-GB"/>
    </w:rPr>
  </w:style>
  <w:style w:type="paragraph" w:customStyle="1" w:styleId="Style">
    <w:name w:val="Style"/>
    <w:rsid w:val="00FB6B42"/>
    <w:pPr>
      <w:widowControl w:val="0"/>
      <w:autoSpaceDE w:val="0"/>
      <w:autoSpaceDN w:val="0"/>
      <w:adjustRightInd w:val="0"/>
    </w:pPr>
    <w:rPr>
      <w:rFonts w:eastAsia="MS Mincho"/>
      <w:sz w:val="24"/>
      <w:szCs w:val="24"/>
    </w:rPr>
  </w:style>
  <w:style w:type="paragraph" w:customStyle="1" w:styleId="StyleCaption">
    <w:name w:val="Style Caption"/>
    <w:basedOn w:val="Normal"/>
    <w:rsid w:val="00FB6B4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FB6B42"/>
    <w:rPr>
      <w:rFonts w:ascii="Trebuchet MS" w:eastAsia="MS Mincho" w:hAnsi="Trebuchet MS"/>
      <w:sz w:val="18"/>
      <w:szCs w:val="18"/>
      <w:lang w:val="en-US" w:eastAsia="en-US" w:bidi="ar-SA"/>
    </w:rPr>
  </w:style>
  <w:style w:type="paragraph" w:customStyle="1" w:styleId="sub-list">
    <w:name w:val="sub-list"/>
    <w:rsid w:val="00FB6B42"/>
    <w:pPr>
      <w:spacing w:before="60" w:after="120"/>
    </w:pPr>
    <w:rPr>
      <w:rFonts w:ascii="Arial" w:eastAsia="Batang" w:hAnsi="Arial"/>
      <w:sz w:val="22"/>
      <w:szCs w:val="24"/>
    </w:rPr>
  </w:style>
  <w:style w:type="paragraph" w:customStyle="1" w:styleId="tabela">
    <w:name w:val="tabela"/>
    <w:basedOn w:val="Normal"/>
    <w:rsid w:val="00FB6B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FB6B4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FB6B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FB6B42"/>
    <w:pPr>
      <w:spacing w:before="40" w:after="40"/>
      <w:jc w:val="both"/>
    </w:pPr>
    <w:rPr>
      <w:rFonts w:ascii="Trebuchet MS" w:hAnsi="Trebuchet MS"/>
      <w:sz w:val="18"/>
      <w:szCs w:val="22"/>
      <w:lang w:val="it-IT"/>
    </w:rPr>
  </w:style>
  <w:style w:type="paragraph" w:customStyle="1" w:styleId="xl22">
    <w:name w:val="xl22"/>
    <w:basedOn w:val="Normal"/>
    <w:rsid w:val="00FB6B42"/>
    <w:pPr>
      <w:spacing w:before="100" w:beforeAutospacing="1" w:after="100" w:afterAutospacing="1"/>
    </w:pPr>
    <w:rPr>
      <w:rFonts w:ascii="Book Antiqua" w:hAnsi="Book Antiqua"/>
      <w:b/>
      <w:bCs/>
      <w:sz w:val="20"/>
      <w:szCs w:val="20"/>
    </w:rPr>
  </w:style>
  <w:style w:type="paragraph" w:customStyle="1" w:styleId="xl23">
    <w:name w:val="xl23"/>
    <w:basedOn w:val="Normal"/>
    <w:rsid w:val="00FB6B42"/>
    <w:pPr>
      <w:spacing w:before="100" w:beforeAutospacing="1" w:after="100" w:afterAutospacing="1"/>
    </w:pPr>
    <w:rPr>
      <w:rFonts w:ascii="Book Antiqua" w:hAnsi="Book Antiqua"/>
      <w:sz w:val="20"/>
      <w:szCs w:val="20"/>
    </w:rPr>
  </w:style>
  <w:style w:type="paragraph" w:customStyle="1" w:styleId="TITULLIUDHEZIMI">
    <w:name w:val="TITULLI UDHEZIMI"/>
    <w:basedOn w:val="Normal"/>
    <w:rsid w:val="00FB6B42"/>
    <w:pPr>
      <w:spacing w:before="240" w:after="240"/>
      <w:jc w:val="center"/>
    </w:pPr>
    <w:rPr>
      <w:rFonts w:ascii="Book Antiqua" w:hAnsi="Book Antiqua"/>
      <w:b/>
      <w:lang w:val="pl-PL"/>
    </w:rPr>
  </w:style>
  <w:style w:type="paragraph" w:customStyle="1" w:styleId="normaludhezimi">
    <w:name w:val="normal udhezimi"/>
    <w:basedOn w:val="Normal"/>
    <w:rsid w:val="00FB6B42"/>
    <w:pPr>
      <w:spacing w:before="120" w:after="120"/>
      <w:jc w:val="both"/>
    </w:pPr>
    <w:rPr>
      <w:rFonts w:ascii="Book Antiqua" w:hAnsi="Book Antiqua"/>
      <w:sz w:val="22"/>
      <w:lang w:val="pl-PL"/>
    </w:rPr>
  </w:style>
  <w:style w:type="paragraph" w:styleId="BalloonText">
    <w:name w:val="Balloon Text"/>
    <w:basedOn w:val="Normal"/>
    <w:semiHidden/>
    <w:rsid w:val="00FB6B42"/>
    <w:rPr>
      <w:rFonts w:ascii="Tahoma" w:hAnsi="Tahoma" w:cs="Tahoma"/>
      <w:sz w:val="16"/>
      <w:szCs w:val="16"/>
    </w:rPr>
  </w:style>
  <w:style w:type="paragraph" w:styleId="Footer">
    <w:name w:val="footer"/>
    <w:basedOn w:val="Normal"/>
    <w:link w:val="FooterChar"/>
    <w:rsid w:val="00FB6B42"/>
    <w:pPr>
      <w:tabs>
        <w:tab w:val="center" w:pos="4320"/>
        <w:tab w:val="right" w:pos="8640"/>
      </w:tabs>
    </w:pPr>
  </w:style>
  <w:style w:type="character" w:customStyle="1" w:styleId="FooterChar">
    <w:name w:val="Footer Char"/>
    <w:basedOn w:val="DefaultParagraphFont"/>
    <w:link w:val="Footer"/>
    <w:rsid w:val="00FB6B42"/>
    <w:rPr>
      <w:rFonts w:eastAsia="MS Mincho"/>
      <w:sz w:val="24"/>
      <w:szCs w:val="24"/>
      <w:lang w:val="en-US" w:eastAsia="en-US" w:bidi="ar-SA"/>
    </w:rPr>
  </w:style>
  <w:style w:type="character" w:styleId="PageNumber">
    <w:name w:val="page number"/>
    <w:basedOn w:val="DefaultParagraphFont"/>
    <w:rsid w:val="00FB6B42"/>
  </w:style>
  <w:style w:type="table" w:styleId="TableGrid">
    <w:name w:val="Table Grid"/>
    <w:basedOn w:val="TableNormal"/>
    <w:rsid w:val="00FB6B42"/>
    <w:pPr>
      <w:numPr>
        <w:numId w:val="18"/>
      </w:numPr>
      <w:tabs>
        <w:tab w:val="clear" w:pos="648"/>
      </w:tabs>
      <w:ind w:left="0" w:firstLine="0"/>
    </w:pPr>
    <w:rPr>
      <w:rFonts w:eastAsia="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FB6B42"/>
    <w:pPr>
      <w:numPr>
        <w:numId w:val="20"/>
      </w:numPr>
      <w:tabs>
        <w:tab w:val="clear" w:pos="397"/>
        <w:tab w:val="center" w:pos="4153"/>
        <w:tab w:val="right" w:pos="8306"/>
      </w:tabs>
      <w:ind w:left="0" w:firstLine="0"/>
    </w:pPr>
    <w:rPr>
      <w:rFonts w:eastAsia="SimSun"/>
      <w:lang w:val="sq-AL" w:eastAsia="zh-CN"/>
    </w:rPr>
  </w:style>
  <w:style w:type="paragraph" w:customStyle="1" w:styleId="BoxBullet">
    <w:name w:val="Box Bullet"/>
    <w:basedOn w:val="Normal"/>
    <w:rsid w:val="00FB6B42"/>
    <w:pPr>
      <w:numPr>
        <w:numId w:val="5"/>
      </w:numPr>
      <w:tabs>
        <w:tab w:val="left" w:pos="432"/>
        <w:tab w:val="num" w:pos="648"/>
      </w:tabs>
      <w:spacing w:after="40"/>
      <w:ind w:left="432" w:hanging="144"/>
    </w:pPr>
    <w:rPr>
      <w:rFonts w:ascii="Arial" w:eastAsia="Times New Roman" w:hAnsi="Arial"/>
      <w:sz w:val="17"/>
      <w:szCs w:val="20"/>
      <w:lang w:val="en-GB"/>
    </w:rPr>
  </w:style>
  <w:style w:type="character" w:styleId="Hyperlink">
    <w:name w:val="Hyperlink"/>
    <w:basedOn w:val="DefaultParagraphFont"/>
    <w:rsid w:val="00FB6B42"/>
    <w:rPr>
      <w:color w:val="0000FF"/>
      <w:u w:val="single"/>
    </w:rPr>
  </w:style>
  <w:style w:type="paragraph" w:customStyle="1" w:styleId="Chapter">
    <w:name w:val="Chapter"/>
    <w:basedOn w:val="Heading1"/>
    <w:next w:val="Normal"/>
    <w:rsid w:val="00FB6B42"/>
    <w:pPr>
      <w:numPr>
        <w:numId w:val="19"/>
      </w:numPr>
      <w:tabs>
        <w:tab w:val="clear" w:pos="1140"/>
        <w:tab w:val="num" w:pos="397"/>
      </w:tabs>
      <w:ind w:left="1474" w:hanging="1474"/>
    </w:pPr>
    <w:rPr>
      <w:sz w:val="24"/>
      <w:lang w:val="en-GB" w:eastAsia="fr-FR"/>
    </w:rPr>
  </w:style>
  <w:style w:type="paragraph" w:customStyle="1" w:styleId="Sub-article">
    <w:name w:val="Sub-article"/>
    <w:basedOn w:val="Heading2"/>
    <w:next w:val="Normal"/>
    <w:rsid w:val="00FB6B42"/>
    <w:pPr>
      <w:numPr>
        <w:numId w:val="4"/>
      </w:numPr>
      <w:outlineLvl w:val="9"/>
    </w:pPr>
    <w:rPr>
      <w:rFonts w:eastAsia="Times New Roman"/>
      <w:i w:val="0"/>
      <w:lang w:val="fr-FR" w:eastAsia="fr-FR"/>
    </w:rPr>
  </w:style>
  <w:style w:type="paragraph" w:customStyle="1" w:styleId="SubArticle">
    <w:name w:val="Sub Article"/>
    <w:basedOn w:val="Normal"/>
    <w:next w:val="Normal"/>
    <w:rsid w:val="00FB6B42"/>
    <w:pPr>
      <w:numPr>
        <w:ilvl w:val="1"/>
        <w:numId w:val="5"/>
      </w:numPr>
      <w:outlineLvl w:val="1"/>
    </w:pPr>
    <w:rPr>
      <w:rFonts w:eastAsia="Times New Roman"/>
      <w:lang w:val="en-GB" w:eastAsia="fr-FR"/>
    </w:rPr>
  </w:style>
  <w:style w:type="paragraph" w:customStyle="1" w:styleId="Article">
    <w:name w:val="Article"/>
    <w:basedOn w:val="Normal"/>
    <w:next w:val="SubArticle"/>
    <w:rsid w:val="00FB6B42"/>
    <w:pPr>
      <w:numPr>
        <w:numId w:val="22"/>
      </w:numPr>
      <w:tabs>
        <w:tab w:val="clear" w:pos="1080"/>
        <w:tab w:val="num" w:pos="648"/>
      </w:tabs>
      <w:ind w:left="432" w:hanging="144"/>
      <w:outlineLvl w:val="0"/>
    </w:pPr>
    <w:rPr>
      <w:rFonts w:eastAsia="Times New Roman"/>
      <w:lang w:val="en-GB" w:eastAsia="fr-FR"/>
    </w:rPr>
  </w:style>
  <w:style w:type="paragraph" w:styleId="ListBullet0">
    <w:name w:val="List Bullet"/>
    <w:basedOn w:val="Normal"/>
    <w:rsid w:val="00FB6B42"/>
    <w:rPr>
      <w:rFonts w:eastAsia="Times New Roman"/>
      <w:lang w:val="en-GB" w:eastAsia="fr-FR"/>
    </w:rPr>
  </w:style>
  <w:style w:type="paragraph" w:customStyle="1" w:styleId="List2">
    <w:name w:val="List2"/>
    <w:basedOn w:val="ListBullet0"/>
    <w:next w:val="BodyText"/>
    <w:rsid w:val="00FB6B42"/>
    <w:pPr>
      <w:numPr>
        <w:numId w:val="7"/>
      </w:numPr>
    </w:pPr>
  </w:style>
  <w:style w:type="paragraph" w:customStyle="1" w:styleId="StyleLatinArialComplexeArial16ptGrasAvant0cmP">
    <w:name w:val="Style (Latin) Arial (Complexe) Arial 16 pt Gras Avant : 0 cm P..."/>
    <w:basedOn w:val="Normal"/>
    <w:rsid w:val="00FB6B42"/>
    <w:rPr>
      <w:rFonts w:ascii="Arial" w:eastAsia="Times New Roman" w:hAnsi="Arial" w:cs="Arial"/>
      <w:b/>
      <w:bCs/>
      <w:sz w:val="32"/>
      <w:szCs w:val="32"/>
      <w:lang w:val="fr-FR" w:eastAsia="fr-FR"/>
    </w:rPr>
  </w:style>
  <w:style w:type="paragraph" w:styleId="NormalWeb">
    <w:name w:val="Normal (Web)"/>
    <w:basedOn w:val="Normal"/>
    <w:rsid w:val="00FB6B42"/>
    <w:pPr>
      <w:spacing w:before="100" w:beforeAutospacing="1" w:after="100" w:afterAutospacing="1"/>
    </w:pPr>
    <w:rPr>
      <w:rFonts w:eastAsia="Times New Roman"/>
      <w:lang w:val="fr-FR" w:eastAsia="fr-FR"/>
    </w:rPr>
  </w:style>
  <w:style w:type="paragraph" w:customStyle="1" w:styleId="TextBox">
    <w:name w:val="Text Box"/>
    <w:basedOn w:val="Normal"/>
    <w:autoRedefine/>
    <w:rsid w:val="00FB6B42"/>
    <w:pPr>
      <w:framePr w:wrap="notBeside" w:vAnchor="text" w:hAnchor="text" w:y="1"/>
    </w:pPr>
    <w:rPr>
      <w:rFonts w:eastAsia="Times New Roman"/>
      <w:lang w:val="en-GB" w:eastAsia="fr-FR"/>
    </w:rPr>
  </w:style>
  <w:style w:type="paragraph" w:customStyle="1" w:styleId="TxtBoxTitle">
    <w:name w:val="Txt Box Title"/>
    <w:basedOn w:val="TextBox"/>
    <w:next w:val="TextBox"/>
    <w:rsid w:val="00FB6B42"/>
    <w:pPr>
      <w:framePr w:wrap="notBeside"/>
      <w:ind w:left="720" w:hanging="720"/>
    </w:pPr>
    <w:rPr>
      <w:b/>
    </w:rPr>
  </w:style>
  <w:style w:type="paragraph" w:styleId="BodyTextIndent">
    <w:name w:val="Body Text Indent"/>
    <w:basedOn w:val="Normal"/>
    <w:rsid w:val="00FB6B42"/>
    <w:pPr>
      <w:ind w:left="1440"/>
    </w:pPr>
    <w:rPr>
      <w:rFonts w:eastAsia="Times New Roman"/>
      <w:lang w:val="en-GB" w:eastAsia="fr-FR"/>
    </w:rPr>
  </w:style>
  <w:style w:type="character" w:customStyle="1" w:styleId="CorpsdetexteCar">
    <w:name w:val="Corps de texte Car"/>
    <w:basedOn w:val="DefaultParagraphFont"/>
    <w:rsid w:val="00FB6B42"/>
    <w:rPr>
      <w:sz w:val="24"/>
      <w:szCs w:val="24"/>
      <w:lang w:val="fr-FR" w:eastAsia="fr-FR" w:bidi="ar-SA"/>
    </w:rPr>
  </w:style>
  <w:style w:type="paragraph" w:customStyle="1" w:styleId="HeadingBold">
    <w:name w:val="Heading Bold"/>
    <w:basedOn w:val="Normal"/>
    <w:next w:val="Heading2"/>
    <w:rsid w:val="00FB6B42"/>
    <w:pPr>
      <w:keepNext/>
      <w:spacing w:before="240" w:after="60"/>
    </w:pPr>
    <w:rPr>
      <w:rFonts w:eastAsia="Times New Roman"/>
      <w:b/>
      <w:szCs w:val="20"/>
      <w:lang w:val="en-GB"/>
    </w:rPr>
  </w:style>
  <w:style w:type="character" w:customStyle="1" w:styleId="ArticleCar">
    <w:name w:val="Article Car"/>
    <w:basedOn w:val="DefaultParagraphFont"/>
    <w:rsid w:val="00FB6B42"/>
    <w:rPr>
      <w:b/>
      <w:sz w:val="24"/>
      <w:szCs w:val="24"/>
      <w:lang w:val="en-GB" w:eastAsia="fr-FR" w:bidi="ar-SA"/>
    </w:rPr>
  </w:style>
  <w:style w:type="paragraph" w:customStyle="1" w:styleId="subsubart">
    <w:name w:val="sub sub art"/>
    <w:basedOn w:val="Normal"/>
    <w:autoRedefine/>
    <w:rsid w:val="00FB6B42"/>
    <w:pPr>
      <w:spacing w:line="360" w:lineRule="auto"/>
    </w:pPr>
    <w:rPr>
      <w:rFonts w:eastAsia="Times New Roman"/>
      <w:lang w:val="en-GB" w:eastAsia="fr-FR"/>
    </w:rPr>
  </w:style>
  <w:style w:type="paragraph" w:customStyle="1" w:styleId="Appendix">
    <w:name w:val="Appendix"/>
    <w:basedOn w:val="Heading4"/>
    <w:rsid w:val="00FB6B42"/>
    <w:rPr>
      <w:rFonts w:ascii="Arial" w:eastAsia="Times New Roman" w:hAnsi="Arial"/>
      <w:i/>
      <w:lang w:val="en-GB" w:eastAsia="fr-FR"/>
    </w:rPr>
  </w:style>
  <w:style w:type="paragraph" w:customStyle="1" w:styleId="font5">
    <w:name w:val="font5"/>
    <w:basedOn w:val="Normal"/>
    <w:rsid w:val="00FB6B42"/>
    <w:pPr>
      <w:spacing w:before="100" w:beforeAutospacing="1" w:after="100" w:afterAutospacing="1"/>
    </w:pPr>
    <w:rPr>
      <w:rFonts w:ascii="Arial" w:eastAsia="Times New Roman" w:hAnsi="Arial" w:cs="Arial"/>
      <w:sz w:val="20"/>
      <w:szCs w:val="20"/>
    </w:rPr>
  </w:style>
  <w:style w:type="paragraph" w:customStyle="1" w:styleId="xl78">
    <w:name w:val="xl78"/>
    <w:basedOn w:val="Normal"/>
    <w:rsid w:val="00FB6B42"/>
    <w:pPr>
      <w:pBdr>
        <w:left w:val="single" w:sz="8" w:space="0" w:color="auto"/>
        <w:right w:val="single" w:sz="8" w:space="0" w:color="auto"/>
      </w:pBdr>
      <w:shd w:val="clear" w:color="auto" w:fill="FFFFFF"/>
      <w:spacing w:before="100" w:beforeAutospacing="1" w:after="100" w:afterAutospacing="1"/>
    </w:pPr>
    <w:rPr>
      <w:rFonts w:ascii="Arial" w:eastAsia="Times New Roman" w:hAnsi="Arial" w:cs="Arial"/>
    </w:rPr>
  </w:style>
  <w:style w:type="paragraph" w:customStyle="1" w:styleId="xl79">
    <w:name w:val="xl79"/>
    <w:basedOn w:val="Normal"/>
    <w:rsid w:val="00FB6B42"/>
    <w:pPr>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pPr>
    <w:rPr>
      <w:rFonts w:ascii="Arial" w:eastAsia="Times New Roman" w:hAnsi="Arial" w:cs="Arial"/>
    </w:rPr>
  </w:style>
  <w:style w:type="paragraph" w:customStyle="1" w:styleId="xl82">
    <w:name w:val="xl82"/>
    <w:basedOn w:val="Normal"/>
    <w:rsid w:val="00FB6B4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i/>
      <w:iCs/>
      <w:sz w:val="18"/>
      <w:szCs w:val="18"/>
    </w:rPr>
  </w:style>
  <w:style w:type="paragraph" w:customStyle="1" w:styleId="xl83">
    <w:name w:val="xl83"/>
    <w:basedOn w:val="Normal"/>
    <w:rsid w:val="00FB6B42"/>
    <w:pPr>
      <w:pBdr>
        <w:left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i/>
      <w:iCs/>
      <w:sz w:val="18"/>
      <w:szCs w:val="18"/>
    </w:rPr>
  </w:style>
  <w:style w:type="paragraph" w:styleId="BodyText2">
    <w:name w:val="Body Text 2"/>
    <w:basedOn w:val="Normal"/>
    <w:rsid w:val="00FB6B42"/>
    <w:rPr>
      <w:rFonts w:eastAsia="Times New Roman"/>
      <w:b/>
      <w:bCs/>
      <w:u w:val="single"/>
      <w:lang w:val="en-GB" w:eastAsia="fr-FR"/>
    </w:rPr>
  </w:style>
  <w:style w:type="character" w:styleId="FollowedHyperlink">
    <w:name w:val="FollowedHyperlink"/>
    <w:basedOn w:val="DefaultParagraphFont"/>
    <w:rsid w:val="00FB6B42"/>
    <w:rPr>
      <w:color w:val="800080"/>
      <w:u w:val="single"/>
    </w:rPr>
  </w:style>
  <w:style w:type="paragraph" w:customStyle="1" w:styleId="TableFigureFooter">
    <w:name w:val="Table/Figure Footer"/>
    <w:rsid w:val="00FB6B42"/>
    <w:pPr>
      <w:numPr>
        <w:numId w:val="23"/>
      </w:numPr>
      <w:tabs>
        <w:tab w:val="clear" w:pos="1620"/>
        <w:tab w:val="left" w:pos="886"/>
      </w:tabs>
      <w:spacing w:before="60" w:after="120"/>
      <w:ind w:left="0" w:firstLine="0"/>
    </w:pPr>
    <w:rPr>
      <w:rFonts w:eastAsia="Batang"/>
      <w:noProof/>
      <w:lang w:val="fr-FR" w:eastAsia="fr-FR"/>
    </w:rPr>
  </w:style>
  <w:style w:type="paragraph" w:customStyle="1" w:styleId="Tabletitleandsubtitle">
    <w:name w:val="Table title and subtitle"/>
    <w:basedOn w:val="Subtitle"/>
    <w:rsid w:val="00FB6B42"/>
    <w:pPr>
      <w:numPr>
        <w:numId w:val="8"/>
      </w:numPr>
      <w:spacing w:before="60"/>
      <w:outlineLvl w:val="9"/>
    </w:pPr>
    <w:rPr>
      <w:rFonts w:ascii="Times New Roman" w:hAnsi="Times New Roman" w:cs="Times New Roman"/>
      <w:i/>
      <w:iCs/>
      <w:lang w:val="en-NZ"/>
    </w:rPr>
  </w:style>
  <w:style w:type="paragraph" w:styleId="Subtitle">
    <w:name w:val="Subtitle"/>
    <w:basedOn w:val="Normal"/>
    <w:qFormat/>
    <w:rsid w:val="00FB6B42"/>
    <w:pPr>
      <w:spacing w:after="60"/>
      <w:jc w:val="center"/>
      <w:outlineLvl w:val="1"/>
    </w:pPr>
    <w:rPr>
      <w:rFonts w:ascii="Arial" w:eastAsia="Times New Roman" w:hAnsi="Arial" w:cs="Arial"/>
      <w:lang w:val="fr-FR" w:eastAsia="fr-FR"/>
    </w:rPr>
  </w:style>
  <w:style w:type="paragraph" w:customStyle="1" w:styleId="List1">
    <w:name w:val="List1"/>
    <w:basedOn w:val="ListBullet0"/>
    <w:next w:val="BodyText"/>
    <w:rsid w:val="00FB6B42"/>
    <w:pPr>
      <w:numPr>
        <w:numId w:val="8"/>
      </w:numPr>
    </w:pPr>
  </w:style>
  <w:style w:type="paragraph" w:customStyle="1" w:styleId="Boxtext0">
    <w:name w:val="Box text"/>
    <w:basedOn w:val="BodyText"/>
    <w:rsid w:val="00FB6B42"/>
    <w:pPr>
      <w:jc w:val="both"/>
    </w:pPr>
    <w:rPr>
      <w:sz w:val="20"/>
      <w:lang w:val="en-GB" w:eastAsia="fr-FR"/>
    </w:rPr>
  </w:style>
  <w:style w:type="paragraph" w:customStyle="1" w:styleId="Boxlist">
    <w:name w:val="Box list"/>
    <w:basedOn w:val="List1"/>
    <w:rsid w:val="00FB6B42"/>
    <w:rPr>
      <w:iCs/>
      <w:sz w:val="20"/>
    </w:rPr>
  </w:style>
  <w:style w:type="paragraph" w:customStyle="1" w:styleId="DocumentTitle">
    <w:name w:val="Document Title"/>
    <w:basedOn w:val="Normal"/>
    <w:next w:val="Normal"/>
    <w:rsid w:val="00FB6B42"/>
    <w:pPr>
      <w:jc w:val="center"/>
    </w:pPr>
    <w:rPr>
      <w:rFonts w:ascii="Arial" w:eastAsia="Times New Roman" w:hAnsi="Arial"/>
      <w:b/>
      <w:sz w:val="32"/>
      <w:lang w:val="fr-FR" w:eastAsia="fr-FR"/>
    </w:rPr>
  </w:style>
  <w:style w:type="paragraph" w:customStyle="1" w:styleId="StyleCentr">
    <w:name w:val="Style Centré"/>
    <w:basedOn w:val="Normal"/>
    <w:rsid w:val="00FB6B42"/>
    <w:pPr>
      <w:numPr>
        <w:numId w:val="24"/>
      </w:numPr>
      <w:tabs>
        <w:tab w:val="clear" w:pos="1440"/>
      </w:tabs>
      <w:ind w:left="0" w:firstLine="0"/>
      <w:jc w:val="center"/>
    </w:pPr>
    <w:rPr>
      <w:rFonts w:eastAsia="Times New Roman"/>
      <w:lang w:val="fr-FR" w:eastAsia="fr-FR"/>
    </w:rPr>
  </w:style>
  <w:style w:type="paragraph" w:customStyle="1" w:styleId="iList">
    <w:name w:val="(i) List"/>
    <w:basedOn w:val="List2"/>
    <w:rsid w:val="00FB6B42"/>
    <w:pPr>
      <w:numPr>
        <w:numId w:val="9"/>
      </w:numPr>
      <w:tabs>
        <w:tab w:val="left" w:pos="2160"/>
      </w:tabs>
      <w:spacing w:before="120" w:after="100" w:afterAutospacing="1"/>
      <w:ind w:left="0" w:firstLine="0"/>
    </w:pPr>
  </w:style>
  <w:style w:type="paragraph" w:customStyle="1" w:styleId="List3">
    <w:name w:val="List3"/>
    <w:basedOn w:val="ListBullet0"/>
    <w:next w:val="BodyText"/>
    <w:rsid w:val="00FB6B42"/>
    <w:pPr>
      <w:tabs>
        <w:tab w:val="num" w:pos="1080"/>
      </w:tabs>
      <w:ind w:left="1080" w:hanging="360"/>
    </w:pPr>
  </w:style>
  <w:style w:type="paragraph" w:customStyle="1" w:styleId="List4">
    <w:name w:val="List4"/>
    <w:basedOn w:val="Normal"/>
    <w:rsid w:val="00FB6B42"/>
    <w:pPr>
      <w:numPr>
        <w:numId w:val="10"/>
      </w:numPr>
    </w:pPr>
    <w:rPr>
      <w:rFonts w:eastAsia="Times New Roman"/>
      <w:lang w:val="fr-FR" w:eastAsia="fr-FR"/>
    </w:rPr>
  </w:style>
  <w:style w:type="paragraph" w:customStyle="1" w:styleId="Heading20">
    <w:name w:val="Heading2"/>
    <w:basedOn w:val="Normal"/>
    <w:rsid w:val="00FB6B42"/>
    <w:pPr>
      <w:jc w:val="both"/>
    </w:pPr>
    <w:rPr>
      <w:rFonts w:ascii="Arial" w:eastAsia="SimSun" w:hAnsi="Arial" w:cs="Arial"/>
      <w:b/>
      <w:bCs/>
      <w:lang w:val="sq-AL"/>
    </w:rPr>
  </w:style>
  <w:style w:type="paragraph" w:styleId="TOC1">
    <w:name w:val="toc 1"/>
    <w:basedOn w:val="Normal"/>
    <w:next w:val="Normal"/>
    <w:autoRedefine/>
    <w:rsid w:val="00FB6B42"/>
    <w:pPr>
      <w:spacing w:before="120" w:after="120"/>
    </w:pPr>
    <w:rPr>
      <w:rFonts w:ascii="Calibri" w:eastAsia="SimSun" w:hAnsi="Calibri"/>
      <w:b/>
      <w:bCs/>
      <w:caps/>
      <w:sz w:val="20"/>
      <w:szCs w:val="20"/>
      <w:lang w:val="sq-AL" w:eastAsia="zh-CN"/>
    </w:rPr>
  </w:style>
  <w:style w:type="paragraph" w:customStyle="1" w:styleId="Char2">
    <w:name w:val=" Char2"/>
    <w:basedOn w:val="Normal"/>
    <w:rsid w:val="00FB6B42"/>
    <w:pPr>
      <w:spacing w:after="160" w:line="240" w:lineRule="exact"/>
    </w:pPr>
    <w:rPr>
      <w:rFonts w:ascii="Tahoma" w:hAnsi="Tahoma"/>
      <w:sz w:val="20"/>
      <w:szCs w:val="20"/>
    </w:rPr>
  </w:style>
  <w:style w:type="paragraph" w:customStyle="1" w:styleId="Heading2TimesNewRoman">
    <w:name w:val="Heading 2 + Times New Roman"/>
    <w:basedOn w:val="Heading1"/>
    <w:rsid w:val="00FB6B42"/>
    <w:rPr>
      <w:rFonts w:ascii="Times New Roman" w:eastAsia="SimSun" w:hAnsi="Times New Roman" w:cs="Times New Roman"/>
      <w:lang w:val="sq-AL" w:eastAsia="zh-CN"/>
    </w:rPr>
  </w:style>
  <w:style w:type="character" w:styleId="CommentReference">
    <w:name w:val="annotation reference"/>
    <w:basedOn w:val="DefaultParagraphFont"/>
    <w:rsid w:val="00FB6B42"/>
    <w:rPr>
      <w:sz w:val="16"/>
      <w:szCs w:val="16"/>
    </w:rPr>
  </w:style>
  <w:style w:type="paragraph" w:styleId="CommentSubject">
    <w:name w:val="annotation subject"/>
    <w:basedOn w:val="CommentText"/>
    <w:next w:val="CommentText"/>
    <w:link w:val="CommentSubjectChar"/>
    <w:rsid w:val="00FB6B42"/>
    <w:rPr>
      <w:b/>
      <w:bCs/>
    </w:rPr>
  </w:style>
  <w:style w:type="character" w:customStyle="1" w:styleId="CommentSubjectChar">
    <w:name w:val="Comment Subject Char"/>
    <w:basedOn w:val="CommentTextChar"/>
    <w:link w:val="CommentSubject"/>
    <w:rsid w:val="00FB6B42"/>
    <w:rPr>
      <w:rFonts w:ascii="Trebuchet MS" w:eastAsia="MS Mincho" w:hAnsi="Trebuchet MS"/>
      <w:b/>
      <w:bCs/>
      <w:lang w:val="en-GB" w:eastAsia="en-US" w:bidi="ar-SA"/>
    </w:rPr>
  </w:style>
  <w:style w:type="paragraph" w:styleId="BodyTextIndent2">
    <w:name w:val="Body Text Indent 2"/>
    <w:basedOn w:val="Normal"/>
    <w:rsid w:val="00FB6B42"/>
    <w:pPr>
      <w:spacing w:after="120" w:line="480" w:lineRule="auto"/>
      <w:ind w:left="360"/>
    </w:pPr>
    <w:rPr>
      <w:rFonts w:eastAsia="Times New Roman"/>
      <w:szCs w:val="30"/>
      <w:lang w:val="sq-AL"/>
    </w:rPr>
  </w:style>
  <w:style w:type="paragraph" w:styleId="BodyText3">
    <w:name w:val="Body Text 3"/>
    <w:basedOn w:val="Normal"/>
    <w:rsid w:val="00FB6B42"/>
    <w:pPr>
      <w:spacing w:after="120"/>
    </w:pPr>
    <w:rPr>
      <w:rFonts w:eastAsia="Times New Roman"/>
      <w:sz w:val="16"/>
      <w:szCs w:val="16"/>
      <w:lang w:val="sq-AL"/>
    </w:rPr>
  </w:style>
  <w:style w:type="paragraph" w:styleId="List">
    <w:name w:val="List"/>
    <w:basedOn w:val="Normal"/>
    <w:rsid w:val="00FB6B42"/>
    <w:pPr>
      <w:ind w:left="283" w:hanging="283"/>
    </w:pPr>
    <w:rPr>
      <w:rFonts w:eastAsia="Times New Roman"/>
      <w:lang w:val="en-GB"/>
    </w:rPr>
  </w:style>
  <w:style w:type="paragraph" w:styleId="Title">
    <w:name w:val="Title"/>
    <w:basedOn w:val="Normal"/>
    <w:qFormat/>
    <w:rsid w:val="00FB6B42"/>
    <w:pPr>
      <w:jc w:val="center"/>
    </w:pPr>
    <w:rPr>
      <w:rFonts w:eastAsia="Times New Roman"/>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jmemaj@minfin.gov.al" TargetMode="External"/><Relationship Id="rId3" Type="http://schemas.openxmlformats.org/officeDocument/2006/relationships/settings" Target="settings.xml"/><Relationship Id="rId7" Type="http://schemas.openxmlformats.org/officeDocument/2006/relationships/hyperlink" Target="mailto:fbrahimi@minfin.gov.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4306</Words>
  <Characters>24550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28799</CharactersWithSpaces>
  <SharedDoc>false</SharedDoc>
  <HLinks>
    <vt:vector size="12" baseType="variant">
      <vt:variant>
        <vt:i4>6094885</vt:i4>
      </vt:variant>
      <vt:variant>
        <vt:i4>3</vt:i4>
      </vt:variant>
      <vt:variant>
        <vt:i4>0</vt:i4>
      </vt:variant>
      <vt:variant>
        <vt:i4>5</vt:i4>
      </vt:variant>
      <vt:variant>
        <vt:lpwstr>mailto:jmemaj@minfin.gov.al</vt:lpwstr>
      </vt:variant>
      <vt:variant>
        <vt:lpwstr/>
      </vt:variant>
      <vt:variant>
        <vt:i4>2228300</vt:i4>
      </vt:variant>
      <vt:variant>
        <vt:i4>0</vt:i4>
      </vt:variant>
      <vt:variant>
        <vt:i4>0</vt:i4>
      </vt:variant>
      <vt:variant>
        <vt:i4>5</vt:i4>
      </vt:variant>
      <vt:variant>
        <vt:lpwstr>mailto:fbrahimi@minfin.gov.al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