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3BE" w:rsidRPr="00B44EBA" w:rsidRDefault="00F733BE" w:rsidP="00F733B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4EBA">
        <w:rPr>
          <w:sz w:val="21"/>
          <w:szCs w:val="21"/>
        </w:rPr>
        <w:t>Udhëzim</w:t>
      </w:r>
    </w:p>
    <w:p w:rsidR="00F733BE" w:rsidRPr="00B44EBA" w:rsidRDefault="00F733BE" w:rsidP="00F733BE">
      <w:pPr>
        <w:pStyle w:val="NumriData"/>
        <w:keepNext w:val="0"/>
        <w:rPr>
          <w:sz w:val="21"/>
          <w:szCs w:val="21"/>
        </w:rPr>
      </w:pPr>
      <w:r w:rsidRPr="00B44EBA">
        <w:rPr>
          <w:sz w:val="21"/>
          <w:szCs w:val="21"/>
        </w:rPr>
        <w:t>Nr.13, datë 14.4.2010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</w:p>
    <w:p w:rsidR="00F733BE" w:rsidRPr="00B44EBA" w:rsidRDefault="00F733BE" w:rsidP="00F733BE">
      <w:pPr>
        <w:pStyle w:val="Titulli0"/>
        <w:keepNext w:val="0"/>
        <w:rPr>
          <w:sz w:val="21"/>
          <w:szCs w:val="21"/>
        </w:rPr>
      </w:pPr>
      <w:r w:rsidRPr="00B44EBA">
        <w:rPr>
          <w:sz w:val="21"/>
          <w:szCs w:val="21"/>
        </w:rPr>
        <w:t>Për një shtesë në udhëzimin nr.24, datë 2.9.2008 “Për procedurat tatimore në Republikën e Shqipërisë“ të ndryshuar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Në zbatim të nenit 102 pika 4 të Kushtetutës së Republikës së Shqipërisë, të nenit 75/1 të ligjit nr.9920, datë 19.5.2008 “Për procedurat tatimore në Republikën e Shqipërisë”, të ndryshuar, të nenit 26 të ligjit nr.7928. datë 27.4.1995 “Për tatimin mbi vlerën e shtuar”, i ndryshuar, Ministri i Financave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</w:p>
    <w:p w:rsidR="00F733BE" w:rsidRPr="00B44EBA" w:rsidRDefault="00F733BE" w:rsidP="00F733BE">
      <w:pPr>
        <w:pStyle w:val="VENDOSI0"/>
        <w:keepNext w:val="0"/>
        <w:rPr>
          <w:sz w:val="21"/>
          <w:szCs w:val="21"/>
        </w:rPr>
      </w:pPr>
      <w:r w:rsidRPr="00B44EBA">
        <w:rPr>
          <w:sz w:val="21"/>
          <w:szCs w:val="21"/>
        </w:rPr>
        <w:t>UdhëzOn: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Në udhëzimin nr.24, datë 2.9.2008 “Për procedurat tatimore në Republikën e Shqipërisë“, i ndryshuar, bëhen shtesat dhe ndryshimet e mëposhtme: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Në fund të pikës 75/1.4 shtohen paragrafët me përmbajtjen e mëposhtme: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Në rast se tatimpaguesi në administratën tatimore rezulton me situatë kreditore të TVSH-së, e cila ka plotësuar kushtet ligjore për t’u rimbursuar, dhe njëkohësisht në administratën doganore dhe me situatë debitore për TVSH-në e shtyrë në import, bazuar në pikën 2.1 të nenit 26 të ligjit nr.7928, datë 27.4.1995 “Për tatimin mbi vlerën e shtuar”, i ndryshuar, ka të drejtë të paraqesë kërkesë me shkrim pranë Ministrit të Financave, në të cilën të kërkojë destinimin e shumës së kërkuar për rimbursimin e TVSH-së për t’u kaluar nga organi doganor, për likuidimin e shumës së TVSH-së debitore që ka në administratën doganore. Me paraqitjen e kërkesës nga tatimpaguesi, Ministria e Financave u kërkon informacion strukturave përkatëse doganore dhe tatimore, lidhur me situatën e tatimpaguesit, sipas dokumentacionit: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1.Vërtetim i lëshuar nga Drejtori i Përgjithshëm i Tatimeve mbi situatën e tatimpaguesit, duke përcaktuar shumën e TVSH-së kreditore, shumën e likuidimeve të detyrimeve të tjera tatimore, si dhe faktin që ky vërtetim është lëshuar me kërkesë të Ministrisë së Financave për qëllime të kompensimit të detyrimeve të TVSH-së.</w:t>
      </w:r>
    </w:p>
    <w:p w:rsidR="00F733BE" w:rsidRPr="00B44EBA" w:rsidRDefault="00F733BE" w:rsidP="00F733BE">
      <w:pPr>
        <w:pStyle w:val="Paragrafi0"/>
        <w:rPr>
          <w:sz w:val="21"/>
          <w:szCs w:val="21"/>
        </w:rPr>
      </w:pPr>
      <w:r w:rsidRPr="00B44EBA">
        <w:rPr>
          <w:sz w:val="21"/>
          <w:szCs w:val="21"/>
        </w:rPr>
        <w:t>2.Vërtetim i bashkëlidhet situata e TVSH-së, që provon ekzistencën e tepricës kreditore të TVSH-së. Vërtetimi i lëshuar nga Drejtori i Përgjithshëm i Doganave, duke përcaktuar shumën e TVSH-së debitore, si dhe duke përcaktuar se ky vërtetim është lëshuar me kërkesë të Ministrisë së Financave për kompensimin e detyrimeve të TVSH-së si rezultat i zbatimit të skemës së shtyrjes së TVSH-së. Vërtetimit i bashkëlidhet situata e TVSH-së, si dhe dokumentacioni që provon ekzistencën e detyrimit nga skema e shtyrjes së TVSH-së.</w:t>
      </w:r>
    </w:p>
    <w:p w:rsidR="00F733BE" w:rsidRPr="004E11E2" w:rsidRDefault="00F733BE" w:rsidP="00F733BE">
      <w:pPr>
        <w:pStyle w:val="Paragrafi0"/>
        <w:rPr>
          <w:sz w:val="21"/>
          <w:szCs w:val="21"/>
          <w:lang w:val="it-IT"/>
        </w:rPr>
      </w:pPr>
      <w:r w:rsidRPr="004E11E2">
        <w:rPr>
          <w:sz w:val="21"/>
          <w:szCs w:val="21"/>
          <w:lang w:val="it-IT"/>
        </w:rPr>
        <w:t>Drejtoria e Përgjithshme e Tatimeve dhe e Doganave kthejnë përgjigje brenda 14 ditëve nga data e protokollimit të kërkesës nga Ministria e Financave.</w:t>
      </w:r>
    </w:p>
    <w:p w:rsidR="00F733BE" w:rsidRPr="004E11E2" w:rsidRDefault="00F733BE" w:rsidP="00F733BE">
      <w:pPr>
        <w:pStyle w:val="Paragrafi0"/>
        <w:rPr>
          <w:sz w:val="21"/>
          <w:szCs w:val="21"/>
          <w:lang w:val="it-IT"/>
        </w:rPr>
      </w:pPr>
      <w:r w:rsidRPr="004E11E2">
        <w:rPr>
          <w:sz w:val="21"/>
          <w:szCs w:val="21"/>
          <w:lang w:val="it-IT"/>
        </w:rPr>
        <w:t>Pas miratimit nga Ministri i Financave i aktmarrëveshjes, të nënshkruar nga titullarët e administratave përkatëse (Drejtori i Përgjithshëm i Doganave dhe Drejtori i Përgjithshëm i Tatimeve) dhe subjektit tatimpagues, administratat përkatëse kryejnë procedurat tekniko-administrative, të parashikuara në këtë udhëzim, me qëllim realizimin e kompensimit të detyrimeve tatimore dhe doganore për TVSH-në, me tepricën kreditore të saj. Modeli i aktmarrëveshjes, i bashkëlidhet këtij udhëzimi. Përdorimi i shumës së TVSH-së kreditore në organet tatimore likuidon vetëm shumën e TVSH-së së shtyrë në import. Kompensimi realizohet pasi administratave përkatëse u ka mbërritur aktmarrëveshja, e nënshkruar nga titullarët e administratave tatimore dhe doganore, subjekti tatimpagues, si dhe e miratuar nga Ministri i Financave. Në bazë të aktmarrëveshjes, teprica kreditore pakësohet tek organet tatimore dhe aktmarrëveshja merr vlefshmërinë e pagesës për të proceduar më tej për mbylljen e skemës së shtyrjes së TVSH-së në organet tatimore.</w:t>
      </w:r>
    </w:p>
    <w:p w:rsidR="00F733BE" w:rsidRPr="004E11E2" w:rsidRDefault="00F733BE" w:rsidP="00F733BE">
      <w:pPr>
        <w:pStyle w:val="Paragrafi0"/>
        <w:spacing w:line="0" w:lineRule="atLeast"/>
        <w:rPr>
          <w:sz w:val="21"/>
          <w:szCs w:val="21"/>
          <w:lang w:val="it-IT"/>
        </w:rPr>
      </w:pPr>
      <w:r w:rsidRPr="004E11E2">
        <w:rPr>
          <w:sz w:val="21"/>
          <w:szCs w:val="21"/>
          <w:lang w:val="it-IT"/>
        </w:rPr>
        <w:t>Pas miratimit nga Ministri i Financave, situata debitore e tatimpaguesit konsiderohet automatikisht e çliruar dhe dy administratat vijojnë procedurat e mëtejshme për sistemimin dhe kontabilizimin e pozicioneve debitore dhe kreditore të TVSH-së, si dhe njoftojnë me shkrim tatimpaguesin për situatën e tij debitore apo kreditore pas sistemimit, në të dy administratat tatimore dhe doganore.</w:t>
      </w:r>
    </w:p>
    <w:p w:rsidR="00F733BE" w:rsidRPr="004E11E2" w:rsidRDefault="00F733BE" w:rsidP="00F733BE">
      <w:pPr>
        <w:pStyle w:val="Paragrafi0"/>
        <w:spacing w:line="20" w:lineRule="atLeast"/>
        <w:rPr>
          <w:sz w:val="21"/>
          <w:szCs w:val="21"/>
          <w:lang w:val="it-IT"/>
        </w:rPr>
      </w:pPr>
      <w:r w:rsidRPr="004E11E2">
        <w:rPr>
          <w:sz w:val="21"/>
          <w:szCs w:val="21"/>
          <w:lang w:val="it-IT"/>
        </w:rPr>
        <w:lastRenderedPageBreak/>
        <w:t>Ky udhëzim hyn në fuqi me botimin në Fletoren Zyrtare.</w:t>
      </w:r>
    </w:p>
    <w:p w:rsidR="00F733BE" w:rsidRPr="00F733BE" w:rsidRDefault="00F733BE" w:rsidP="00F733BE">
      <w:pPr>
        <w:pStyle w:val="Autoriteti"/>
      </w:pPr>
      <w:r w:rsidRPr="00F733BE">
        <w:t>Ministri i Financave</w:t>
      </w:r>
    </w:p>
    <w:p w:rsidR="00F733BE" w:rsidRPr="00F733BE" w:rsidRDefault="00F733BE" w:rsidP="00F733BE">
      <w:pPr>
        <w:pStyle w:val="AutoritetiEmer"/>
      </w:pPr>
      <w:r w:rsidRPr="00F733BE">
        <w:t xml:space="preserve">Ridvan Bode </w:t>
      </w:r>
    </w:p>
    <w:p w:rsidR="00F733BE" w:rsidRPr="00F733BE" w:rsidRDefault="004C601C" w:rsidP="00F733BE">
      <w:pPr>
        <w:pStyle w:val="Paragrafi0"/>
        <w:rPr>
          <w:lang w:val="it-IT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2877820</wp:posOffset>
            </wp:positionH>
            <wp:positionV relativeFrom="paragraph">
              <wp:posOffset>127635</wp:posOffset>
            </wp:positionV>
            <wp:extent cx="436880" cy="573405"/>
            <wp:effectExtent l="0" t="0" r="1270" b="0"/>
            <wp:wrapThrough wrapText="bothSides">
              <wp:wrapPolygon edited="0">
                <wp:start x="0" y="0"/>
                <wp:lineTo x="0" y="20811"/>
                <wp:lineTo x="20721" y="20811"/>
                <wp:lineTo x="20721" y="0"/>
                <wp:lineTo x="0" y="0"/>
              </wp:wrapPolygon>
            </wp:wrapThrough>
            <wp:docPr id="2" name="Picture 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  <w:r w:rsidRPr="00F733BE">
        <w:rPr>
          <w:lang w:val="it-IT"/>
        </w:rPr>
        <w:t xml:space="preserve">                               </w:t>
      </w: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ind w:left="2880"/>
        <w:rPr>
          <w:lang w:val="it-IT"/>
        </w:rPr>
      </w:pPr>
      <w:r w:rsidRPr="00F733BE">
        <w:rPr>
          <w:lang w:val="it-IT"/>
        </w:rPr>
        <w:t>REPUBLIKA E SHQIPËRISË</w:t>
      </w:r>
    </w:p>
    <w:p w:rsidR="00F733BE" w:rsidRPr="00F733BE" w:rsidRDefault="00F733BE" w:rsidP="00F733BE">
      <w:pPr>
        <w:pStyle w:val="Paragrafi0"/>
        <w:ind w:left="2880"/>
        <w:rPr>
          <w:lang w:val="it-IT"/>
        </w:rPr>
      </w:pPr>
      <w:r w:rsidRPr="00F733BE">
        <w:rPr>
          <w:lang w:val="it-IT"/>
        </w:rPr>
        <w:t>MINISTRIA E FINANCAVE</w:t>
      </w:r>
    </w:p>
    <w:p w:rsidR="00F733BE" w:rsidRPr="00F733BE" w:rsidRDefault="00F733BE" w:rsidP="00F733BE">
      <w:pPr>
        <w:pStyle w:val="Paragrafi0"/>
        <w:jc w:val="center"/>
        <w:rPr>
          <w:lang w:val="it-IT"/>
        </w:rPr>
      </w:pPr>
      <w:r w:rsidRPr="00F733BE">
        <w:rPr>
          <w:lang w:val="it-IT"/>
        </w:rPr>
        <w:t>Nr.3959/2/prot</w:t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  <w:t>Tiranë, më 14.4.2010</w:t>
      </w: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Titulli0"/>
        <w:keepNext w:val="0"/>
        <w:rPr>
          <w:lang w:val="it-IT"/>
        </w:rPr>
      </w:pPr>
      <w:r w:rsidRPr="00F733BE">
        <w:rPr>
          <w:lang w:val="it-IT"/>
        </w:rPr>
        <w:t>AKTMARRËVESHJE</w:t>
      </w: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</w:p>
    <w:p w:rsidR="00F733BE" w:rsidRPr="00F733BE" w:rsidRDefault="00F733BE" w:rsidP="00F733BE">
      <w:pPr>
        <w:pStyle w:val="Paragrafi0"/>
        <w:rPr>
          <w:lang w:val="it-IT"/>
        </w:rPr>
      </w:pPr>
      <w:r w:rsidRPr="00F733BE">
        <w:rPr>
          <w:lang w:val="it-IT"/>
        </w:rPr>
        <w:t>Në zbatim të udhëzimit të Ministrit të Financave, nr.13, datë 14.4.2010 “Për një shtesë në udhëzimin nr.24, datë 2.9.2008 “Për procedurat tatimore në Republikën e Shqipërisë“, të ndryshuar, palët e përfshira në këtë aktmarrëveshje bien dakord sa më poshtë:</w:t>
      </w:r>
    </w:p>
    <w:p w:rsidR="00F733BE" w:rsidRPr="00F733BE" w:rsidRDefault="00F733BE" w:rsidP="00F733BE">
      <w:pPr>
        <w:pStyle w:val="Paragrafi0"/>
        <w:rPr>
          <w:lang w:val="it-IT"/>
        </w:rPr>
      </w:pPr>
      <w:r w:rsidRPr="00F733BE">
        <w:rPr>
          <w:lang w:val="it-IT"/>
        </w:rPr>
        <w:t>-Të njohim dhe të pranojnë kompensimin e detyrimit doganor të TVSH-së së shtyrë në import me tepricën kreditore të TVSH në organin tatimor, detyrim apo tepricë e cila është provuar dhe pranuar nga të gjitha palët e përfshira në këtë marrëveshje, deri në ditën e nënshkrimit të saj.</w:t>
      </w:r>
    </w:p>
    <w:p w:rsidR="00F733BE" w:rsidRPr="00F733BE" w:rsidRDefault="00F733BE" w:rsidP="00F733BE">
      <w:pPr>
        <w:pStyle w:val="Paragrafi0"/>
        <w:rPr>
          <w:lang w:val="it-IT"/>
        </w:rPr>
      </w:pPr>
      <w:r w:rsidRPr="00F733BE">
        <w:rPr>
          <w:lang w:val="it-IT"/>
        </w:rPr>
        <w:t>- Me nënshkrimin e aktmarrëveshjes, teprica kreditore pakësohet tek organet tatimore dhe kjo aktmarrëveshje merr vlefshmërinë e pagesës për të procedurar më tej për mbylljen e skemës së shtyrjes së TVSH-së në import.</w:t>
      </w:r>
    </w:p>
    <w:p w:rsidR="00F733BE" w:rsidRPr="00F733BE" w:rsidRDefault="00F733BE" w:rsidP="00F733BE">
      <w:pPr>
        <w:pStyle w:val="Paragrafi0"/>
        <w:rPr>
          <w:lang w:val="it-IT"/>
        </w:rPr>
      </w:pPr>
      <w:r w:rsidRPr="00F733BE">
        <w:rPr>
          <w:lang w:val="it-IT"/>
        </w:rPr>
        <w:t>- Shuma e njohur dhe pranuar nga palët në këtë marrëveshje është në masën ………………… lekë.</w:t>
      </w:r>
    </w:p>
    <w:p w:rsidR="00F733BE" w:rsidRDefault="00F733BE" w:rsidP="00F733BE">
      <w:pPr>
        <w:pStyle w:val="Paragrafi0"/>
      </w:pPr>
      <w:r w:rsidRPr="00F733BE">
        <w:rPr>
          <w:lang w:val="it-IT"/>
        </w:rPr>
        <w:t xml:space="preserve">- Kjo aktmarrëveshje nënshkruhet nga subjekti tatimpagues…………………………………, me NIPT………………, i regjistruar pranë drejtorisë tatimore rajonale………………e përfaqësuar nga z/znj…………………………… </w:t>
      </w:r>
      <w:r>
        <w:t>me nr.pasaporte……………rezident në ……………………………………..</w:t>
      </w:r>
    </w:p>
    <w:p w:rsidR="00F733BE" w:rsidRDefault="00F733BE" w:rsidP="00F733BE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733BE" w:rsidTr="00F733BE">
        <w:tc>
          <w:tcPr>
            <w:tcW w:w="4643" w:type="dxa"/>
          </w:tcPr>
          <w:p w:rsidR="00F733BE" w:rsidRPr="00F733BE" w:rsidRDefault="00F733BE" w:rsidP="00F733BE">
            <w:pPr>
              <w:pStyle w:val="Paragrafi0"/>
              <w:ind w:firstLine="0"/>
              <w:rPr>
                <w:lang w:val="it-IT"/>
              </w:rPr>
            </w:pPr>
            <w:r w:rsidRPr="00F733BE">
              <w:rPr>
                <w:lang w:val="it-IT"/>
              </w:rPr>
              <w:t>Drejtori i Përgjithshëm i Doganave</w:t>
            </w:r>
          </w:p>
          <w:p w:rsidR="00F733BE" w:rsidRPr="00F733BE" w:rsidRDefault="00F733BE" w:rsidP="00F733BE">
            <w:pPr>
              <w:pStyle w:val="Paragrafi0"/>
              <w:ind w:firstLine="0"/>
              <w:rPr>
                <w:lang w:val="it-IT"/>
              </w:rPr>
            </w:pPr>
            <w:r w:rsidRPr="00F733BE">
              <w:rPr>
                <w:lang w:val="it-IT"/>
              </w:rPr>
              <w:t>Emër, mbiemër, firma</w:t>
            </w:r>
          </w:p>
        </w:tc>
        <w:tc>
          <w:tcPr>
            <w:tcW w:w="4644" w:type="dxa"/>
          </w:tcPr>
          <w:p w:rsidR="00F733BE" w:rsidRPr="00F733BE" w:rsidRDefault="00F733BE" w:rsidP="00F733B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F733BE">
              <w:rPr>
                <w:lang w:val="it-IT"/>
              </w:rPr>
              <w:t>Drejtori i Përgjithshëm i Tatimeve</w:t>
            </w:r>
          </w:p>
          <w:p w:rsidR="00F733BE" w:rsidRPr="00F733BE" w:rsidRDefault="00F733BE" w:rsidP="00F733B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F733BE">
              <w:rPr>
                <w:lang w:val="it-IT"/>
              </w:rPr>
              <w:t>Emër, mbiemër, firma</w:t>
            </w:r>
          </w:p>
        </w:tc>
      </w:tr>
    </w:tbl>
    <w:p w:rsidR="00F733BE" w:rsidRPr="00F733BE" w:rsidRDefault="00F733BE" w:rsidP="00F733BE">
      <w:pPr>
        <w:pStyle w:val="Paragrafi0"/>
        <w:rPr>
          <w:lang w:val="it-IT"/>
        </w:rPr>
      </w:pPr>
    </w:p>
    <w:p w:rsidR="00F733BE" w:rsidRDefault="00F733BE" w:rsidP="00F733BE">
      <w:pPr>
        <w:pStyle w:val="Paragrafi0"/>
        <w:ind w:firstLine="0"/>
      </w:pP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 w:rsidRPr="00F733BE">
        <w:rPr>
          <w:lang w:val="it-IT"/>
        </w:rPr>
        <w:tab/>
      </w:r>
      <w:r>
        <w:t>Tatimpaguesi</w:t>
      </w:r>
    </w:p>
    <w:p w:rsidR="00F733BE" w:rsidRDefault="00F733BE" w:rsidP="00F733BE">
      <w:pPr>
        <w:pStyle w:val="Paragrafi0"/>
        <w:ind w:left="2880" w:firstLine="0"/>
      </w:pPr>
      <w:r>
        <w:t xml:space="preserve">   </w:t>
      </w:r>
      <w:r>
        <w:tab/>
        <w:t xml:space="preserve">   Emër, mbiemër, firma    </w:t>
      </w:r>
    </w:p>
    <w:sectPr w:rsidR="00F733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33B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01C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33BE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73535B-5A7A-4C94-BD59-3E6C7A1F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3BE"/>
    <w:pPr>
      <w:jc w:val="both"/>
    </w:pPr>
    <w:rPr>
      <w:rFonts w:ascii="Arial" w:eastAsia="MS Mincho" w:hAnsi="Arial"/>
      <w:sz w:val="22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</w:pPr>
    <w:rPr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</w:pPr>
    <w:rPr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</w:pPr>
    <w:rPr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</w:pPr>
    <w:rPr>
      <w:sz w:val="20"/>
      <w:szCs w:val="20"/>
      <w:lang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</w:pPr>
    <w:rPr>
      <w:rFonts w:ascii="Book Antiqua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eastAsia="Times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table" w:styleId="TableGrid">
    <w:name w:val="Table Grid"/>
    <w:basedOn w:val="TableNormal"/>
    <w:rsid w:val="00F733BE"/>
    <w:pPr>
      <w:jc w:val="both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F733B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