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B16" w:rsidRPr="00E74947" w:rsidRDefault="00FF3B16" w:rsidP="00FF3B16">
      <w:pPr>
        <w:pStyle w:val="Akti"/>
      </w:pPr>
      <w:bookmarkStart w:id="0" w:name="_GoBack"/>
      <w:bookmarkEnd w:id="0"/>
      <w:r>
        <w:t>U</w:t>
      </w:r>
      <w:r w:rsidRPr="00E74947">
        <w:t>DHË</w:t>
      </w:r>
      <w:r>
        <w:t>ZI</w:t>
      </w:r>
      <w:r w:rsidRPr="00E74947">
        <w:t>M</w:t>
      </w:r>
    </w:p>
    <w:p w:rsidR="00FF3B16" w:rsidRPr="00E74947" w:rsidRDefault="00FF3B16" w:rsidP="00FF3B16">
      <w:pPr>
        <w:pStyle w:val="NumriData"/>
      </w:pPr>
      <w:r>
        <w:t>Nr.27, datë 18.8.</w:t>
      </w:r>
      <w:r w:rsidRPr="00E74947">
        <w:t>2010</w:t>
      </w:r>
    </w:p>
    <w:p w:rsidR="00FF3B16" w:rsidRPr="00BA5998" w:rsidRDefault="00FF3B16" w:rsidP="00FF3B16">
      <w:pPr>
        <w:pStyle w:val="Paragrafi0"/>
        <w:ind w:firstLine="0"/>
        <w:rPr>
          <w:sz w:val="14"/>
        </w:rPr>
      </w:pPr>
    </w:p>
    <w:p w:rsidR="00FF3B16" w:rsidRPr="00BA5998" w:rsidRDefault="00FF3B16" w:rsidP="00FF3B16">
      <w:pPr>
        <w:pStyle w:val="Titulli0"/>
        <w:rPr>
          <w:sz w:val="14"/>
        </w:rPr>
      </w:pPr>
      <w:r w:rsidRPr="00E74947">
        <w:t>PËR</w:t>
      </w:r>
      <w:r>
        <w:t xml:space="preserve"> </w:t>
      </w:r>
      <w:r w:rsidRPr="00E74947">
        <w:t>DISA SHTESA E NDRY</w:t>
      </w:r>
      <w:r>
        <w:t>SHIME NË UDHËZIMIN Nr.24, DATË 2.</w:t>
      </w:r>
      <w:r w:rsidRPr="00E74947">
        <w:t>9.</w:t>
      </w:r>
      <w:r>
        <w:t>2008 ”PËR PROC</w:t>
      </w:r>
      <w:r w:rsidRPr="00E74947">
        <w:t>EDURAT TATIMORE NË REPUBLIKËN E SHQIPËRISË”</w:t>
      </w:r>
      <w:r w:rsidRPr="00E74947">
        <w:br/>
      </w:r>
    </w:p>
    <w:p w:rsidR="00FF3B16" w:rsidRPr="00BA5998" w:rsidRDefault="00FF3B16" w:rsidP="00FF3B16">
      <w:pPr>
        <w:pStyle w:val="BazLigjPropozues"/>
      </w:pPr>
      <w:r w:rsidRPr="00BA5998">
        <w:t>Në mbështetje të nenit 102 pika 4 të Kushtetutës së Republikës së Shqipërisë, të ligjit nr</w:t>
      </w:r>
      <w:r>
        <w:t>.9920, datë 19.05.2008 "Për proc</w:t>
      </w:r>
      <w:r w:rsidRPr="00BA5998">
        <w:t>edurat tatimore në Republikën e Shqipërisë", i ndryshuar, Ministri i Financ</w:t>
      </w:r>
      <w:r>
        <w:t>ave</w:t>
      </w:r>
    </w:p>
    <w:p w:rsidR="00FF3B16" w:rsidRPr="00BA5998" w:rsidRDefault="00FF3B16" w:rsidP="00FF3B16">
      <w:pPr>
        <w:pStyle w:val="Paragrafi0"/>
        <w:ind w:firstLine="0"/>
        <w:rPr>
          <w:sz w:val="12"/>
        </w:rPr>
      </w:pPr>
    </w:p>
    <w:p w:rsidR="00FF3B16" w:rsidRDefault="00FF3B16" w:rsidP="00FF3B16">
      <w:pPr>
        <w:pStyle w:val="VENDOSI0"/>
      </w:pPr>
      <w:r w:rsidRPr="00BA5998">
        <w:t>UDHËZON:</w:t>
      </w:r>
    </w:p>
    <w:p w:rsidR="00FF3B16" w:rsidRPr="00BA5998" w:rsidRDefault="00FF3B16" w:rsidP="00FF3B16">
      <w:pPr>
        <w:rPr>
          <w:sz w:val="12"/>
          <w:lang w:val="en-GB"/>
        </w:rPr>
      </w:pPr>
    </w:p>
    <w:p w:rsidR="00FF3B16" w:rsidRPr="00BA5998" w:rsidRDefault="00FF3B16" w:rsidP="00FF3B16">
      <w:pPr>
        <w:pStyle w:val="Paragrafi0"/>
      </w:pPr>
      <w:r>
        <w:t xml:space="preserve">Në </w:t>
      </w:r>
      <w:r w:rsidRPr="00BA5998">
        <w:t xml:space="preserve">udhëzimin </w:t>
      </w:r>
      <w:r>
        <w:t>nr.24, datë 2.9.2008 “Për proc</w:t>
      </w:r>
      <w:r w:rsidRPr="00BA5998">
        <w:t>edurat tatimore në Republikën e Shqipërisë”, bëhen këto shtesa e ndryshime:</w:t>
      </w:r>
    </w:p>
    <w:p w:rsidR="00FF3B16" w:rsidRPr="00FF3B16" w:rsidRDefault="00FF3B16" w:rsidP="00FF3B16">
      <w:pPr>
        <w:pStyle w:val="Paragrafi0"/>
        <w:rPr>
          <w:lang w:val="it-IT"/>
        </w:rPr>
      </w:pPr>
      <w:r w:rsidRPr="00FF3B16">
        <w:rPr>
          <w:lang w:val="it-IT"/>
        </w:rPr>
        <w:t>1. Paragrafi i dytë i pikës 75/1.4, ndryshohet si më poshtë vijon:</w:t>
      </w:r>
    </w:p>
    <w:p w:rsidR="00FF3B16" w:rsidRPr="00FF3B16" w:rsidRDefault="00FF3B16" w:rsidP="00FF3B16">
      <w:pPr>
        <w:pStyle w:val="Paragrafi0"/>
        <w:rPr>
          <w:lang w:val="it-IT"/>
        </w:rPr>
      </w:pPr>
      <w:r w:rsidRPr="00FF3B16">
        <w:rPr>
          <w:lang w:val="it-IT"/>
        </w:rPr>
        <w:t>“Në rast se tatimpaguesi në administratën tatimore rezulton me situatë kreditore të TVSH-së, e cila ka plotësuar kushtet ligjore për t'u rimbursuar dhe njëkohësisht në administratën doganore me situatë debitore për TVSH-në e shtyrë në import për makineri e pajisje me cikël të zhvillimit të investimit dhe fillimi i ofrimit të prodhimit apo shërbimit mbi 12 muaj, për të cilat është aplikuar skema e shtyrjes sipas përcaktimeve të sesionit I/I të vendimit nr.559, datë 16.8.2006 të Këshillit të Ministrave "Për skemën e shtyrjes së pagesës së TVSH-së, për makineritë dhe pajisjet e importuara, si dhe energjinë elektrike, të importuar nga KESH-sh.a., ka të drejtë të paraqesë kërkesë me shkrim pranë Ministrit të Financave, në të cilën të kërkojë destinimin e shumës së TVSH-së së konfirmuar si të rimbursueshme nga organet tatimore, për likuidimin e shumës së TVSH-së debitore që ka në administratën doganore. Me paraqitjen e kërkesës nga tatimpaguesi, Ministria e Financave u kërkon informacion strukturave përkatëse doganore dhe tatimore, lidhur me situatën e tatimpaguesit, sipas dokumentacionit:”</w:t>
      </w:r>
    </w:p>
    <w:p w:rsidR="00FF3B16" w:rsidRPr="00FF3B16" w:rsidRDefault="00FF3B16" w:rsidP="00FF3B16">
      <w:pPr>
        <w:pStyle w:val="Paragrafi0"/>
        <w:rPr>
          <w:lang w:val="it-IT"/>
        </w:rPr>
      </w:pPr>
      <w:r w:rsidRPr="00FF3B16">
        <w:rPr>
          <w:lang w:val="it-IT"/>
        </w:rPr>
        <w:t>2. Në pikën 133, pas pikës 3, shtohet pika 4 me këtë përmbajtje:</w:t>
      </w:r>
    </w:p>
    <w:p w:rsidR="00FF3B16" w:rsidRPr="00FF3B16" w:rsidRDefault="00FF3B16" w:rsidP="00FF3B16">
      <w:pPr>
        <w:pStyle w:val="Paragrafi0"/>
        <w:rPr>
          <w:lang w:val="it-IT"/>
        </w:rPr>
      </w:pPr>
      <w:r w:rsidRPr="00FF3B16">
        <w:rPr>
          <w:lang w:val="it-IT"/>
        </w:rPr>
        <w:t xml:space="preserve">“4. Për të gjitha shkeljet që ndodhin në periudhat pas hyrjes me fuqi të ligjit nr. 9920, datë 19.05.2008 "Për procedurat tatimore në Republikën e Shqipërisë", i ndryshuar, pavarësisht nga momenti i konstatimit, do të aplikohen dënimet administrative në fuqi në momentin e kryerjes së shkeljes.” </w:t>
      </w:r>
    </w:p>
    <w:p w:rsidR="00FF3B16" w:rsidRPr="00FF3B16" w:rsidRDefault="00FF3B16" w:rsidP="00FF3B16">
      <w:pPr>
        <w:pStyle w:val="Paragrafi0"/>
        <w:rPr>
          <w:lang w:val="it-IT"/>
        </w:rPr>
      </w:pPr>
      <w:bookmarkStart w:id="1" w:name="_Toc207698394"/>
      <w:r w:rsidRPr="00FF3B16">
        <w:rPr>
          <w:lang w:val="it-IT"/>
        </w:rPr>
        <w:t>Në pikën 106 “Objekti i ankimit administrativ tatimor</w:t>
      </w:r>
      <w:bookmarkEnd w:id="1"/>
      <w:r w:rsidRPr="00FF3B16">
        <w:rPr>
          <w:lang w:val="it-IT"/>
        </w:rPr>
        <w:t>”, paragrafi 106.4.2. ndryshohet me këtë përmbajtje.</w:t>
      </w:r>
    </w:p>
    <w:p w:rsidR="00FF3B16" w:rsidRPr="00BA5998" w:rsidRDefault="00FF3B16" w:rsidP="00FF3B16">
      <w:pPr>
        <w:pStyle w:val="Paragrafi0"/>
      </w:pPr>
      <w:r w:rsidRPr="00BA5998">
        <w:t>“106.4.2. Drejtoria e Apelimit Tatimor i dërgon një kopje të ankimit me po</w:t>
      </w:r>
      <w:r>
        <w:t>stë apo në formë</w:t>
      </w:r>
      <w:r w:rsidRPr="00BA5998">
        <w:t xml:space="preserve"> elektronike organit të administratës tatimore që ka nxjerrë ose nuk ka nxjerrë aktin administrativ në fjalë”.</w:t>
      </w:r>
    </w:p>
    <w:p w:rsidR="00FF3B16" w:rsidRPr="00BA5998" w:rsidRDefault="00FF3B16" w:rsidP="00FF3B16">
      <w:pPr>
        <w:pStyle w:val="Paragrafi0"/>
      </w:pPr>
      <w:r w:rsidRPr="00BA5998">
        <w:t>Në pikën 107 “Pagesa e tatimit objekt ankimi administrativ tatimor” paragrafi 107.3.2 ndryshohet me këtë përmbajtje.</w:t>
      </w:r>
    </w:p>
    <w:p w:rsidR="00FF3B16" w:rsidRPr="00BA5998" w:rsidRDefault="00FF3B16" w:rsidP="00FF3B16">
      <w:pPr>
        <w:pStyle w:val="Paragrafi0"/>
      </w:pPr>
      <w:r w:rsidRPr="00BA5998">
        <w:t>“107.3.2. Në</w:t>
      </w:r>
      <w:r>
        <w:t xml:space="preserve"> </w:t>
      </w:r>
      <w:r w:rsidRPr="00BA5998">
        <w:t>qoftë</w:t>
      </w:r>
      <w:r>
        <w:t xml:space="preserve"> </w:t>
      </w:r>
      <w:r w:rsidRPr="00BA5998">
        <w:t>se tatimpaguesi bën ankim kundër nj</w:t>
      </w:r>
      <w:r>
        <w:t>ë detyrimi tatimor dhe në të një</w:t>
      </w:r>
      <w:r w:rsidRPr="00BA5998">
        <w:t>jtën kohë ka paraqitur një kë</w:t>
      </w:r>
      <w:r>
        <w:t>rkesë për kompensim detyrimi (nëpërmjet së</w:t>
      </w:r>
      <w:r w:rsidRPr="00BA5998">
        <w:t xml:space="preserve"> cilës ka argumentuar ko</w:t>
      </w:r>
      <w:r>
        <w:t>mpensimin e detyrimit tatimor që ankimohet me tatime të paguara tepër apo tepricë</w:t>
      </w:r>
      <w:r w:rsidRPr="00BA5998">
        <w:t xml:space="preserve"> kreditore</w:t>
      </w:r>
      <w:r>
        <w:t xml:space="preserve"> nga periudha të mëparshme), në zbatim të neneve 75 dhe 107 të ligjit, Drejtoria Rajonale Tatimore ë</w:t>
      </w:r>
      <w:r w:rsidRPr="00BA5998">
        <w:t xml:space="preserve">shtë e detyruar që brenda një periudhe jo më shumë se 15 </w:t>
      </w:r>
      <w:r>
        <w:t>ditë kalendarike, t’i konfirmojë me shkrim tatimpaguesit pë</w:t>
      </w:r>
      <w:r w:rsidRPr="00BA5998">
        <w:t xml:space="preserve">r kompensimin e detyrimit objekt apelimi ose per moskryerjen e kompensimit. </w:t>
      </w:r>
    </w:p>
    <w:p w:rsidR="00FF3B16" w:rsidRPr="00BA5998" w:rsidRDefault="00FF3B16" w:rsidP="00FF3B16">
      <w:pPr>
        <w:pStyle w:val="Paragrafi0"/>
      </w:pPr>
      <w:r w:rsidRPr="00BA5998">
        <w:t>Në pikën</w:t>
      </w:r>
      <w:r>
        <w:t xml:space="preserve"> 108 “Veprimet e ndërmarra nga Drejtoria e Apelimit T</w:t>
      </w:r>
      <w:r w:rsidRPr="00BA5998">
        <w:t>atimor lidhur me ankimin”, paragrafi</w:t>
      </w:r>
      <w:r>
        <w:t xml:space="preserve"> 108.4 ndryshohet me këtë përmb</w:t>
      </w:r>
      <w:r w:rsidRPr="00BA5998">
        <w:t>a</w:t>
      </w:r>
      <w:r>
        <w:t>j</w:t>
      </w:r>
      <w:r w:rsidRPr="00BA5998">
        <w:t>tje.</w:t>
      </w:r>
    </w:p>
    <w:p w:rsidR="00FF3B16" w:rsidRPr="00BA5998" w:rsidRDefault="00FF3B16" w:rsidP="00FF3B16">
      <w:pPr>
        <w:pStyle w:val="Paragrafi0"/>
      </w:pPr>
      <w:r w:rsidRPr="00BA5998">
        <w:t xml:space="preserve">“108.4. </w:t>
      </w:r>
      <w:r>
        <w:t xml:space="preserve">Ankimuesi ka të drejtë nese e kërkon, </w:t>
      </w:r>
      <w:r w:rsidRPr="00BA5998">
        <w:t>të paraqitet vetë ose me përfaq</w:t>
      </w:r>
      <w:r>
        <w:t>ë</w:t>
      </w:r>
      <w:r w:rsidRPr="00BA5998">
        <w:t>sues në Drejtorinë e Apelimi</w:t>
      </w:r>
      <w:r>
        <w:t>t Tatimor për të dhënë argumente</w:t>
      </w:r>
      <w:r w:rsidRPr="00BA5998">
        <w:t xml:space="preserve"> dhe sqarime që ndihmojnë në trajtimin dhe zgjidhjen e drejtë të akimimit.” </w:t>
      </w:r>
    </w:p>
    <w:p w:rsidR="00FF3B16" w:rsidRDefault="00FF3B16" w:rsidP="00FF3B16">
      <w:pPr>
        <w:pStyle w:val="Paragrafi0"/>
      </w:pPr>
      <w:r w:rsidRPr="00BA5998">
        <w:t>Ky udhëzim hyn në</w:t>
      </w:r>
      <w:r>
        <w:t xml:space="preserve"> fuqi menjëherë dhe botohet në Fletoren Z</w:t>
      </w:r>
      <w:r w:rsidRPr="00BA5998">
        <w:t>yrtare.</w:t>
      </w:r>
    </w:p>
    <w:p w:rsidR="00FF3B16" w:rsidRPr="00BA5998" w:rsidRDefault="00FF3B16" w:rsidP="00FF3B16">
      <w:pPr>
        <w:pStyle w:val="Paragrafi0"/>
      </w:pPr>
    </w:p>
    <w:p w:rsidR="00FF3B16" w:rsidRDefault="00FF3B16" w:rsidP="00FF3B16">
      <w:pPr>
        <w:pStyle w:val="Autoriteti"/>
      </w:pPr>
      <w:r>
        <w:t>MINISTRI I FINANCAVE</w:t>
      </w:r>
    </w:p>
    <w:p w:rsidR="00FF3B16" w:rsidRPr="00BA5998" w:rsidRDefault="00FF3B16" w:rsidP="00FF3B16">
      <w:pPr>
        <w:pStyle w:val="AutoritetiEmer"/>
      </w:pPr>
      <w:r w:rsidRPr="00BA5998">
        <w:t>Ridvan Bode</w:t>
      </w:r>
    </w:p>
    <w:sectPr w:rsidR="00FF3B16" w:rsidRPr="00BA5998" w:rsidSect="00FF3B16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32FC4">
      <w:r>
        <w:separator/>
      </w:r>
    </w:p>
  </w:endnote>
  <w:endnote w:type="continuationSeparator" w:id="0">
    <w:p w:rsidR="00000000" w:rsidRDefault="00432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B16" w:rsidRDefault="00FF3B16" w:rsidP="00FF3B1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3B16" w:rsidRDefault="00FF3B16" w:rsidP="00FF3B1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B16" w:rsidRDefault="00FF3B16" w:rsidP="00FF3B1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2FC4">
      <w:rPr>
        <w:rStyle w:val="PageNumber"/>
        <w:noProof/>
      </w:rPr>
      <w:t>1</w:t>
    </w:r>
    <w:r>
      <w:rPr>
        <w:rStyle w:val="PageNumber"/>
      </w:rPr>
      <w:fldChar w:fldCharType="end"/>
    </w:r>
  </w:p>
  <w:p w:rsidR="00FF3B16" w:rsidRDefault="00FF3B16" w:rsidP="00FF3B1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32FC4">
      <w:r>
        <w:separator/>
      </w:r>
    </w:p>
  </w:footnote>
  <w:footnote w:type="continuationSeparator" w:id="0">
    <w:p w:rsidR="00000000" w:rsidRDefault="00432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3B1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2FC4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3B16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1C7524-B3A3-4CD7-A30A-70E5C5F1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B1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FF3B1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F3B16"/>
  </w:style>
  <w:style w:type="character" w:customStyle="1" w:styleId="ParagrafiChar">
    <w:name w:val="Paragrafi Char"/>
    <w:basedOn w:val="DefaultParagraphFont"/>
    <w:link w:val="Paragrafi0"/>
    <w:rsid w:val="00FF3B16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FF3B1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FF3B1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FF3B16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2019-03-17T17:08:00Z</dcterms:created>
  <dcterms:modified xsi:type="dcterms:W3CDTF">2019-03-17T17:08:00Z</dcterms:modified>
</cp:coreProperties>
</file>