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151" w:rsidRPr="006A03B7" w:rsidRDefault="00E70151" w:rsidP="00E7015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3B7">
        <w:rPr>
          <w:sz w:val="21"/>
          <w:szCs w:val="21"/>
        </w:rPr>
        <w:t>UDHËZIM</w:t>
      </w:r>
    </w:p>
    <w:p w:rsidR="00E70151" w:rsidRPr="006A03B7" w:rsidRDefault="00E70151" w:rsidP="00E70151">
      <w:pPr>
        <w:pStyle w:val="NumriData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Nr.12/1, datë 26.5.2011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</w:p>
    <w:p w:rsidR="00E70151" w:rsidRPr="006A03B7" w:rsidRDefault="00E70151" w:rsidP="00E70151">
      <w:pPr>
        <w:pStyle w:val="Titull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PËR DISA NDRYSHIME NË UDHËZIMIN NR.12, DATË 18.5.2011 “PËR PROCEDURAT E ZBATIMIT TË LIGJIT NR.10418, DATË 21.4.2011 “PËR LEGALIZIMIN E KAPITALIT DHE FALJEN E NJË PJESE TË BORXHIT TATIMOR DHE DOGANOR””</w:t>
      </w:r>
    </w:p>
    <w:p w:rsidR="00E70151" w:rsidRPr="006A03B7" w:rsidRDefault="00E70151" w:rsidP="00E70151">
      <w:pPr>
        <w:pStyle w:val="Titulli"/>
        <w:keepNext w:val="0"/>
        <w:rPr>
          <w:sz w:val="21"/>
          <w:szCs w:val="21"/>
        </w:rPr>
      </w:pP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Në mbështetje të nenit 102 pika 4 të Kushtetutës së Republikës së Shqipërisë dhe të ligjit nr.10418, datë 21.4.2011 “Për legalizimin e kapitalit dhe faljen e një pjese të borxhit tatimor dhe doganor”, Ministri i Financave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 xml:space="preserve">                                                          </w:t>
      </w:r>
    </w:p>
    <w:p w:rsidR="00E70151" w:rsidRPr="006A03B7" w:rsidRDefault="00E70151" w:rsidP="00E70151">
      <w:pPr>
        <w:pStyle w:val="VENDOS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UDHËZON: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Në udhëzimin nr.12, datë 18.5.2011 “Për procedurat e zbatimit të ligjit nr.10 418, datë 21.4.2011 “Për legalizimin e kapitalit dhe faljen e një pjese të borxhit tatimor dhe doganor””, bëhen ndryshimet e mëposhtme: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1. Në sesionin II. 4 “Falja e detyrimeve të sigurimeve shoqërore dhe shëndetësore”, në pikën 2 “Personat fizikë dhe juridikë”, fjalët “…me kushtin që kontributet e sigurimeve shoqërore dhe shëndetësore të paguhen brenda afatit të zbatimit të ligjit” shfuqizohen.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2. Në sesionin III “Rivlerësimi i pasurive të paluajtshme”, pika 1.4 ndryshohet si më poshtë: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“1.4 Aplikuesi paraqitet personalisht, me dokument identifikimi pranë ZVRPP-së dhe depoziton në dy kopje formularin e aplikimit te punonjësi i ZVRPP-së. Ky i fundit shqyrton të dhënat e plotësuara në formular dhe dokumentacionin bashkëlidhur (nëse ka). Nëse të dhënat janë të sakta, punonjësi i ZVRPP-së nënshkruan formularin e aplikimit dhe një kopje të tij ia jep aplikuesit. Nëse ka pasaktësi në plotësim, fton aplikuesin t’i korrigjojë. Punonjësi i ZVRPP-së nuk ka asnjë arsye që të refuzojë kërkesën për aplikim.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 xml:space="preserve">a) Tatimi i rivlerësimit të pasurisë së paluajtshme do të llogaritet 1% e diferencës midis çmimit të rivlerësimit me çmimin e blerjes së pasurisë në kontratën paraardhëse të shitblerjes. Në rastet kur pasuria e paluajtshme e regjistruar në ZVRPP nuk ka një kontratë paraardhëse shitblerjeje, tatimi i rivlerësimit të pasurisë së paluajtshme do të llogaritet sipas metodikës së përdorur në udhëzimin nr.9, datë 26.2.2008 “Për tatimin e kalimit të së drejtës së pronësisë së paluajtshme”, të ndryshuar. 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Gjatë plotësimit të formularit të aplikimit për rivlerësim të pasurisë së paluajtshme, zyra vendore e regjistrimit të pasurive llogarit masën e tatimit të rivlerësimit (pika 4 e formularit të rivlerësimit). Aplikuesi paguan në bankë, për llogari të Buxhetit të Shtetit të Ministrisë së Financave, tatimin 1% të rivlerësimit të pasurisë. Tatimi mbi rivlerësimin e pasurisë duhet të paguhet në momentin e kryerjes së aplikimit për rivlerësim. ZVRPP-ja, pasi bashkëlidh formularin e aplikimit për rivlerësim me mandatin e pagesës së tatimit nga aplikuesi, bën ndryshimet përkatëse brenda 10 ditëve në regjistrin e pasurive të paluajtshme. Data e rivlerësimit të pasurisë është data e pagimit të tatimit të rivlerësimit të pasurisë. Ky ndryshim i njoftohet aplikuesit, sipas kërkesës së tij në ZVRPP, për shërbimin e lëshimit të kopjes së kartelës së pasurisë apo vërtetimit të pronësisë së paluajtshme.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b) Në rast se individ</w:t>
      </w:r>
      <w:r>
        <w:rPr>
          <w:sz w:val="21"/>
          <w:szCs w:val="21"/>
        </w:rPr>
        <w:t>i do të bëjë kalimin e pronësisë</w:t>
      </w:r>
      <w:r w:rsidRPr="006A03B7">
        <w:rPr>
          <w:sz w:val="21"/>
          <w:szCs w:val="21"/>
        </w:rPr>
        <w:t xml:space="preserve"> së pasurisë së paluajtshme pas rivlerësimit, tatimi për kalimin e së drejtës së pronësisë llogaritet si diferencë e çmimit të shitjes dhe çmimit të rivlerësuar të pasurisë. Në rast se kjo diferencë është negative, individi nuk paguan tatim.”.</w:t>
      </w:r>
    </w:p>
    <w:p w:rsidR="00E70151" w:rsidRPr="006A03B7" w:rsidRDefault="00E70151" w:rsidP="00E70151">
      <w:pPr>
        <w:pStyle w:val="Paragrafi"/>
        <w:rPr>
          <w:sz w:val="21"/>
          <w:szCs w:val="21"/>
        </w:rPr>
      </w:pPr>
      <w:r w:rsidRPr="006A03B7">
        <w:rPr>
          <w:sz w:val="21"/>
          <w:szCs w:val="21"/>
        </w:rPr>
        <w:t>Ky udhëzim hyn në fuqi menjëherë dhe botohet në Fletoren Zyrtare.</w:t>
      </w:r>
    </w:p>
    <w:p w:rsidR="00E70151" w:rsidRPr="006A03B7" w:rsidRDefault="00E70151" w:rsidP="00E70151">
      <w:pPr>
        <w:pStyle w:val="Autoriteti"/>
        <w:keepNext w:val="0"/>
        <w:jc w:val="left"/>
        <w:rPr>
          <w:sz w:val="21"/>
          <w:szCs w:val="21"/>
        </w:rPr>
      </w:pPr>
    </w:p>
    <w:p w:rsidR="00E70151" w:rsidRPr="006A03B7" w:rsidRDefault="00E70151" w:rsidP="00E70151">
      <w:pPr>
        <w:pStyle w:val="Autoriteti"/>
        <w:keepNext w:val="0"/>
        <w:rPr>
          <w:sz w:val="21"/>
          <w:szCs w:val="21"/>
        </w:rPr>
      </w:pPr>
      <w:r w:rsidRPr="006A03B7">
        <w:rPr>
          <w:sz w:val="21"/>
          <w:szCs w:val="21"/>
        </w:rPr>
        <w:t>MINISTRI I FINANCAVE</w:t>
      </w:r>
    </w:p>
    <w:p w:rsidR="00E70151" w:rsidRPr="006A03B7" w:rsidRDefault="00E70151" w:rsidP="00E70151">
      <w:pPr>
        <w:pStyle w:val="AutoritetiEmer"/>
        <w:rPr>
          <w:sz w:val="21"/>
          <w:szCs w:val="21"/>
        </w:rPr>
      </w:pPr>
      <w:r w:rsidRPr="006A03B7">
        <w:rPr>
          <w:sz w:val="21"/>
          <w:szCs w:val="21"/>
        </w:rPr>
        <w:t>Ridvan Bode</w:t>
      </w:r>
    </w:p>
    <w:sectPr w:rsidR="00E70151" w:rsidRPr="006A03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015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56297"/>
    <w:rsid w:val="00E70151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EB2EB-E6FB-4AD3-A769-36BDD0A7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151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E701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E70151"/>
    <w:pPr>
      <w:spacing w:after="160" w:line="240" w:lineRule="exact"/>
    </w:pPr>
    <w:rPr>
      <w:rFonts w:ascii="Tahoma" w:hAnsi="Tahoma"/>
      <w:noProof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