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9E9" w:rsidRPr="00446C3D" w:rsidRDefault="008429E9" w:rsidP="008429E9">
      <w:pPr>
        <w:pStyle w:val="Akti"/>
        <w:rPr>
          <w:sz w:val="21"/>
          <w:szCs w:val="21"/>
        </w:rPr>
      </w:pPr>
      <w:bookmarkStart w:id="0" w:name="_GoBack"/>
      <w:bookmarkEnd w:id="0"/>
      <w:r w:rsidRPr="00446C3D">
        <w:rPr>
          <w:sz w:val="21"/>
          <w:szCs w:val="21"/>
        </w:rPr>
        <w:t>UDHËZIM</w:t>
      </w:r>
    </w:p>
    <w:p w:rsidR="008429E9" w:rsidRPr="00446C3D" w:rsidRDefault="008429E9" w:rsidP="008429E9">
      <w:pPr>
        <w:pStyle w:val="NumriData"/>
        <w:rPr>
          <w:sz w:val="21"/>
          <w:szCs w:val="21"/>
        </w:rPr>
      </w:pPr>
      <w:r w:rsidRPr="00446C3D">
        <w:rPr>
          <w:sz w:val="21"/>
          <w:szCs w:val="21"/>
        </w:rPr>
        <w:t>Nr.15, datë 7.7.2011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</w:p>
    <w:p w:rsidR="008429E9" w:rsidRPr="00446C3D" w:rsidRDefault="008429E9" w:rsidP="008429E9">
      <w:pPr>
        <w:pStyle w:val="Titulli"/>
        <w:rPr>
          <w:rFonts w:cs="Times New Roman"/>
          <w:sz w:val="21"/>
          <w:szCs w:val="21"/>
        </w:rPr>
      </w:pPr>
      <w:r w:rsidRPr="00446C3D">
        <w:rPr>
          <w:sz w:val="21"/>
          <w:szCs w:val="21"/>
        </w:rPr>
        <w:t>Për disa ndryshime në udhëzimin nr.17, datë 13.5.2008 “Për tatimin mbi</w:t>
      </w:r>
      <w:r>
        <w:rPr>
          <w:sz w:val="21"/>
          <w:szCs w:val="21"/>
        </w:rPr>
        <w:t xml:space="preserve"> vlerën e shtuar”, të ndryshuar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</w:p>
    <w:p w:rsidR="008429E9" w:rsidRPr="00446C3D" w:rsidRDefault="008429E9" w:rsidP="008429E9">
      <w:pPr>
        <w:pStyle w:val="BazLigjPropozues"/>
        <w:rPr>
          <w:sz w:val="21"/>
          <w:szCs w:val="21"/>
        </w:rPr>
      </w:pPr>
      <w:r w:rsidRPr="00446C3D">
        <w:rPr>
          <w:sz w:val="21"/>
          <w:szCs w:val="21"/>
        </w:rPr>
        <w:t>Në mbështetje të nenit 102, pika 4 të Kushtetutës së Republikës së Shqipërisë, si dhe në zbatim të ligjit nr.7928, datë 27.4.1995 “Për tatimin mbi vlerën e shtuar”, të ndryshuar, Ministri i Financave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</w:p>
    <w:p w:rsidR="008429E9" w:rsidRPr="00446C3D" w:rsidRDefault="008429E9" w:rsidP="008429E9">
      <w:pPr>
        <w:pStyle w:val="VENDOSI"/>
        <w:rPr>
          <w:sz w:val="21"/>
          <w:szCs w:val="21"/>
        </w:rPr>
      </w:pPr>
      <w:r w:rsidRPr="00446C3D">
        <w:rPr>
          <w:sz w:val="21"/>
          <w:szCs w:val="21"/>
        </w:rPr>
        <w:t>Udhëzon: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Në udhëzimin nr.17, datë 13.5.2008 “Për TVSH-në” bëhen shtesat dhe ndryshimet e mëposhtme: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 xml:space="preserve">1. Në pikën 1.1: 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Në germën “a”, paragrafi i parë</w:t>
      </w:r>
      <w:r w:rsidRPr="00446C3D">
        <w:rPr>
          <w:sz w:val="21"/>
          <w:szCs w:val="21"/>
        </w:rPr>
        <w:t xml:space="preserve"> ndryshon si më poshtë : 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“a) çdo person fizik apo juridik që zhvillon veprimtari ekonomike, qarkullimi i të cilit për një vit kalendarik, tejkalon apo parashikohet të tejkalojë kufirin minimal të regjistrimit për tatimin mbi vlerën e shtuar (TVSH) t</w:t>
      </w:r>
      <w:r>
        <w:rPr>
          <w:sz w:val="21"/>
          <w:szCs w:val="21"/>
        </w:rPr>
        <w:t>ë</w:t>
      </w:r>
      <w:r w:rsidRPr="00446C3D">
        <w:rPr>
          <w:sz w:val="21"/>
          <w:szCs w:val="21"/>
        </w:rPr>
        <w:t xml:space="preserve"> p</w:t>
      </w:r>
      <w:r>
        <w:rPr>
          <w:sz w:val="21"/>
          <w:szCs w:val="21"/>
        </w:rPr>
        <w:t>ërcaktuar me v</w:t>
      </w:r>
      <w:r w:rsidRPr="00446C3D">
        <w:rPr>
          <w:sz w:val="21"/>
          <w:szCs w:val="21"/>
        </w:rPr>
        <w:t>endim t</w:t>
      </w:r>
      <w:r>
        <w:rPr>
          <w:sz w:val="21"/>
          <w:szCs w:val="21"/>
        </w:rPr>
        <w:t>ë</w:t>
      </w:r>
      <w:r w:rsidRPr="00446C3D">
        <w:rPr>
          <w:sz w:val="21"/>
          <w:szCs w:val="21"/>
        </w:rPr>
        <w:t xml:space="preserve"> K</w:t>
      </w:r>
      <w:r>
        <w:rPr>
          <w:sz w:val="21"/>
          <w:szCs w:val="21"/>
        </w:rPr>
        <w:t>ëshillit të</w:t>
      </w:r>
      <w:r w:rsidRPr="00446C3D">
        <w:rPr>
          <w:sz w:val="21"/>
          <w:szCs w:val="21"/>
        </w:rPr>
        <w:t xml:space="preserve"> Ministrave, si dhe çdo  person fizik apo juridik importues, është i detyruar të regjistrohet.”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Në germën “b”, paragrafi i dytë shfuqizohet.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2. N</w:t>
      </w:r>
      <w:r>
        <w:rPr>
          <w:sz w:val="21"/>
          <w:szCs w:val="21"/>
        </w:rPr>
        <w:t>ë</w:t>
      </w:r>
      <w:r w:rsidRPr="00446C3D">
        <w:rPr>
          <w:sz w:val="21"/>
          <w:szCs w:val="21"/>
        </w:rPr>
        <w:t xml:space="preserve"> pik</w:t>
      </w:r>
      <w:r>
        <w:rPr>
          <w:sz w:val="21"/>
          <w:szCs w:val="21"/>
        </w:rPr>
        <w:t>ë</w:t>
      </w:r>
      <w:r w:rsidRPr="00446C3D">
        <w:rPr>
          <w:sz w:val="21"/>
          <w:szCs w:val="21"/>
        </w:rPr>
        <w:t>n 1.1.1 togfjalëshi “8 milion</w:t>
      </w:r>
      <w:r>
        <w:rPr>
          <w:sz w:val="21"/>
          <w:szCs w:val="21"/>
        </w:rPr>
        <w:t>ë lekë”</w:t>
      </w:r>
      <w:r w:rsidRPr="00446C3D">
        <w:rPr>
          <w:sz w:val="21"/>
          <w:szCs w:val="21"/>
        </w:rPr>
        <w:t xml:space="preserve"> zëvëndësohet me togfjalëshin “kufirin mi</w:t>
      </w:r>
      <w:r>
        <w:rPr>
          <w:sz w:val="21"/>
          <w:szCs w:val="21"/>
        </w:rPr>
        <w:t>nimal të regjistrimit për TVSH”.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3. Në pikën 1.1.2, germa “c” “Fillimi ose mbyllja e veprimtarisë ekonomike”, shembulli nga  “Qarkul</w:t>
      </w:r>
      <w:r>
        <w:rPr>
          <w:sz w:val="21"/>
          <w:szCs w:val="21"/>
        </w:rPr>
        <w:t>limi i tij nga 15 tetori...”, de</w:t>
      </w:r>
      <w:r w:rsidRPr="00446C3D">
        <w:rPr>
          <w:sz w:val="21"/>
          <w:szCs w:val="21"/>
        </w:rPr>
        <w:t xml:space="preserve">ri në fund, zëvendësohet me:. 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 xml:space="preserve">“Qarkullimi i tij nga 15 tetori deri në fund të vitit është 1.100.000 lekë. Kufiri minimal i regjistrimit për një tremujor është (5.000.000:365)x76=1.041.096 lekë. 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Në këtë rast personi është i tatueshëm dhe duhet të kërkojë të regjistrohet.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4. Në pikën 8.5 “Organizatat jofitimprurëse”: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Në paragrafin 4, shprehja “8 milion</w:t>
      </w:r>
      <w:r>
        <w:rPr>
          <w:sz w:val="21"/>
          <w:szCs w:val="21"/>
        </w:rPr>
        <w:t>ë</w:t>
      </w:r>
      <w:r w:rsidRPr="00446C3D">
        <w:rPr>
          <w:sz w:val="21"/>
          <w:szCs w:val="21"/>
        </w:rPr>
        <w:t xml:space="preserve"> lekë”, zëvendësohet me shprehjen “kufiri minimal i regjistrimit”. 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Paragrafi 5 ndryshon në përmbajtje</w:t>
      </w:r>
      <w:r>
        <w:rPr>
          <w:sz w:val="21"/>
          <w:szCs w:val="21"/>
        </w:rPr>
        <w:t>,</w:t>
      </w:r>
      <w:r w:rsidRPr="00446C3D">
        <w:rPr>
          <w:sz w:val="21"/>
          <w:szCs w:val="21"/>
        </w:rPr>
        <w:t xml:space="preserve"> si më poshtë: 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“Mallrat e importuara kundrejt pagesës së reduktuar si ndihmë humanitare nga organizatat bamirëse humanitare, institucionet e kultit, organizatat fetare apo filozofike, organizatat jofitimprurëse që gëzojnë statusin e organizatave për përfitim publik me qëllim kryerjen e furnizimeve siç përcaktohet në nenin 24 të ligjit, nuk ngarkohen me TVSH.”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5. Në pikën 11.1 të udhëzimit, paragrafi i tretë që fillon nga “Faturat tatimore të energjisë ......” deri në fund të paragrafit,  ndryshon në përmbajtje si më poshtë: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 xml:space="preserve">“Në përputhje me udhëzimin e përbashkët të Ministrit të Financave me Radiotelevizionin Shqiptar në faturat tatimore të energjisë elektrike, duhet të regjistrohet nën një zë më vete, tarifa mujore e shërbimit për përdorimin e aparateve televizive, vjelja e së cilës bëhet sipas udhëzimit të përbashkët.” 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6. Në pikën 19.5 “Raste të veçanta për trajtimin e së drejtës për kreditimin e TVSH-së”, normat</w:t>
      </w:r>
      <w:r>
        <w:rPr>
          <w:sz w:val="21"/>
          <w:szCs w:val="21"/>
        </w:rPr>
        <w:t>ivat e harxhimit të karburantit</w:t>
      </w:r>
      <w:r w:rsidRPr="00446C3D">
        <w:rPr>
          <w:sz w:val="21"/>
          <w:szCs w:val="21"/>
        </w:rPr>
        <w:t xml:space="preserve"> ndryshohen si më poshtë vijon:</w:t>
      </w:r>
    </w:p>
    <w:p w:rsidR="008429E9" w:rsidRDefault="008429E9" w:rsidP="008429E9">
      <w:pPr>
        <w:pStyle w:val="Paragrafi"/>
        <w:rPr>
          <w:sz w:val="21"/>
          <w:szCs w:val="21"/>
        </w:rPr>
      </w:pP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 xml:space="preserve">NORMATIVAT E HARXHIMIT TË KARBURANTIT </w:t>
      </w:r>
    </w:p>
    <w:p w:rsidR="008429E9" w:rsidRDefault="008429E9" w:rsidP="008429E9">
      <w:pPr>
        <w:pStyle w:val="Paragrafi"/>
        <w:rPr>
          <w:sz w:val="21"/>
          <w:szCs w:val="21"/>
        </w:rPr>
      </w:pP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I. NDËRTIM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 xml:space="preserve">a) Prodhim materiale inerte        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 xml:space="preserve">          </w:t>
      </w:r>
      <w:r>
        <w:rPr>
          <w:sz w:val="21"/>
          <w:szCs w:val="21"/>
        </w:rPr>
        <w:t xml:space="preserve">           </w:t>
      </w:r>
      <w:r w:rsidRPr="00446C3D">
        <w:rPr>
          <w:sz w:val="21"/>
          <w:szCs w:val="21"/>
        </w:rPr>
        <w:t xml:space="preserve">deri më </w:t>
      </w:r>
      <w:r w:rsidRPr="00446C3D">
        <w:rPr>
          <w:sz w:val="21"/>
          <w:szCs w:val="21"/>
        </w:rPr>
        <w:tab/>
        <w:t xml:space="preserve">            33%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b) Ndërtim shtrim rrug</w:t>
      </w:r>
      <w:r>
        <w:rPr>
          <w:sz w:val="21"/>
          <w:szCs w:val="21"/>
        </w:rPr>
        <w:t>ë</w:t>
      </w:r>
      <w:r w:rsidRPr="00446C3D">
        <w:rPr>
          <w:sz w:val="21"/>
          <w:szCs w:val="21"/>
        </w:rPr>
        <w:t xml:space="preserve">sh           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 xml:space="preserve">          deri më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>32%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c) Ndërtim banesash dhe objektesh të ndryshme</w:t>
      </w:r>
      <w:r>
        <w:rPr>
          <w:sz w:val="21"/>
          <w:szCs w:val="21"/>
        </w:rPr>
        <w:tab/>
        <w:t xml:space="preserve">    </w:t>
      </w:r>
      <w:r w:rsidRPr="00446C3D">
        <w:rPr>
          <w:sz w:val="21"/>
          <w:szCs w:val="21"/>
        </w:rPr>
        <w:t xml:space="preserve">      deri më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 xml:space="preserve">  8%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 xml:space="preserve">ç) Prodhim betoni                   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 xml:space="preserve">          deri më </w:t>
      </w:r>
      <w:r w:rsidRPr="00446C3D">
        <w:rPr>
          <w:sz w:val="21"/>
          <w:szCs w:val="21"/>
        </w:rPr>
        <w:tab/>
        <w:t xml:space="preserve">            14%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d) Gërmime / shpime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 xml:space="preserve">          deri më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>25%</w:t>
      </w:r>
    </w:p>
    <w:p w:rsidR="008429E9" w:rsidRDefault="008429E9" w:rsidP="008429E9">
      <w:pPr>
        <w:pStyle w:val="Paragrafi"/>
        <w:rPr>
          <w:sz w:val="21"/>
          <w:szCs w:val="21"/>
        </w:rPr>
      </w:pPr>
    </w:p>
    <w:p w:rsidR="008429E9" w:rsidRDefault="008429E9" w:rsidP="008429E9">
      <w:pPr>
        <w:pStyle w:val="Paragrafi"/>
        <w:rPr>
          <w:sz w:val="21"/>
          <w:szCs w:val="21"/>
        </w:rPr>
      </w:pPr>
    </w:p>
    <w:p w:rsidR="008429E9" w:rsidRDefault="008429E9" w:rsidP="008429E9">
      <w:pPr>
        <w:pStyle w:val="Paragrafi"/>
        <w:rPr>
          <w:sz w:val="21"/>
          <w:szCs w:val="21"/>
        </w:rPr>
      </w:pP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II. TRANSPORT</w:t>
      </w:r>
    </w:p>
    <w:p w:rsidR="008429E9" w:rsidRPr="00446C3D" w:rsidRDefault="008429E9" w:rsidP="008429E9">
      <w:pPr>
        <w:pStyle w:val="Paragrafi"/>
        <w:ind w:left="720" w:firstLine="0"/>
        <w:rPr>
          <w:sz w:val="21"/>
          <w:szCs w:val="21"/>
        </w:rPr>
      </w:pPr>
      <w:r w:rsidRPr="00446C3D">
        <w:rPr>
          <w:sz w:val="21"/>
          <w:szCs w:val="21"/>
        </w:rPr>
        <w:t xml:space="preserve">a) Transport udhëtarësh             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446C3D">
        <w:rPr>
          <w:sz w:val="21"/>
          <w:szCs w:val="21"/>
        </w:rPr>
        <w:t>deri më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>43%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 xml:space="preserve">b) Transport mallrash               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446C3D">
        <w:rPr>
          <w:sz w:val="21"/>
          <w:szCs w:val="21"/>
        </w:rPr>
        <w:t>deri më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>38%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III. SHËRBIME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a) Autoshkolla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 xml:space="preserve">            deri më</w:t>
      </w:r>
      <w:r w:rsidRPr="00446C3D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446C3D">
        <w:rPr>
          <w:sz w:val="21"/>
          <w:szCs w:val="21"/>
        </w:rPr>
        <w:t>25%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b) Shërbime pastrimi qyteti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>deri më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>30%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c) Peshkimi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446C3D">
        <w:rPr>
          <w:sz w:val="21"/>
          <w:szCs w:val="21"/>
        </w:rPr>
        <w:t>deri më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>10%</w:t>
      </w:r>
    </w:p>
    <w:p w:rsidR="008429E9" w:rsidRDefault="008429E9" w:rsidP="008429E9">
      <w:pPr>
        <w:pStyle w:val="Paragrafi"/>
        <w:rPr>
          <w:sz w:val="21"/>
          <w:szCs w:val="21"/>
        </w:rPr>
      </w:pP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 xml:space="preserve">III. TREGTI         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446C3D">
        <w:rPr>
          <w:sz w:val="21"/>
          <w:szCs w:val="21"/>
        </w:rPr>
        <w:t>deri më</w:t>
      </w:r>
      <w:r w:rsidRPr="00446C3D"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 xml:space="preserve">  3%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IV.</w:t>
      </w:r>
      <w:r w:rsidRPr="00446C3D">
        <w:rPr>
          <w:sz w:val="21"/>
          <w:szCs w:val="21"/>
        </w:rPr>
        <w:t xml:space="preserve"> TË TJERA (të palisuara më lart)</w:t>
      </w:r>
      <w:r>
        <w:rPr>
          <w:sz w:val="21"/>
          <w:szCs w:val="21"/>
        </w:rPr>
        <w:tab/>
      </w:r>
      <w:r w:rsidRPr="00446C3D">
        <w:rPr>
          <w:sz w:val="21"/>
          <w:szCs w:val="21"/>
        </w:rPr>
        <w:tab/>
        <w:t xml:space="preserve">            deri më</w:t>
      </w:r>
      <w:r w:rsidRPr="00446C3D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446C3D">
        <w:rPr>
          <w:sz w:val="21"/>
          <w:szCs w:val="21"/>
        </w:rPr>
        <w:t>2%</w:t>
      </w:r>
    </w:p>
    <w:p w:rsidR="008429E9" w:rsidRDefault="008429E9" w:rsidP="008429E9">
      <w:pPr>
        <w:pStyle w:val="Paragrafi"/>
        <w:rPr>
          <w:sz w:val="21"/>
          <w:szCs w:val="21"/>
        </w:rPr>
      </w:pPr>
    </w:p>
    <w:p w:rsidR="008429E9" w:rsidRPr="00446C3D" w:rsidRDefault="008429E9" w:rsidP="008429E9">
      <w:pPr>
        <w:pStyle w:val="Paragrafi"/>
        <w:rPr>
          <w:sz w:val="21"/>
          <w:szCs w:val="21"/>
        </w:rPr>
      </w:pPr>
      <w:r w:rsidRPr="00446C3D">
        <w:rPr>
          <w:sz w:val="21"/>
          <w:szCs w:val="21"/>
        </w:rPr>
        <w:t>Ky udhëzim hyn në fuqi menjëherë dhe botohet në Fletoren Zyrtare.</w:t>
      </w:r>
    </w:p>
    <w:p w:rsidR="008429E9" w:rsidRPr="00446C3D" w:rsidRDefault="008429E9" w:rsidP="008429E9">
      <w:pPr>
        <w:pStyle w:val="Paragrafi"/>
        <w:rPr>
          <w:sz w:val="21"/>
          <w:szCs w:val="21"/>
        </w:rPr>
      </w:pPr>
    </w:p>
    <w:p w:rsidR="008429E9" w:rsidRPr="00446C3D" w:rsidRDefault="008429E9" w:rsidP="008429E9">
      <w:pPr>
        <w:pStyle w:val="Autoriteti"/>
        <w:rPr>
          <w:sz w:val="21"/>
          <w:szCs w:val="21"/>
        </w:rPr>
      </w:pPr>
      <w:r w:rsidRPr="00446C3D">
        <w:rPr>
          <w:sz w:val="21"/>
          <w:szCs w:val="21"/>
        </w:rPr>
        <w:t>MINISTRi i Financave</w:t>
      </w:r>
    </w:p>
    <w:p w:rsidR="008429E9" w:rsidRPr="00446C3D" w:rsidRDefault="008429E9" w:rsidP="008429E9">
      <w:pPr>
        <w:pStyle w:val="AutoritetiEmer"/>
        <w:rPr>
          <w:sz w:val="21"/>
          <w:szCs w:val="21"/>
        </w:rPr>
      </w:pPr>
      <w:r w:rsidRPr="00446C3D">
        <w:rPr>
          <w:sz w:val="21"/>
          <w:szCs w:val="21"/>
        </w:rPr>
        <w:t>Ridvan Bode</w:t>
      </w:r>
    </w:p>
    <w:sectPr w:rsidR="008429E9" w:rsidRPr="00446C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29E9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D754B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429E9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D1C609-F0B5-47D7-B503-D482D41D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8429E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8429E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2019-03-19T14:29:00Z</dcterms:created>
  <dcterms:modified xsi:type="dcterms:W3CDTF">2019-03-19T14:29:00Z</dcterms:modified>
</cp:coreProperties>
</file>