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217E" w:rsidRPr="00ED5E58" w:rsidRDefault="00FF217E" w:rsidP="00FF217E">
      <w:pPr>
        <w:pStyle w:val="Akti"/>
        <w:keepNext w:val="0"/>
        <w:rPr>
          <w:lang w:val="sq-AL"/>
        </w:rPr>
      </w:pPr>
      <w:r>
        <w:rPr>
          <w:lang w:val="sq-AL"/>
        </w:rPr>
        <w:t>Udhëzim</w:t>
      </w:r>
    </w:p>
    <w:p w:rsidR="00FF217E" w:rsidRPr="00ED5E58" w:rsidRDefault="00FF217E" w:rsidP="00FF217E">
      <w:pPr>
        <w:pStyle w:val="NumriData"/>
        <w:keepNext w:val="0"/>
        <w:rPr>
          <w:lang w:val="sq-AL"/>
        </w:rPr>
      </w:pPr>
      <w:r>
        <w:rPr>
          <w:lang w:val="sq-AL"/>
        </w:rPr>
        <w:t xml:space="preserve">Nr. </w:t>
      </w:r>
      <w:r w:rsidRPr="00ED5E58">
        <w:rPr>
          <w:lang w:val="sq-AL"/>
        </w:rPr>
        <w:t>6915/2, datë 30.1.2012</w:t>
      </w:r>
    </w:p>
    <w:p w:rsidR="00FF217E" w:rsidRPr="00ED5E58" w:rsidRDefault="00FF217E" w:rsidP="00FF217E">
      <w:pPr>
        <w:pStyle w:val="Paragrafi"/>
        <w:rPr>
          <w:lang w:val="sq-AL"/>
        </w:rPr>
      </w:pPr>
    </w:p>
    <w:p w:rsidR="00FF217E" w:rsidRDefault="00FF217E" w:rsidP="00FF217E">
      <w:pPr>
        <w:pStyle w:val="Titulli"/>
        <w:keepNext w:val="0"/>
        <w:rPr>
          <w:lang w:val="sq-AL"/>
        </w:rPr>
      </w:pPr>
      <w:r w:rsidRPr="00ED5E58">
        <w:rPr>
          <w:lang w:val="sq-AL"/>
        </w:rPr>
        <w:t>Mbi procedurat teknike për derdhjen e pagesës së tjetërsimit në llogarinë bankare të noterit</w:t>
      </w:r>
    </w:p>
    <w:p w:rsidR="00FF217E" w:rsidRPr="00C200B0" w:rsidRDefault="00FF217E" w:rsidP="00FF217E">
      <w:pPr>
        <w:rPr>
          <w:lang w:val="sq-AL"/>
        </w:rPr>
      </w:pPr>
    </w:p>
    <w:p w:rsidR="00FF217E" w:rsidRPr="00ED5E58" w:rsidRDefault="00FF217E" w:rsidP="00FF217E">
      <w:pPr>
        <w:pStyle w:val="Paragrafi"/>
        <w:rPr>
          <w:lang w:val="sq-AL"/>
        </w:rPr>
      </w:pPr>
      <w:r w:rsidRPr="00ED5E58">
        <w:rPr>
          <w:lang w:val="sq-AL"/>
        </w:rPr>
        <w:t xml:space="preserve">Në mbështetje të pikës 4 të nenit 102 të Kushtetutës së Republikës së Shqipërisë dhe të nenit 49 të ligjit </w:t>
      </w:r>
      <w:r>
        <w:rPr>
          <w:lang w:val="sq-AL"/>
        </w:rPr>
        <w:t xml:space="preserve">nr. </w:t>
      </w:r>
      <w:r w:rsidRPr="00ED5E58">
        <w:rPr>
          <w:lang w:val="sq-AL"/>
        </w:rPr>
        <w:t>78</w:t>
      </w:r>
      <w:r>
        <w:rPr>
          <w:lang w:val="sq-AL"/>
        </w:rPr>
        <w:t>2</w:t>
      </w:r>
      <w:r w:rsidRPr="00ED5E58">
        <w:rPr>
          <w:lang w:val="sq-AL"/>
        </w:rPr>
        <w:t>9, datë 1.6.1994 “Për noterinë</w:t>
      </w:r>
      <w:r>
        <w:rPr>
          <w:lang w:val="sq-AL"/>
        </w:rPr>
        <w:t>”,</w:t>
      </w:r>
      <w:r w:rsidRPr="00ED5E58">
        <w:rPr>
          <w:lang w:val="sq-AL"/>
        </w:rPr>
        <w:t xml:space="preserve"> </w:t>
      </w:r>
      <w:r>
        <w:rPr>
          <w:lang w:val="sq-AL"/>
        </w:rPr>
        <w:t>t</w:t>
      </w:r>
      <w:r w:rsidRPr="002A6D25">
        <w:rPr>
          <w:lang w:val="sq-AL"/>
        </w:rPr>
        <w:t>ë</w:t>
      </w:r>
      <w:r w:rsidRPr="00ED5E58">
        <w:rPr>
          <w:lang w:val="sq-AL"/>
        </w:rPr>
        <w:t xml:space="preserve"> ndryshuar, Ministria e Drejtësisë dhe Ministria e Financave</w:t>
      </w:r>
    </w:p>
    <w:p w:rsidR="00FF217E" w:rsidRPr="00ED5E58" w:rsidRDefault="00FF217E" w:rsidP="00FF217E">
      <w:pPr>
        <w:pStyle w:val="Paragrafi"/>
        <w:rPr>
          <w:lang w:val="sq-AL"/>
        </w:rPr>
      </w:pPr>
    </w:p>
    <w:p w:rsidR="00FF217E" w:rsidRPr="00ED5E58" w:rsidRDefault="00FF217E" w:rsidP="00FF217E">
      <w:pPr>
        <w:pStyle w:val="VENDOSI"/>
        <w:keepNext w:val="0"/>
        <w:rPr>
          <w:lang w:val="sq-AL"/>
        </w:rPr>
      </w:pPr>
      <w:r w:rsidRPr="00ED5E58">
        <w:rPr>
          <w:lang w:val="sq-AL"/>
        </w:rPr>
        <w:t>Udhëzojnë:</w:t>
      </w:r>
    </w:p>
    <w:p w:rsidR="00FF217E" w:rsidRPr="00ED5E58" w:rsidRDefault="00FF217E" w:rsidP="00FF217E">
      <w:pPr>
        <w:pStyle w:val="Paragrafi"/>
        <w:rPr>
          <w:lang w:val="sq-AL"/>
        </w:rPr>
      </w:pPr>
    </w:p>
    <w:p w:rsidR="00FF217E" w:rsidRPr="00ED5E58" w:rsidRDefault="00FF217E" w:rsidP="00FF217E">
      <w:pPr>
        <w:pStyle w:val="Paragrafi"/>
        <w:rPr>
          <w:lang w:val="sq-AL"/>
        </w:rPr>
      </w:pPr>
      <w:r w:rsidRPr="00ED5E58">
        <w:rPr>
          <w:lang w:val="sq-AL"/>
        </w:rPr>
        <w:t>1. Noteri duhet të ketë llogari rrjedhëse pranë një banke, të dedikuar për kryerjen e transaksioneve të tjetërsimit të pasurisë së paluajtshme.</w:t>
      </w:r>
    </w:p>
    <w:p w:rsidR="00FF217E" w:rsidRPr="00ED5E58" w:rsidRDefault="00FF217E" w:rsidP="00FF217E">
      <w:pPr>
        <w:pStyle w:val="Paragrafi"/>
        <w:rPr>
          <w:lang w:val="sq-AL"/>
        </w:rPr>
      </w:pPr>
      <w:r w:rsidRPr="00ED5E58">
        <w:rPr>
          <w:lang w:val="sq-AL"/>
        </w:rPr>
        <w:t>2. Kjo llogari duhet të jetë e ndryshme nga llogaria bankare që noteri përdor si person fizik ose si individ dhe nuk duhet të gjenerojë interesa.</w:t>
      </w:r>
    </w:p>
    <w:p w:rsidR="00FF217E" w:rsidRPr="00ED5E58" w:rsidRDefault="00FF217E" w:rsidP="00FF217E">
      <w:pPr>
        <w:pStyle w:val="Paragrafi"/>
        <w:rPr>
          <w:lang w:val="sq-AL"/>
        </w:rPr>
      </w:pPr>
      <w:r w:rsidRPr="00ED5E58">
        <w:rPr>
          <w:lang w:val="sq-AL"/>
        </w:rPr>
        <w:t xml:space="preserve">3. Kur palët (shitësi dhe blerësi) paraqiten para noterit për lidhjen e kontratës </w:t>
      </w:r>
      <w:r>
        <w:rPr>
          <w:lang w:val="sq-AL"/>
        </w:rPr>
        <w:t>s</w:t>
      </w:r>
      <w:r w:rsidRPr="006958EF">
        <w:rPr>
          <w:lang w:val="sq-AL"/>
        </w:rPr>
        <w:t>ë</w:t>
      </w:r>
      <w:r w:rsidRPr="00ED5E58">
        <w:rPr>
          <w:lang w:val="sq-AL"/>
        </w:rPr>
        <w:t xml:space="preserve"> tjetërsimit të pasurisë së paluajtshme, noteri menjëherë kontrollon </w:t>
      </w:r>
      <w:proofErr w:type="spellStart"/>
      <w:r w:rsidRPr="00ED5E58">
        <w:rPr>
          <w:i/>
          <w:lang w:val="sq-AL"/>
        </w:rPr>
        <w:t>on</w:t>
      </w:r>
      <w:proofErr w:type="spellEnd"/>
      <w:r w:rsidRPr="00ED5E58">
        <w:rPr>
          <w:i/>
          <w:lang w:val="sq-AL"/>
        </w:rPr>
        <w:t>-</w:t>
      </w:r>
      <w:proofErr w:type="spellStart"/>
      <w:r w:rsidRPr="00ED5E58">
        <w:rPr>
          <w:i/>
          <w:lang w:val="sq-AL"/>
        </w:rPr>
        <w:t>line</w:t>
      </w:r>
      <w:proofErr w:type="spellEnd"/>
      <w:r w:rsidRPr="00ED5E58">
        <w:rPr>
          <w:lang w:val="sq-AL"/>
        </w:rPr>
        <w:t>, në regjistrin elektronik të regjistrimit të pasurive të paluajtshme, nëse shitësi është pronar dhe realizon kontratën.</w:t>
      </w:r>
    </w:p>
    <w:p w:rsidR="00FF217E" w:rsidRPr="00ED5E58" w:rsidRDefault="00FF217E" w:rsidP="00FF217E">
      <w:pPr>
        <w:pStyle w:val="Paragrafi"/>
        <w:rPr>
          <w:lang w:val="sq-AL"/>
        </w:rPr>
      </w:pPr>
      <w:r w:rsidRPr="00ED5E58">
        <w:rPr>
          <w:lang w:val="sq-AL"/>
        </w:rPr>
        <w:t>Në kontratë duhet të pasqyrohet edhe mënyra e derdhjes së çmimit të tjetërsimit të pasurisë së paluajtshme.</w:t>
      </w:r>
    </w:p>
    <w:p w:rsidR="00FF217E" w:rsidRPr="00ED5E58" w:rsidRDefault="00FF217E" w:rsidP="00FF217E">
      <w:pPr>
        <w:pStyle w:val="Paragrafi"/>
        <w:rPr>
          <w:lang w:val="sq-AL"/>
        </w:rPr>
      </w:pPr>
      <w:r w:rsidRPr="00ED5E58">
        <w:rPr>
          <w:lang w:val="sq-AL"/>
        </w:rPr>
        <w:t>4. Me realizimin e kontratës, pala blerës</w:t>
      </w:r>
      <w:r>
        <w:rPr>
          <w:lang w:val="sq-AL"/>
        </w:rPr>
        <w:t>e</w:t>
      </w:r>
      <w:r w:rsidRPr="00ED5E58">
        <w:rPr>
          <w:lang w:val="sq-AL"/>
        </w:rPr>
        <w:t xml:space="preserve"> duhet të derdhë çmimin e tjetërsimit të pasurisë së paluajtshme në llogarinë bankare të noterit. Për këtë qëllim blerësi pajiset nga noteri me të dhënat e sakta në lidhje me emërtimin dhe numrin e llogarisë bankare.</w:t>
      </w:r>
    </w:p>
    <w:p w:rsidR="00FF217E" w:rsidRPr="00ED5E58" w:rsidRDefault="00FF217E" w:rsidP="00FF217E">
      <w:pPr>
        <w:pStyle w:val="Paragrafi"/>
        <w:rPr>
          <w:lang w:val="sq-AL"/>
        </w:rPr>
      </w:pPr>
      <w:r w:rsidRPr="00ED5E58">
        <w:rPr>
          <w:lang w:val="sq-AL"/>
        </w:rPr>
        <w:t>Vetëm pas paraqitjes së dokumentit bankar që vërteton se çmimi i tjetërsimit është derdhur në llogarinë e noterit, kontrata firmoset nga të dy</w:t>
      </w:r>
      <w:r>
        <w:rPr>
          <w:lang w:val="sq-AL"/>
        </w:rPr>
        <w:t>ja</w:t>
      </w:r>
      <w:r w:rsidRPr="00ED5E58">
        <w:rPr>
          <w:lang w:val="sq-AL"/>
        </w:rPr>
        <w:t xml:space="preserve"> palët.</w:t>
      </w:r>
    </w:p>
    <w:p w:rsidR="00FF217E" w:rsidRPr="00ED5E58" w:rsidRDefault="00FF217E" w:rsidP="00FF217E">
      <w:pPr>
        <w:pStyle w:val="Paragrafi"/>
        <w:rPr>
          <w:lang w:val="sq-AL"/>
        </w:rPr>
      </w:pPr>
      <w:r w:rsidRPr="00ED5E58">
        <w:rPr>
          <w:lang w:val="sq-AL"/>
        </w:rPr>
        <w:t>5. Kontrata e tjetërsimit e noterizuar, dorëzohet në Zyrën e Regjistrimit të Pasurive të Paluajtshme, brenda 10 ditëve, nga dita e nënshkrimit të kontratës nga kërkuesi, noteri apo asistenti i tij.</w:t>
      </w:r>
    </w:p>
    <w:p w:rsidR="00FF217E" w:rsidRPr="00ED5E58" w:rsidRDefault="00FF217E" w:rsidP="00FF217E">
      <w:pPr>
        <w:pStyle w:val="Paragrafi"/>
        <w:rPr>
          <w:lang w:val="sq-AL"/>
        </w:rPr>
      </w:pPr>
      <w:r w:rsidRPr="00ED5E58">
        <w:rPr>
          <w:lang w:val="sq-AL"/>
        </w:rPr>
        <w:t xml:space="preserve">Në rastet kur noteri bën kërkesën për regjistrimin e veprimeve juridike, të fitimit apo </w:t>
      </w:r>
      <w:r>
        <w:rPr>
          <w:lang w:val="sq-AL"/>
        </w:rPr>
        <w:t>t</w:t>
      </w:r>
      <w:r w:rsidRPr="00533AE0">
        <w:rPr>
          <w:lang w:val="sq-AL"/>
        </w:rPr>
        <w:t>ë</w:t>
      </w:r>
      <w:r>
        <w:rPr>
          <w:lang w:val="sq-AL"/>
        </w:rPr>
        <w:t xml:space="preserve"> </w:t>
      </w:r>
      <w:r w:rsidRPr="00ED5E58">
        <w:rPr>
          <w:lang w:val="sq-AL"/>
        </w:rPr>
        <w:t>kalimit të së drejtës së pronësisë së pasurive të paluajtshme dhe marrjes së certifikatave të pronësisë, tërheq nga shuma e derdhur në llog</w:t>
      </w:r>
      <w:r>
        <w:rPr>
          <w:lang w:val="sq-AL"/>
        </w:rPr>
        <w:t>arinë bankare, nga blerësi, 10%</w:t>
      </w:r>
      <w:r w:rsidRPr="00ED5E58">
        <w:rPr>
          <w:lang w:val="sq-AL"/>
        </w:rPr>
        <w:t xml:space="preserve"> të fitimeve kapitale të realizuara në përputhje me nenin 11 të ligjit </w:t>
      </w:r>
      <w:r>
        <w:rPr>
          <w:lang w:val="sq-AL"/>
        </w:rPr>
        <w:t xml:space="preserve">nr. </w:t>
      </w:r>
      <w:r w:rsidRPr="00ED5E58">
        <w:rPr>
          <w:lang w:val="sq-AL"/>
        </w:rPr>
        <w:t>8438, datë 28.12.1998 “Pë</w:t>
      </w:r>
      <w:r>
        <w:rPr>
          <w:lang w:val="sq-AL"/>
        </w:rPr>
        <w:t>r tatimin mb</w:t>
      </w:r>
      <w:r w:rsidRPr="00ED5E58">
        <w:rPr>
          <w:lang w:val="sq-AL"/>
        </w:rPr>
        <w:t xml:space="preserve">i të ardhurat”, </w:t>
      </w:r>
      <w:r>
        <w:rPr>
          <w:lang w:val="sq-AL"/>
        </w:rPr>
        <w:t>t</w:t>
      </w:r>
      <w:r w:rsidRPr="00A60696">
        <w:rPr>
          <w:lang w:val="sq-AL"/>
        </w:rPr>
        <w:t>ë</w:t>
      </w:r>
      <w:r w:rsidRPr="00ED5E58">
        <w:rPr>
          <w:lang w:val="sq-AL"/>
        </w:rPr>
        <w:t xml:space="preserve"> ndryshuar dhe udhëzimit </w:t>
      </w:r>
      <w:r>
        <w:rPr>
          <w:lang w:val="sq-AL"/>
        </w:rPr>
        <w:t xml:space="preserve">nr. </w:t>
      </w:r>
      <w:r w:rsidRPr="00ED5E58">
        <w:rPr>
          <w:lang w:val="sq-AL"/>
        </w:rPr>
        <w:t>9, datë 26.2.2008 “Për tatimin e kalimit të së drejtës së pasurisë së paluajtshme”.</w:t>
      </w:r>
    </w:p>
    <w:p w:rsidR="00FF217E" w:rsidRPr="00ED5E58" w:rsidRDefault="00FF217E" w:rsidP="00FF217E">
      <w:pPr>
        <w:pStyle w:val="Paragrafi"/>
        <w:rPr>
          <w:lang w:val="sq-AL"/>
        </w:rPr>
      </w:pPr>
      <w:r w:rsidRPr="00ED5E58">
        <w:rPr>
          <w:lang w:val="sq-AL"/>
        </w:rPr>
        <w:t xml:space="preserve">6. Noteri derdh tatimin lidhur me kalimin e </w:t>
      </w:r>
      <w:r>
        <w:rPr>
          <w:lang w:val="sq-AL"/>
        </w:rPr>
        <w:t>s</w:t>
      </w:r>
      <w:r w:rsidRPr="00ED5E58">
        <w:rPr>
          <w:lang w:val="sq-AL"/>
        </w:rPr>
        <w:t>ë drejtës së pronësisë së pasurisë së paluajtshme në llogarinë bankare të ZRPP-së dhe paraqet dokumentin bankar që konfirmon kryerjen e transaksionit në ZRPP për regjistrimin e pasurisë së paluajtshme.</w:t>
      </w:r>
    </w:p>
    <w:p w:rsidR="00FF217E" w:rsidRPr="00ED5E58" w:rsidRDefault="00FF217E" w:rsidP="00FF217E">
      <w:pPr>
        <w:pStyle w:val="Paragrafi"/>
        <w:rPr>
          <w:lang w:val="sq-AL"/>
        </w:rPr>
      </w:pPr>
      <w:r w:rsidRPr="00ED5E58">
        <w:rPr>
          <w:lang w:val="sq-AL"/>
        </w:rPr>
        <w:t>7. Me marrjen në dorëzim të certifikatës së pronësisë, brenda 24 orëve, noteri transferon në llogarinë bankare të shitësit shumën</w:t>
      </w:r>
      <w:r>
        <w:rPr>
          <w:lang w:val="sq-AL"/>
        </w:rPr>
        <w:t xml:space="preserve"> </w:t>
      </w:r>
      <w:r w:rsidRPr="00ED5E58">
        <w:rPr>
          <w:lang w:val="sq-AL"/>
        </w:rPr>
        <w:t>e depozituar nga blerësi në llogarinë bankare të tij</w:t>
      </w:r>
      <w:r>
        <w:rPr>
          <w:lang w:val="sq-AL"/>
        </w:rPr>
        <w:t>,</w:t>
      </w:r>
      <w:r w:rsidRPr="00ED5E58">
        <w:rPr>
          <w:lang w:val="sq-AL"/>
        </w:rPr>
        <w:t xml:space="preserve"> duke zbritur komisionin bankar të aplikuar nga banka për </w:t>
      </w:r>
      <w:proofErr w:type="spellStart"/>
      <w:r w:rsidRPr="00ED5E58">
        <w:rPr>
          <w:lang w:val="sq-AL"/>
        </w:rPr>
        <w:t>transfer</w:t>
      </w:r>
      <w:r>
        <w:rPr>
          <w:lang w:val="sq-AL"/>
        </w:rPr>
        <w:t>t</w:t>
      </w:r>
      <w:r w:rsidRPr="00ED5E58">
        <w:rPr>
          <w:lang w:val="sq-AL"/>
        </w:rPr>
        <w:t>ën</w:t>
      </w:r>
      <w:proofErr w:type="spellEnd"/>
      <w:r w:rsidRPr="00ED5E58">
        <w:rPr>
          <w:lang w:val="sq-AL"/>
        </w:rPr>
        <w:t>.</w:t>
      </w:r>
    </w:p>
    <w:p w:rsidR="00FF217E" w:rsidRPr="00ED5E58" w:rsidRDefault="00FF217E" w:rsidP="00FF217E">
      <w:pPr>
        <w:pStyle w:val="Paragrafi"/>
        <w:rPr>
          <w:lang w:val="sq-AL"/>
        </w:rPr>
      </w:pPr>
      <w:r w:rsidRPr="00ED5E58">
        <w:rPr>
          <w:lang w:val="sq-AL"/>
        </w:rPr>
        <w:t>8. Transferimi i shumës nga llogaria bankare e noterit në llogarinë e shitësit, do të bëhet nga noteri në përputhje me rregullat përkatëse bankare.</w:t>
      </w:r>
    </w:p>
    <w:p w:rsidR="00FF217E" w:rsidRDefault="00FF217E" w:rsidP="00FF217E">
      <w:pPr>
        <w:pStyle w:val="Paragrafi"/>
        <w:rPr>
          <w:lang w:val="sq-AL"/>
        </w:rPr>
      </w:pPr>
      <w:r w:rsidRPr="00ED5E58">
        <w:rPr>
          <w:lang w:val="sq-AL"/>
        </w:rPr>
        <w:t>9. Shumat e depozituara në llogarinë e noterit mbahen për llogari të palëve, për të cilat janë marrë dhe mbahen këto para. Veprimet përmbarimore dhe/ose ato të administratës tatimore qendrore ose vendore, me qëllim ekzekutimin e detyrimeve të noterit kundrejt palëve të treta, nuk mund të shtrihen mbi këtë llogari bankare të dedikuar për kryerjen e transaksioneve të tjetërsimit të pasurisë së paluajtshme.</w:t>
      </w:r>
    </w:p>
    <w:p w:rsidR="00FF217E" w:rsidRPr="00ED5E58" w:rsidRDefault="00FF217E" w:rsidP="00FF217E">
      <w:pPr>
        <w:pStyle w:val="Paragrafi"/>
        <w:rPr>
          <w:lang w:val="sq-AL"/>
        </w:rPr>
      </w:pPr>
    </w:p>
    <w:p w:rsidR="00FF217E" w:rsidRPr="00ED5E58" w:rsidRDefault="00FF217E" w:rsidP="00FF217E">
      <w:pPr>
        <w:pStyle w:val="Paragrafi"/>
        <w:rPr>
          <w:lang w:val="sq-AL"/>
        </w:rPr>
      </w:pPr>
      <w:r w:rsidRPr="00ED5E58">
        <w:rPr>
          <w:lang w:val="sq-AL"/>
        </w:rPr>
        <w:lastRenderedPageBreak/>
        <w:t>10. Ngarkohen noterët dhe strukturat përgjegjëse për veprimtarinë e noterisë në Ministrinë e Drejtësisë, për zbatimin e këtij udhëzimi.</w:t>
      </w:r>
    </w:p>
    <w:p w:rsidR="00FF217E" w:rsidRPr="00ED5E58" w:rsidRDefault="00FF217E" w:rsidP="00FF217E">
      <w:pPr>
        <w:pStyle w:val="Paragrafi"/>
        <w:rPr>
          <w:lang w:val="sq-AL"/>
        </w:rPr>
      </w:pPr>
      <w:r w:rsidRPr="00ED5E58">
        <w:rPr>
          <w:lang w:val="sq-AL"/>
        </w:rPr>
        <w:t>Ky udhëzim hyn në fuqi pas botimit në Fletoren Zyrtare.</w:t>
      </w:r>
    </w:p>
    <w:p w:rsidR="00FF217E" w:rsidRPr="00ED5E58" w:rsidRDefault="00FF217E" w:rsidP="00FF217E">
      <w:pPr>
        <w:pStyle w:val="Paragrafi"/>
        <w:rPr>
          <w:lang w:val="sq-AL"/>
        </w:rPr>
      </w:pPr>
    </w:p>
    <w:tbl>
      <w:tblPr>
        <w:tblW w:w="0" w:type="auto"/>
        <w:jc w:val="center"/>
        <w:tblLook w:val="04A0"/>
      </w:tblPr>
      <w:tblGrid>
        <w:gridCol w:w="4643"/>
        <w:gridCol w:w="4644"/>
      </w:tblGrid>
      <w:tr w:rsidR="00FF217E" w:rsidRPr="00ED5E58" w:rsidTr="00A172F8">
        <w:trPr>
          <w:jc w:val="center"/>
        </w:trPr>
        <w:tc>
          <w:tcPr>
            <w:tcW w:w="4643" w:type="dxa"/>
          </w:tcPr>
          <w:p w:rsidR="00FF217E" w:rsidRPr="00F60838" w:rsidRDefault="00FF217E" w:rsidP="00A172F8">
            <w:pPr>
              <w:pStyle w:val="Autoriteti"/>
              <w:jc w:val="both"/>
            </w:pPr>
            <w:r w:rsidRPr="00F60838">
              <w:t>Ministri i Financave</w:t>
            </w:r>
          </w:p>
          <w:p w:rsidR="00FF217E" w:rsidRPr="00F60838" w:rsidRDefault="00FF217E" w:rsidP="00A172F8">
            <w:pPr>
              <w:pStyle w:val="AutoritetiEmer"/>
              <w:jc w:val="both"/>
            </w:pPr>
            <w:proofErr w:type="spellStart"/>
            <w:r w:rsidRPr="00F60838">
              <w:t>Ridvan</w:t>
            </w:r>
            <w:proofErr w:type="spellEnd"/>
            <w:r w:rsidRPr="00F60838">
              <w:t xml:space="preserve"> Bode</w:t>
            </w:r>
          </w:p>
        </w:tc>
        <w:tc>
          <w:tcPr>
            <w:tcW w:w="4644" w:type="dxa"/>
          </w:tcPr>
          <w:p w:rsidR="00FF217E" w:rsidRPr="00F60838" w:rsidRDefault="00FF217E" w:rsidP="00A172F8">
            <w:pPr>
              <w:pStyle w:val="Autoriteti"/>
            </w:pPr>
            <w:r w:rsidRPr="00F60838">
              <w:t>Ministri i Drejtësisë</w:t>
            </w:r>
          </w:p>
          <w:p w:rsidR="00FF217E" w:rsidRPr="00F60838" w:rsidRDefault="00FF217E" w:rsidP="00A172F8">
            <w:pPr>
              <w:pStyle w:val="AutoritetiEmer"/>
            </w:pPr>
            <w:r w:rsidRPr="00F60838">
              <w:t xml:space="preserve">Eduard </w:t>
            </w:r>
            <w:proofErr w:type="spellStart"/>
            <w:r w:rsidRPr="00F60838">
              <w:t>Halimi</w:t>
            </w:r>
            <w:proofErr w:type="spellEnd"/>
          </w:p>
        </w:tc>
      </w:tr>
    </w:tbl>
    <w:p w:rsidR="00FF217E" w:rsidRDefault="00FF217E" w:rsidP="00FF217E">
      <w:pPr>
        <w:pStyle w:val="Akti"/>
        <w:keepNext w:val="0"/>
        <w:rPr>
          <w:lang w:val="sq-AL"/>
        </w:rPr>
      </w:pPr>
    </w:p>
    <w:p w:rsidR="00000000" w:rsidRDefault="00FF217E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7"/>
  <w:proofState w:spelling="clean" w:grammar="clean"/>
  <w:defaultTabStop w:val="720"/>
  <w:characterSpacingControl w:val="doNotCompress"/>
  <w:compat>
    <w:useFELayout/>
  </w:compat>
  <w:rsids>
    <w:rsidRoot w:val="00FF217E"/>
    <w:rsid w:val="00FF21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F217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FF217E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rsid w:val="00FF217E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FF217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F217E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FF217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FF217E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FF217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FF217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F217E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FF217E"/>
    <w:rPr>
      <w:rFonts w:ascii="CG Times" w:eastAsia="MS Mincho" w:hAnsi="CG Times" w:cs="CG Times"/>
      <w:b/>
      <w:bCs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FF217E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FF217E"/>
    <w:rPr>
      <w:rFonts w:ascii="CG Times" w:eastAsia="MS Mincho" w:hAnsi="CG Times" w:cs="CG Times"/>
      <w:b/>
      <w:bCs/>
      <w:caps/>
      <w:color w:val="00000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517</Words>
  <Characters>2951</Characters>
  <Application>Microsoft Office Word</Application>
  <DocSecurity>0</DocSecurity>
  <Lines>24</Lines>
  <Paragraphs>6</Paragraphs>
  <ScaleCrop>false</ScaleCrop>
  <Company>Grizli777</Company>
  <LinksUpToDate>false</LinksUpToDate>
  <CharactersWithSpaces>3462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2014-09-04T09:19:00Z</dcterms:created>
  <dcterms:modified xsi:type="dcterms:W3CDTF">2014-09-04T09:19:00Z</dcterms:modified>
</cp:coreProperties>
</file>