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CA8" w:rsidRPr="00A93FD7" w:rsidRDefault="00DC3CA8" w:rsidP="00DC3CA8">
      <w:pPr>
        <w:pStyle w:val="NumriData"/>
        <w:rPr>
          <w:lang w:val="sq-AL"/>
        </w:rPr>
      </w:pPr>
      <w:bookmarkStart w:id="0" w:name="_GoBack"/>
      <w:bookmarkEnd w:id="0"/>
      <w:r w:rsidRPr="00A93FD7">
        <w:rPr>
          <w:lang w:val="sq-AL"/>
        </w:rPr>
        <w:t>UDHËZIM</w:t>
      </w:r>
    </w:p>
    <w:p w:rsidR="00DC3CA8" w:rsidRPr="00A93FD7" w:rsidRDefault="00DC3CA8" w:rsidP="00DC3CA8">
      <w:pPr>
        <w:pStyle w:val="NumriData"/>
        <w:rPr>
          <w:lang w:val="sq-AL"/>
        </w:rPr>
      </w:pPr>
      <w:r w:rsidRPr="00A93FD7">
        <w:rPr>
          <w:lang w:val="sq-AL"/>
        </w:rPr>
        <w:t>Nr. 23</w:t>
      </w:r>
      <w:r>
        <w:rPr>
          <w:lang w:val="sq-AL"/>
        </w:rPr>
        <w:t>,</w:t>
      </w:r>
      <w:r w:rsidRPr="00A93FD7">
        <w:rPr>
          <w:lang w:val="sq-AL"/>
        </w:rPr>
        <w:t xml:space="preserve"> datë 18.10.2012</w:t>
      </w:r>
    </w:p>
    <w:p w:rsidR="00DC3CA8" w:rsidRPr="00A93FD7" w:rsidRDefault="00DC3CA8" w:rsidP="00DC3CA8">
      <w:pPr>
        <w:pStyle w:val="Titulli"/>
        <w:rPr>
          <w:rFonts w:cs="Times New Roman"/>
          <w:lang w:val="sq-AL"/>
        </w:rPr>
      </w:pPr>
    </w:p>
    <w:p w:rsidR="00DC3CA8" w:rsidRPr="00A93FD7" w:rsidRDefault="00DC3CA8" w:rsidP="00DC3CA8">
      <w:pPr>
        <w:pStyle w:val="Titulli"/>
        <w:rPr>
          <w:lang w:val="sq-AL"/>
        </w:rPr>
      </w:pPr>
      <w:r w:rsidRPr="00A93FD7">
        <w:rPr>
          <w:lang w:val="sq-AL"/>
        </w:rPr>
        <w:t>PËR DISA SHTESA DHE NDRYSHIME NË UDHËZIMIN NR. 19, DATË 1.9.2011 </w:t>
      </w:r>
    </w:p>
    <w:p w:rsidR="00DC3CA8" w:rsidRPr="00A93FD7" w:rsidRDefault="00DC3CA8" w:rsidP="00DC3CA8">
      <w:pPr>
        <w:pStyle w:val="Titulli"/>
        <w:rPr>
          <w:lang w:val="sq-AL"/>
        </w:rPr>
      </w:pPr>
      <w:r w:rsidRPr="00A93FD7">
        <w:rPr>
          <w:lang w:val="sq-AL"/>
        </w:rPr>
        <w:t xml:space="preserve">“PËR MODALITETET E APLIKIMIT TË PULLAVE TË AKCIZËS DHE PULLAVE FISKALE NË PRODUKTET E DUHANIT, BIRRËS DHE ALKOOLIT”, </w:t>
      </w:r>
      <w:r>
        <w:rPr>
          <w:lang w:val="sq-AL"/>
        </w:rPr>
        <w:t>T</w:t>
      </w:r>
      <w:r>
        <w:rPr>
          <w:rFonts w:ascii="Times New Roman" w:hAnsi="Times New Roman" w:cs="Times New Roman"/>
          <w:lang w:val="sq-AL"/>
        </w:rPr>
        <w:t>Ë</w:t>
      </w:r>
      <w:r w:rsidRPr="00A93FD7">
        <w:rPr>
          <w:lang w:val="sq-AL"/>
        </w:rPr>
        <w:t xml:space="preserve"> NDRYSHUAR</w:t>
      </w:r>
    </w:p>
    <w:p w:rsidR="00DC3CA8" w:rsidRPr="00A93FD7" w:rsidRDefault="00DC3CA8" w:rsidP="00DC3CA8">
      <w:pPr>
        <w:pStyle w:val="Paragrafi"/>
        <w:rPr>
          <w:rFonts w:cs="Times New Roman"/>
          <w:lang w:val="sq-AL"/>
        </w:rPr>
      </w:pPr>
    </w:p>
    <w:p w:rsidR="00DC3CA8" w:rsidRPr="00A93FD7" w:rsidRDefault="00DC3CA8" w:rsidP="00DC3CA8">
      <w:pPr>
        <w:pStyle w:val="Paragrafi"/>
        <w:rPr>
          <w:lang w:val="sq-AL"/>
        </w:rPr>
      </w:pPr>
      <w:r w:rsidRPr="00A93FD7">
        <w:rPr>
          <w:lang w:val="sq-AL"/>
        </w:rPr>
        <w:t xml:space="preserve">Bazuar në ligjin nr. 61/2012 “Për </w:t>
      </w:r>
      <w:r>
        <w:rPr>
          <w:lang w:val="sq-AL"/>
        </w:rPr>
        <w:t>a</w:t>
      </w:r>
      <w:r w:rsidRPr="00A93FD7">
        <w:rPr>
          <w:lang w:val="sq-AL"/>
        </w:rPr>
        <w:t xml:space="preserve">kcizat në Republikën e Shqipërisë”, të </w:t>
      </w:r>
      <w:r>
        <w:rPr>
          <w:lang w:val="sq-AL"/>
        </w:rPr>
        <w:t>ndryshuar, Ministri i Financave</w:t>
      </w:r>
      <w:r w:rsidRPr="00A93FD7">
        <w:rPr>
          <w:lang w:val="sq-AL"/>
        </w:rPr>
        <w:t xml:space="preserve"> </w:t>
      </w:r>
    </w:p>
    <w:p w:rsidR="00DC3CA8" w:rsidRDefault="00DC3CA8" w:rsidP="00DC3CA8">
      <w:pPr>
        <w:pStyle w:val="Paragrafi"/>
        <w:rPr>
          <w:lang w:val="sq-AL"/>
        </w:rPr>
      </w:pPr>
    </w:p>
    <w:p w:rsidR="00DC3CA8" w:rsidRPr="00A93FD7" w:rsidRDefault="00DC3CA8" w:rsidP="00DC3CA8">
      <w:pPr>
        <w:pStyle w:val="Paragrafi"/>
        <w:rPr>
          <w:lang w:val="sq-AL"/>
        </w:rPr>
      </w:pPr>
    </w:p>
    <w:p w:rsidR="00DC3CA8" w:rsidRPr="00A93FD7" w:rsidRDefault="00DC3CA8" w:rsidP="00DC3CA8">
      <w:pPr>
        <w:pStyle w:val="VENDOSI"/>
        <w:rPr>
          <w:lang w:val="sq-AL"/>
        </w:rPr>
      </w:pPr>
      <w:r w:rsidRPr="00A93FD7">
        <w:rPr>
          <w:lang w:val="sq-AL"/>
        </w:rPr>
        <w:t>UDHËZON:</w:t>
      </w:r>
    </w:p>
    <w:p w:rsidR="00DC3CA8" w:rsidRPr="00A93FD7" w:rsidRDefault="00DC3CA8" w:rsidP="00DC3CA8">
      <w:pPr>
        <w:pStyle w:val="Paragrafi"/>
        <w:rPr>
          <w:rFonts w:cs="Times New Roman"/>
          <w:lang w:val="sq-AL"/>
        </w:rPr>
      </w:pPr>
    </w:p>
    <w:p w:rsidR="00DC3CA8" w:rsidRPr="00A93FD7" w:rsidRDefault="00DC3CA8" w:rsidP="00DC3CA8">
      <w:pPr>
        <w:pStyle w:val="Paragrafi"/>
        <w:rPr>
          <w:rFonts w:cs="Times New Roman"/>
          <w:lang w:val="sq-AL"/>
        </w:rPr>
      </w:pPr>
      <w:r w:rsidRPr="00A93FD7">
        <w:rPr>
          <w:lang w:val="sq-AL"/>
        </w:rPr>
        <w:t xml:space="preserve">Në </w:t>
      </w:r>
      <w:r>
        <w:rPr>
          <w:lang w:val="sq-AL"/>
        </w:rPr>
        <w:t>u</w:t>
      </w:r>
      <w:r w:rsidRPr="00A93FD7">
        <w:rPr>
          <w:lang w:val="sq-AL"/>
        </w:rPr>
        <w:t>dhëzimin</w:t>
      </w:r>
      <w:r>
        <w:rPr>
          <w:lang w:val="sq-AL"/>
        </w:rPr>
        <w:t xml:space="preserve"> nr. 19, datë 1.</w:t>
      </w:r>
      <w:r w:rsidRPr="00A93FD7">
        <w:rPr>
          <w:lang w:val="sq-AL"/>
        </w:rPr>
        <w:t>9.2011 “Për modalitetet e aplikimit të pullave të akcizës dhe pullave fiskale në produktet e duhanit, birrës dhe alkoolit” bëhen këto ndryshime</w:t>
      </w:r>
      <w:r>
        <w:rPr>
          <w:lang w:val="sq-AL"/>
        </w:rPr>
        <w:t>:</w:t>
      </w:r>
    </w:p>
    <w:p w:rsidR="00DC3CA8" w:rsidRPr="00A93FD7" w:rsidRDefault="00DC3CA8" w:rsidP="00DC3CA8">
      <w:pPr>
        <w:pStyle w:val="Paragrafi"/>
        <w:rPr>
          <w:lang w:val="sq-AL"/>
        </w:rPr>
      </w:pPr>
      <w:r w:rsidRPr="00A93FD7">
        <w:rPr>
          <w:lang w:val="sq-AL"/>
        </w:rPr>
        <w:t>1. Baza ligjore e udhëzimit bëhet: ligji 61/2012 “Për akcizat në Republikën e Shqipërisë”, neni 40 pika 2, neni 41 pika 2, neni 42 pika 5.</w:t>
      </w:r>
    </w:p>
    <w:p w:rsidR="00DC3CA8" w:rsidRPr="00A93FD7" w:rsidRDefault="00DC3CA8" w:rsidP="00DC3CA8">
      <w:pPr>
        <w:pStyle w:val="Paragrafi"/>
        <w:rPr>
          <w:lang w:val="sq-AL"/>
        </w:rPr>
      </w:pPr>
      <w:r w:rsidRPr="00A93FD7">
        <w:rPr>
          <w:lang w:val="sq-AL"/>
        </w:rPr>
        <w:t>2. Në pikë</w:t>
      </w:r>
      <w:r>
        <w:rPr>
          <w:lang w:val="sq-AL"/>
        </w:rPr>
        <w:t>n 3.1 bëhen këto ndryshime</w:t>
      </w:r>
      <w:r w:rsidRPr="00A93FD7">
        <w:rPr>
          <w:lang w:val="sq-AL"/>
        </w:rPr>
        <w:t>:</w:t>
      </w:r>
    </w:p>
    <w:p w:rsidR="00DC3CA8" w:rsidRPr="00A93FD7" w:rsidRDefault="00DC3CA8" w:rsidP="00DC3CA8">
      <w:pPr>
        <w:pStyle w:val="Paragrafi"/>
        <w:rPr>
          <w:lang w:val="sq-AL"/>
        </w:rPr>
      </w:pPr>
      <w:r w:rsidRPr="00A93FD7">
        <w:rPr>
          <w:lang w:val="sq-AL"/>
        </w:rPr>
        <w:t>“Autoritet” do të thotë Drejtoria e Përgjithshme e Doganave.</w:t>
      </w:r>
    </w:p>
    <w:p w:rsidR="00DC3CA8" w:rsidRPr="00A93FD7" w:rsidRDefault="00DC3CA8" w:rsidP="00DC3CA8">
      <w:pPr>
        <w:pStyle w:val="Paragrafi"/>
        <w:rPr>
          <w:lang w:val="sq-AL"/>
        </w:rPr>
      </w:pPr>
      <w:r w:rsidRPr="00A93FD7">
        <w:rPr>
          <w:lang w:val="sq-AL"/>
        </w:rPr>
        <w:t>“Ligji i akcizës” do të thotë ligji nr. 61/2012 “Për akcizat në Republikën e Shqipërisë”.</w:t>
      </w:r>
    </w:p>
    <w:p w:rsidR="00DC3CA8" w:rsidRPr="00A93FD7" w:rsidRDefault="00DC3CA8" w:rsidP="00DC3CA8">
      <w:pPr>
        <w:pStyle w:val="Paragrafi"/>
        <w:rPr>
          <w:lang w:val="sq-AL"/>
        </w:rPr>
      </w:pPr>
      <w:r w:rsidRPr="00A93FD7">
        <w:rPr>
          <w:lang w:val="sq-AL"/>
        </w:rPr>
        <w:t>“Pullë fiskale” është pulla e Qeverisë Shqiptare, që u aplikohet produkteve të akcizës, në formën e pullës së akcizës ose kodit të sigurisë.</w:t>
      </w:r>
    </w:p>
    <w:p w:rsidR="00DC3CA8" w:rsidRPr="00A93FD7" w:rsidRDefault="00DC3CA8" w:rsidP="00DC3CA8">
      <w:pPr>
        <w:pStyle w:val="Paragrafi"/>
        <w:rPr>
          <w:lang w:val="sq-AL"/>
        </w:rPr>
      </w:pPr>
      <w:r w:rsidRPr="00A93FD7">
        <w:rPr>
          <w:lang w:val="sq-AL"/>
        </w:rPr>
        <w:t>“Pullë akcize” është pulla e akcizës e Qeverisë Shqiptare, e përdorshme në përputhje me ligjin 61/2012 për produktet që do t’u vendoset kjo pullë akcize dhe që renditen në shtojcën nr. 1, seksionet 2 dhe 3, përveç birrës së prodhuar në vend, për të cilën do të vendoset një kod sigurie.</w:t>
      </w:r>
    </w:p>
    <w:p w:rsidR="00DC3CA8" w:rsidRPr="00A93FD7" w:rsidRDefault="00DC3CA8" w:rsidP="00DC3CA8">
      <w:pPr>
        <w:pStyle w:val="Paragrafi"/>
        <w:rPr>
          <w:lang w:val="sq-AL"/>
        </w:rPr>
      </w:pPr>
      <w:r w:rsidRPr="00A93FD7">
        <w:rPr>
          <w:lang w:val="sq-AL"/>
        </w:rPr>
        <w:t>“Kod i sigurisë” është një shenjë direkte që aplikohet për produktet e birrës apo në produkte të tjera të pijeve alkoolike që prodhohen në Shqipëri nga prodhuesit në shkallë të madhe apo importohen nga importuesit e autorizuar për këtë qëllim nga Drejtoria e Përgjithshme e Doganave.</w:t>
      </w:r>
    </w:p>
    <w:p w:rsidR="00DC3CA8" w:rsidRPr="00A93FD7" w:rsidRDefault="00DC3CA8" w:rsidP="00DC3CA8">
      <w:pPr>
        <w:pStyle w:val="Paragrafi"/>
        <w:rPr>
          <w:lang w:val="sq-AL"/>
        </w:rPr>
      </w:pPr>
      <w:r w:rsidRPr="00A93FD7">
        <w:rPr>
          <w:lang w:val="sq-AL"/>
        </w:rPr>
        <w:t>“Importues” do të thotë çdo person që kryen import të mallrave të akcizës, sipas ligjit të akcizës.</w:t>
      </w:r>
    </w:p>
    <w:p w:rsidR="00DC3CA8" w:rsidRPr="00A93FD7" w:rsidRDefault="00DC3CA8" w:rsidP="00DC3CA8">
      <w:pPr>
        <w:pStyle w:val="Paragrafi"/>
        <w:rPr>
          <w:lang w:val="sq-AL"/>
        </w:rPr>
      </w:pPr>
      <w:r w:rsidRPr="00A93FD7">
        <w:rPr>
          <w:lang w:val="sq-AL"/>
        </w:rPr>
        <w:t>“Prodhues” do të thotë çdo person sipas përcaktimeve t</w:t>
      </w:r>
      <w:r>
        <w:rPr>
          <w:lang w:val="sq-AL"/>
        </w:rPr>
        <w:t>ë</w:t>
      </w:r>
      <w:r w:rsidRPr="00A93FD7">
        <w:rPr>
          <w:lang w:val="sq-AL"/>
        </w:rPr>
        <w:t xml:space="preserve"> ligjit t</w:t>
      </w:r>
      <w:r>
        <w:rPr>
          <w:lang w:val="sq-AL"/>
        </w:rPr>
        <w:t>ë</w:t>
      </w:r>
      <w:r w:rsidRPr="00A93FD7">
        <w:rPr>
          <w:lang w:val="sq-AL"/>
        </w:rPr>
        <w:t xml:space="preserve"> akcizës.</w:t>
      </w:r>
    </w:p>
    <w:p w:rsidR="00DC3CA8" w:rsidRPr="00A93FD7" w:rsidRDefault="00DC3CA8" w:rsidP="00DC3CA8">
      <w:pPr>
        <w:pStyle w:val="Paragrafi"/>
        <w:rPr>
          <w:lang w:val="sq-AL"/>
        </w:rPr>
      </w:pPr>
      <w:r w:rsidRPr="00A93FD7">
        <w:rPr>
          <w:lang w:val="sq-AL"/>
        </w:rPr>
        <w:t>3. Në pikën 5.2 “Porositja dhe faturimi i pullave t</w:t>
      </w:r>
      <w:r>
        <w:rPr>
          <w:lang w:val="sq-AL"/>
        </w:rPr>
        <w:t>ë</w:t>
      </w:r>
      <w:r w:rsidRPr="00A93FD7">
        <w:rPr>
          <w:lang w:val="sq-AL"/>
        </w:rPr>
        <w:t xml:space="preserve"> akcizës”, bëhen këto ndryshime:</w:t>
      </w:r>
    </w:p>
    <w:p w:rsidR="00DC3CA8" w:rsidRPr="00A93FD7" w:rsidRDefault="00DC3CA8" w:rsidP="00DC3CA8">
      <w:pPr>
        <w:pStyle w:val="Paragrafi"/>
        <w:rPr>
          <w:lang w:val="sq-AL"/>
        </w:rPr>
      </w:pPr>
      <w:r w:rsidRPr="00A93FD7">
        <w:rPr>
          <w:lang w:val="sq-AL"/>
        </w:rPr>
        <w:t xml:space="preserve">Në paragrafin </w:t>
      </w:r>
      <w:r>
        <w:rPr>
          <w:lang w:val="sq-AL"/>
        </w:rPr>
        <w:t>“</w:t>
      </w:r>
      <w:r w:rsidRPr="00A93FD7">
        <w:rPr>
          <w:lang w:val="sq-AL"/>
        </w:rPr>
        <w:t>f</w:t>
      </w:r>
      <w:r>
        <w:rPr>
          <w:lang w:val="sq-AL"/>
        </w:rPr>
        <w:t>”,</w:t>
      </w:r>
      <w:r w:rsidRPr="00A93FD7">
        <w:rPr>
          <w:lang w:val="sq-AL"/>
        </w:rPr>
        <w:t xml:space="preserve"> pika </w:t>
      </w:r>
      <w:r>
        <w:rPr>
          <w:lang w:val="sq-AL"/>
        </w:rPr>
        <w:t>“</w:t>
      </w:r>
      <w:r w:rsidRPr="00A93FD7">
        <w:rPr>
          <w:lang w:val="sq-AL"/>
        </w:rPr>
        <w:t>c</w:t>
      </w:r>
      <w:r>
        <w:rPr>
          <w:lang w:val="sq-AL"/>
        </w:rPr>
        <w:t>”</w:t>
      </w:r>
      <w:r w:rsidRPr="00A93FD7">
        <w:rPr>
          <w:lang w:val="sq-AL"/>
        </w:rPr>
        <w:t xml:space="preserve"> bëhet si më poshtë:</w:t>
      </w:r>
    </w:p>
    <w:p w:rsidR="00DC3CA8" w:rsidRPr="0045337D" w:rsidRDefault="00DC3CA8" w:rsidP="00DC3CA8">
      <w:pPr>
        <w:pStyle w:val="Paragrafi"/>
        <w:rPr>
          <w:i/>
          <w:iCs/>
          <w:lang w:val="sq-AL"/>
        </w:rPr>
      </w:pPr>
      <w:r w:rsidRPr="0045337D">
        <w:rPr>
          <w:i/>
          <w:iCs/>
          <w:lang w:val="sq-AL"/>
        </w:rPr>
        <w:t>“c) Llogarinë në Shqipëri të furnitorit në të cilën kryhet pagesa”.</w:t>
      </w:r>
    </w:p>
    <w:p w:rsidR="00DC3CA8" w:rsidRPr="00A93FD7" w:rsidRDefault="00DC3CA8" w:rsidP="00DC3CA8">
      <w:pPr>
        <w:pStyle w:val="Paragrafi"/>
        <w:rPr>
          <w:lang w:val="sq-AL"/>
        </w:rPr>
      </w:pPr>
      <w:r w:rsidRPr="00A93FD7">
        <w:rPr>
          <w:lang w:val="sq-AL"/>
        </w:rPr>
        <w:t>Paragrafi i fundit i pikës 5.2 b</w:t>
      </w:r>
      <w:r>
        <w:rPr>
          <w:lang w:val="sq-AL"/>
        </w:rPr>
        <w:t>ë</w:t>
      </w:r>
      <w:r w:rsidRPr="00A93FD7">
        <w:rPr>
          <w:lang w:val="sq-AL"/>
        </w:rPr>
        <w:t>het:</w:t>
      </w:r>
    </w:p>
    <w:p w:rsidR="00DC3CA8" w:rsidRPr="00A93FD7" w:rsidRDefault="00DC3CA8" w:rsidP="00DC3CA8">
      <w:pPr>
        <w:pStyle w:val="Paragrafi"/>
        <w:rPr>
          <w:lang w:val="sq-AL"/>
        </w:rPr>
      </w:pPr>
      <w:r w:rsidRPr="00A93FD7">
        <w:rPr>
          <w:lang w:val="sq-AL"/>
        </w:rPr>
        <w:t>j) Në rast të ndonjë mospranimi të pullave të akcizës nga marrësi, agjenti i dërgesës duhet t'ia kthejë të gjithë dërgesën furnitorit. Tarifat e transportit do të paguhen nga furnitori, por nëse papranueshmëria e dorëzimit shkaktohet nga informacioni i gabuar i dhënë nga importuesi, furnitori gëzon të drejtën të faturojë importuesin për këto kosto të tepërta të transportit. Furnitori duhet ta informojë menjëherë autoritetin se një “dërgesë e papranuar” është kthyer te furnitori. Asnjë shënim krediti nuk do t</w:t>
      </w:r>
      <w:r>
        <w:rPr>
          <w:lang w:val="sq-AL"/>
        </w:rPr>
        <w:t>’</w:t>
      </w:r>
      <w:r w:rsidRPr="00A93FD7">
        <w:rPr>
          <w:lang w:val="sq-AL"/>
        </w:rPr>
        <w:t>i jepet importuesit shqiptar.</w:t>
      </w:r>
    </w:p>
    <w:p w:rsidR="00DC3CA8" w:rsidRPr="00A93FD7" w:rsidRDefault="00DC3CA8" w:rsidP="00DC3CA8">
      <w:pPr>
        <w:pStyle w:val="Paragrafi"/>
        <w:rPr>
          <w:lang w:val="sq-AL"/>
        </w:rPr>
      </w:pPr>
      <w:r w:rsidRPr="00A93FD7">
        <w:rPr>
          <w:lang w:val="sq-AL"/>
        </w:rPr>
        <w:t>Në rast të identifikimit të defekteve të produktit nga marrësi, ky i fundit duhet të informojë furnitorin me shkrim, se janë identifikuar pulla akcize defektoze. Referencat dhe detaje për pullat e akcizës/rrotën dhe sasinë duhet të përmenden qartësisht. Foto ose shembuj të pjesëve me defekt mund të kërkohen nga furnitori. Furnitori duhet t’i japë marrësit një autorizim të kthimit për pjesët me defekt në njësi të plota paketimi. Pas kësaj, marrësi duhet të përdorë agjentin e dërgesës së furnitorit për kthimin e mallrave. Furnitori duhet të informojë menjëherë autoritetin se një dërgesë me defekt është kthyer te magazina e tij. Pas kontrollit të pullës së akcizës, nëse duket se ka një problem me cilësinë, furnitori do të angazhohet për t</w:t>
      </w:r>
      <w:r>
        <w:rPr>
          <w:lang w:val="sq-AL"/>
        </w:rPr>
        <w:t>a</w:t>
      </w:r>
      <w:r w:rsidRPr="00A93FD7">
        <w:rPr>
          <w:lang w:val="sq-AL"/>
        </w:rPr>
        <w:t xml:space="preserve"> zëvendësuar pa pagesë apo tarifë sasinë defektoze dhe ta ridërgojë te marrësi. </w:t>
      </w:r>
    </w:p>
    <w:p w:rsidR="00DC3CA8" w:rsidRPr="00A93FD7" w:rsidRDefault="00DC3CA8" w:rsidP="00DC3CA8">
      <w:pPr>
        <w:pStyle w:val="Paragrafi"/>
        <w:rPr>
          <w:lang w:val="sq-AL"/>
        </w:rPr>
      </w:pPr>
      <w:r w:rsidRPr="00A93FD7">
        <w:rPr>
          <w:lang w:val="sq-AL"/>
        </w:rPr>
        <w:t>Veprimet e lartpërmendura me pullat duhet të regjistrohen nga furnitori në Sistemin Qendror të Monitorimit të Gjurmëve dhe Shenjave.</w:t>
      </w:r>
    </w:p>
    <w:p w:rsidR="00DC3CA8" w:rsidRPr="00A93FD7" w:rsidRDefault="00DC3CA8" w:rsidP="00DC3CA8">
      <w:pPr>
        <w:pStyle w:val="Paragrafi"/>
        <w:rPr>
          <w:lang w:val="sq-AL"/>
        </w:rPr>
      </w:pPr>
      <w:r w:rsidRPr="00A93FD7">
        <w:rPr>
          <w:lang w:val="sq-AL"/>
        </w:rPr>
        <w:t xml:space="preserve">Në rastet kur sasia e pullave të akcizës është prishur ose bëhet e papërdorshme përpara se ato të </w:t>
      </w:r>
      <w:r w:rsidRPr="00A93FD7">
        <w:rPr>
          <w:lang w:val="sq-AL"/>
        </w:rPr>
        <w:lastRenderedPageBreak/>
        <w:t xml:space="preserve">ngjiten ose gjatë procesit të ngjitjes, kur ky veprim bëhet në mënyrë automatike, agjenti i dërgesës duhet t’ia kthejë dërgesën importuesit. Dega doganore ku ka mbërritur sasia e pullave mund t’i kërkojë importuesit dokumente vërtetuese të porosisë, blerjes dhe dërgimit të sasisë së pullave në fjalë nga Furnitori te marrësi. </w:t>
      </w:r>
    </w:p>
    <w:p w:rsidR="00DC3CA8" w:rsidRPr="00A93FD7" w:rsidRDefault="00DC3CA8" w:rsidP="00DC3CA8">
      <w:pPr>
        <w:pStyle w:val="Paragrafi"/>
        <w:rPr>
          <w:lang w:val="sq-AL"/>
        </w:rPr>
      </w:pPr>
      <w:r w:rsidRPr="00A93FD7">
        <w:rPr>
          <w:lang w:val="sq-AL"/>
        </w:rPr>
        <w:t xml:space="preserve">Në rast se importuesi kërkon rimbursim të akcizës së parapaguar për pullat e akcizës për rastet e parashikuara në nenin 40 të vendimit të Këshillit të Ministrave nr. 612, datë 5.9.2012, do të zbatohen dispozitat e nenit 41 të vendimit të Këshillit të Ministrave të lartpërmendur. </w:t>
      </w:r>
    </w:p>
    <w:p w:rsidR="00DC3CA8" w:rsidRPr="00A93FD7" w:rsidRDefault="00DC3CA8" w:rsidP="00DC3CA8">
      <w:pPr>
        <w:pStyle w:val="Paragrafi"/>
        <w:rPr>
          <w:lang w:val="sq-AL"/>
        </w:rPr>
      </w:pPr>
      <w:r w:rsidRPr="00A93FD7">
        <w:rPr>
          <w:lang w:val="sq-AL"/>
        </w:rPr>
        <w:t>Pullat e akcizës të shpërdoruara ose me tepricë nuk mund të kthehen te furnitori dhe çmimi i pullës përkatëse të akcizës nuk mund të rimbursohet.</w:t>
      </w:r>
    </w:p>
    <w:p w:rsidR="00DC3CA8" w:rsidRPr="00A93FD7" w:rsidRDefault="00DC3CA8" w:rsidP="00DC3CA8">
      <w:pPr>
        <w:pStyle w:val="Paragrafi"/>
        <w:rPr>
          <w:lang w:val="sq-AL"/>
        </w:rPr>
      </w:pPr>
      <w:r w:rsidRPr="00A93FD7">
        <w:rPr>
          <w:lang w:val="sq-AL"/>
        </w:rPr>
        <w:t xml:space="preserve">4. Në pikën 5.3 “Porositja dhe faturimi i </w:t>
      </w:r>
      <w:r>
        <w:rPr>
          <w:lang w:val="sq-AL"/>
        </w:rPr>
        <w:t>p</w:t>
      </w:r>
      <w:r w:rsidRPr="00A93FD7">
        <w:rPr>
          <w:lang w:val="sq-AL"/>
        </w:rPr>
        <w:t xml:space="preserve">ullave </w:t>
      </w:r>
      <w:r>
        <w:rPr>
          <w:lang w:val="sq-AL"/>
        </w:rPr>
        <w:t>f</w:t>
      </w:r>
      <w:r w:rsidRPr="00A93FD7">
        <w:rPr>
          <w:lang w:val="sq-AL"/>
        </w:rPr>
        <w:t>iskale”, bëhen këto ndryshime:</w:t>
      </w:r>
    </w:p>
    <w:p w:rsidR="00DC3CA8" w:rsidRPr="00A93FD7" w:rsidRDefault="00DC3CA8" w:rsidP="00DC3CA8">
      <w:pPr>
        <w:pStyle w:val="Paragrafi"/>
        <w:rPr>
          <w:lang w:val="sq-AL"/>
        </w:rPr>
      </w:pPr>
      <w:r w:rsidRPr="00A93FD7">
        <w:rPr>
          <w:lang w:val="sq-AL"/>
        </w:rPr>
        <w:t xml:space="preserve">Në paragrafin </w:t>
      </w:r>
      <w:r>
        <w:rPr>
          <w:lang w:val="sq-AL"/>
        </w:rPr>
        <w:t>“</w:t>
      </w:r>
      <w:r w:rsidRPr="00A93FD7">
        <w:rPr>
          <w:lang w:val="sq-AL"/>
        </w:rPr>
        <w:t>c</w:t>
      </w:r>
      <w:r>
        <w:rPr>
          <w:lang w:val="sq-AL"/>
        </w:rPr>
        <w:t>”,</w:t>
      </w:r>
      <w:r w:rsidRPr="00A93FD7">
        <w:rPr>
          <w:lang w:val="sq-AL"/>
        </w:rPr>
        <w:t xml:space="preserve"> pika </w:t>
      </w:r>
      <w:r>
        <w:rPr>
          <w:lang w:val="sq-AL"/>
        </w:rPr>
        <w:t>“</w:t>
      </w:r>
      <w:r w:rsidRPr="00A93FD7">
        <w:rPr>
          <w:lang w:val="sq-AL"/>
        </w:rPr>
        <w:t>c</w:t>
      </w:r>
      <w:r>
        <w:rPr>
          <w:lang w:val="sq-AL"/>
        </w:rPr>
        <w:t>”</w:t>
      </w:r>
      <w:r w:rsidRPr="00A93FD7">
        <w:rPr>
          <w:lang w:val="sq-AL"/>
        </w:rPr>
        <w:t xml:space="preserve"> bëhet si më poshtë</w:t>
      </w:r>
    </w:p>
    <w:p w:rsidR="00DC3CA8" w:rsidRPr="00443FCE" w:rsidRDefault="00DC3CA8" w:rsidP="00DC3CA8">
      <w:pPr>
        <w:pStyle w:val="Paragrafi"/>
        <w:rPr>
          <w:i/>
          <w:iCs/>
          <w:lang w:val="sq-AL"/>
        </w:rPr>
      </w:pPr>
      <w:r w:rsidRPr="00443FCE">
        <w:rPr>
          <w:i/>
          <w:iCs/>
          <w:lang w:val="sq-AL"/>
        </w:rPr>
        <w:t>“c) Llogarinë në Shqipëri të Furnitorit në të cilën kryhet pagesa”.</w:t>
      </w:r>
    </w:p>
    <w:p w:rsidR="00DC3CA8" w:rsidRPr="00A93FD7" w:rsidRDefault="00DC3CA8" w:rsidP="00DC3CA8">
      <w:pPr>
        <w:pStyle w:val="Paragrafi"/>
        <w:rPr>
          <w:lang w:val="sq-AL"/>
        </w:rPr>
      </w:pPr>
      <w:r w:rsidRPr="00A93FD7">
        <w:rPr>
          <w:lang w:val="sq-AL"/>
        </w:rPr>
        <w:t>5. Në pikën 11, shfuqizohet pika 11.1.</w:t>
      </w:r>
    </w:p>
    <w:p w:rsidR="00DC3CA8" w:rsidRPr="00A93FD7" w:rsidRDefault="00DC3CA8" w:rsidP="00DC3CA8">
      <w:pPr>
        <w:pStyle w:val="Paragrafi"/>
        <w:rPr>
          <w:lang w:val="sq-AL"/>
        </w:rPr>
      </w:pPr>
      <w:r w:rsidRPr="00A93FD7">
        <w:rPr>
          <w:lang w:val="sq-AL"/>
        </w:rPr>
        <w:t>6. Pas shtojcës 9 shtohet shtojca 10 “Formular porosie të pullave të akcizës”, shtojca 11 “Regjistri i kontrollit të pullave të akcizës”, shtojca 12 “Raporti i përdorimit të pullave t</w:t>
      </w:r>
      <w:r w:rsidRPr="00A93FD7">
        <w:rPr>
          <w:rFonts w:ascii="Sylfaen" w:hAnsi="Sylfaen" w:cs="Sylfaen"/>
          <w:lang w:val="sq-AL"/>
        </w:rPr>
        <w:t>ë</w:t>
      </w:r>
      <w:r w:rsidRPr="00A93FD7">
        <w:rPr>
          <w:lang w:val="sq-AL"/>
        </w:rPr>
        <w:t xml:space="preserve"> akcizës”.</w:t>
      </w:r>
    </w:p>
    <w:p w:rsidR="00DC3CA8" w:rsidRPr="00A93FD7" w:rsidRDefault="00DC3CA8" w:rsidP="00DC3CA8">
      <w:pPr>
        <w:pStyle w:val="Paragrafi"/>
        <w:rPr>
          <w:lang w:val="sq-AL"/>
        </w:rPr>
      </w:pPr>
      <w:r w:rsidRPr="00A93FD7">
        <w:rPr>
          <w:lang w:val="sq-AL"/>
        </w:rPr>
        <w:t>Ky udhëzim botohet në Fletoren Zyrtare dhe hyn në fuqi menjëherë.</w:t>
      </w:r>
    </w:p>
    <w:p w:rsidR="00DC3CA8" w:rsidRPr="00A93FD7" w:rsidRDefault="00DC3CA8" w:rsidP="00DC3CA8">
      <w:pPr>
        <w:pStyle w:val="Paragrafi"/>
        <w:rPr>
          <w:lang w:val="sq-AL"/>
        </w:rPr>
      </w:pPr>
    </w:p>
    <w:p w:rsidR="00DC3CA8" w:rsidRPr="00A93FD7" w:rsidRDefault="00DC3CA8" w:rsidP="00DC3CA8">
      <w:pPr>
        <w:pStyle w:val="Autoriteti"/>
        <w:rPr>
          <w:lang w:val="sq-AL"/>
        </w:rPr>
      </w:pPr>
      <w:r w:rsidRPr="00A93FD7">
        <w:rPr>
          <w:lang w:val="sq-AL"/>
        </w:rPr>
        <w:t>MINISTRI i FINANCAVE</w:t>
      </w:r>
    </w:p>
    <w:p w:rsidR="00DC3CA8" w:rsidRPr="00A93FD7" w:rsidRDefault="00DC3CA8" w:rsidP="00DC3CA8">
      <w:pPr>
        <w:pStyle w:val="AutoritetiEmer"/>
        <w:rPr>
          <w:lang w:val="sq-AL"/>
        </w:rPr>
      </w:pPr>
      <w:r w:rsidRPr="00A93FD7">
        <w:rPr>
          <w:lang w:val="sq-AL"/>
        </w:rPr>
        <w:t>Ridvan Bode</w:t>
      </w:r>
    </w:p>
    <w:sectPr w:rsidR="00DC3CA8" w:rsidRPr="00A93FD7" w:rsidSect="009235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C3CA8"/>
    <w:rsid w:val="003318BA"/>
    <w:rsid w:val="00923549"/>
    <w:rsid w:val="00DC3C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F95A19E-6E95-4F6E-8974-667A6C100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549"/>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uiPriority w:val="99"/>
    <w:rsid w:val="00DC3CA8"/>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DC3CA8"/>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rsid w:val="00DC3CA8"/>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DC3CA8"/>
    <w:rPr>
      <w:rFonts w:ascii="CG Times" w:eastAsia="MS Mincho" w:hAnsi="CG Times" w:cs="CG Times"/>
      <w:b/>
      <w:bCs/>
      <w:sz w:val="22"/>
      <w:szCs w:val="22"/>
      <w:lang w:val="en-GB" w:eastAsia="en-US" w:bidi="ar-SA"/>
    </w:rPr>
  </w:style>
  <w:style w:type="paragraph" w:customStyle="1" w:styleId="Paragrafi">
    <w:name w:val="Paragrafi"/>
    <w:link w:val="ParagrafiChar"/>
    <w:rsid w:val="00DC3CA8"/>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DC3CA8"/>
    <w:rPr>
      <w:rFonts w:ascii="CG Times" w:eastAsia="MS Mincho" w:hAnsi="CG Times" w:cs="CG Times"/>
      <w:sz w:val="22"/>
      <w:szCs w:val="22"/>
      <w:lang w:val="en-US" w:eastAsia="en-US" w:bidi="ar-SA"/>
    </w:rPr>
  </w:style>
  <w:style w:type="paragraph" w:customStyle="1" w:styleId="Titulli">
    <w:name w:val="Titulli"/>
    <w:next w:val="Normal"/>
    <w:link w:val="TitulliChar"/>
    <w:rsid w:val="00DC3CA8"/>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DC3CA8"/>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DC3CA8"/>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locked/>
    <w:rsid w:val="00DC3CA8"/>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uiPriority w:val="99"/>
    <w:locked/>
    <w:rsid w:val="00DC3CA8"/>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2019-03-18T15:50:00Z</dcterms:created>
  <dcterms:modified xsi:type="dcterms:W3CDTF">2019-03-18T15:50:00Z</dcterms:modified>
</cp:coreProperties>
</file>