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4C2" w:rsidRPr="000D2C06" w:rsidRDefault="002C64C2" w:rsidP="002C64C2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0D2C06">
        <w:rPr>
          <w:rFonts w:ascii="Garamond" w:hAnsi="Garamond"/>
          <w:color w:val="auto"/>
          <w:sz w:val="24"/>
          <w:szCs w:val="24"/>
          <w:lang w:val="sq-AL"/>
        </w:rPr>
        <w:t>UDHËZIM</w:t>
      </w:r>
    </w:p>
    <w:p w:rsidR="002C64C2" w:rsidRPr="000D2C06" w:rsidRDefault="002C64C2" w:rsidP="002C64C2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Nr. 2, datë 8.2.2013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C64C2" w:rsidRPr="000D2C06" w:rsidRDefault="002C64C2" w:rsidP="002C64C2">
      <w:pPr>
        <w:pStyle w:val="Titull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PËR TARIFAT DHE PAGESAT E SHËRBIMEVE TË DREJTORISË SË PËRGJITHSHME TË METROLOGJISË</w:t>
      </w:r>
    </w:p>
    <w:p w:rsidR="00002ECA" w:rsidRPr="000D2C06" w:rsidRDefault="00ED4ED9" w:rsidP="00002ECA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0D2C06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r w:rsidR="008B03DD">
        <w:rPr>
          <w:rFonts w:ascii="Garamond" w:hAnsi="Garamond"/>
          <w:i/>
          <w:sz w:val="24"/>
          <w:szCs w:val="24"/>
          <w:lang w:val="sq-AL"/>
        </w:rPr>
        <w:t>udhëz</w:t>
      </w:r>
      <w:bookmarkStart w:id="0" w:name="_GoBack"/>
      <w:bookmarkEnd w:id="0"/>
      <w:r w:rsidR="008B03DD">
        <w:rPr>
          <w:rFonts w:ascii="Garamond" w:hAnsi="Garamond"/>
          <w:i/>
          <w:sz w:val="24"/>
          <w:szCs w:val="24"/>
          <w:lang w:val="sq-AL"/>
        </w:rPr>
        <w:t>imin</w:t>
      </w:r>
      <w:r w:rsidRPr="000D2C06">
        <w:rPr>
          <w:rFonts w:ascii="Garamond" w:hAnsi="Garamond"/>
          <w:i/>
          <w:sz w:val="24"/>
          <w:szCs w:val="24"/>
          <w:lang w:val="sq-AL"/>
        </w:rPr>
        <w:t xml:space="preserve"> nr.</w:t>
      </w:r>
      <w:r w:rsidR="008B03DD">
        <w:rPr>
          <w:rFonts w:ascii="Garamond" w:hAnsi="Garamond"/>
          <w:i/>
          <w:sz w:val="24"/>
          <w:szCs w:val="24"/>
          <w:lang w:val="sq-AL"/>
        </w:rPr>
        <w:t xml:space="preserve"> 4456/1 datë 24.8.201</w:t>
      </w:r>
      <w:r w:rsidR="00002ECA" w:rsidRPr="000D2C06">
        <w:rPr>
          <w:rFonts w:ascii="Garamond" w:hAnsi="Garamond"/>
          <w:i/>
          <w:sz w:val="24"/>
          <w:szCs w:val="24"/>
          <w:lang w:val="sq-AL"/>
        </w:rPr>
        <w:t>5)</w:t>
      </w:r>
    </w:p>
    <w:p w:rsidR="002C64C2" w:rsidRPr="000D2C06" w:rsidRDefault="00ED4ED9" w:rsidP="00002ECA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0D2C06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Në mbështetje të nenit 102 pika 4 të Kushtetutës së Republikës së Shqipërisë dhe në zbatim të nenit 63 të ligjit nr. 9875, datë 14.2.2008 “Për metrologjinë”, me propozimin e Drejtorisë së Tregut të Brendshëm, të Drejtorisë së Përgjithshme të Metrologjisë në Ministrinë e Ekonomisë, Tregtisë dhe Energjetikës dhe të Drejtorisë së Përgjithshme të Politikave Makroekonomike dhe Fiskale në Ministrinë e Financave; Ministri i Ekonomisë, Tregtisë dhe Energjetikës dhe Ministri i Financave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C64C2" w:rsidRPr="000D2C06" w:rsidRDefault="002C64C2" w:rsidP="002C64C2">
      <w:pPr>
        <w:pStyle w:val="VENDOS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UDHËZOJNË: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1. Personat fizikë ose juridikë, që prodhojnë, importojnë ose përdorin instrumente matëse për shërbimet e kryera nga Drejtoria e Përgjithshme e Metrologjisë (DPM) për llogari të tyre, janë të detyruar të paguajnë vlerat financiare, që llogariten bazuar në tarifat e përcaktuara sipas pikave të këtij udhëzimi, si dhe përcaktimet që jepen nga pasqyra nr. 1 deri në pasqyrën nr. 7, të cilat janë pjesë integrale e këtij udhëzimi.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2. Për miratimin e tipit të instrumentit matës ose për njohjen e miratimit të tipit të instrumenteve matëse që importohen, përdoren tarifat e përcaktuara në pasqyrën nr. 1, bashkëlidhur këtij udhëzimi.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2.1 Nëse tipi i instrumentit matës, të paraqitur për miratim, nuk përputhet me kërkesat teknike-metrologjike, procedura e punës ndërpritet dhe subjekti paguan tarifën e shënuar në germën “a” dhe gjysmën e tarifës së shënuar në germën “b” të pikës 1 të pasqyrës nr. 1, bashkëlidhur këtij udhëzimi.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2.2 Tarifat e miratimit të tipit paguhen edhe kur tipi i instrumentit matës në përfundim nuk plotëson kërkesat për miratim.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2.3 Kur importohen instrumente matëse, zbatohen tarifat e përcaktuara në pikën 2 të pasqyrës nr. 1, bashkëlidhur këtij udhëzimi.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3. Për regjistrimin e instrumenteve matëse zbatohen tarifat e përcaktuara në pasqyrën nr. 2, bashkëlidhur këtij udhëzimi.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4. Për verifikimin periodik të instrumenteve matëse ligjore zbatohen tarifat si vijon: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4.1 Kur shërbimi i verifikimit të instrumenteve matëse kryhet në laboratorët e DPM-së, laboratorët e sektorëve të shërbimit, si dhe në autolaboratorët e lëvizshëm, kur këta përdoren si stacionarë (pranë ambienteve të bashkive dhe komunave), zbatohen tarifat e dhëna në pasqyrën nr. 3.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4.2 Kur shërbimi i verifikimit të instrumenteve matëse kryhet në vendpërdorimin (në ambientet e subjektit përdorues) e instrumentit matës, do të zbatohen tarifat e dhëna në pasqyrën nr. 3/1.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5. Për verifikimin fillestar të instrumenteve matëse do të paguhen tarifat sa dyfishi i tarifave për verifikimin periodik (të dhëna në pasqyrën nr. 3 ose në pasqyrën nr. 3/1).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6. Për kalibrimin e instrumenteve matëse zbatohen tarifat e përcaktuara në pasqyrën nr. 4 dhe 4/1, bashkëlidhur këtij udhëzimi.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6.1 Për rastet kur kërkohet kopje (dublikatë) e certifikatës/raportit të kalibrimit, paguhet vlera fikse prej 500 lekësh.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 xml:space="preserve">7. Pagesat e verifikimit fillestar ose periodik, si dhe pagesat e kalibrimit llogariten për copë, për </w:t>
      </w:r>
      <w:r w:rsidRPr="000D2C06">
        <w:rPr>
          <w:rFonts w:ascii="Garamond" w:hAnsi="Garamond"/>
          <w:sz w:val="24"/>
          <w:szCs w:val="24"/>
          <w:lang w:val="sq-AL"/>
        </w:rPr>
        <w:lastRenderedPageBreak/>
        <w:t>çdo pronar ose administrues të marrë veç e veç, si dhe për instrumente matëse të të njëjtit tip dhe që verifikohen ose kalibrohen në të njëjtin vend dhe në të njëjtën kohë.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8. Kur sasia e instrumenteve matëse të të njëjtit tip, që verifikohet ose kalibrohet është më e madhe se një copë, pagesa llogaritet nga produkti i pagesës përkatëse për copë me numrin e copëve të këtij tipi instrumenti matës, kur nuk paraqitet ndryshe në pasqyrën përkatëse.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9. Kur puna verifikuese ndërpritet për shkak të pronarit ose administruesit të instrumentit matës, pagesa për copë llogaritet mbi bazën e numrit të instrumenteve matëse, që janë verifikuar faktikisht nga ai tip deri në momentin e ndërprerjes. Kur gjatë verifikimit, instrumenti matës nuk u përgjigjet kërkesave teknike dhe metrologjike ligjore, ai bllokohet për mospërdorim dhe nga subjekti paguhet gjysma e pagesës së përcaktuar sipas pasqyrave nr. 3 dhe nr. 3/1, që i bashkëngjiten këtij udhëzimi, si dhe shpenzimet përkatëse të transportit për rastet që parashikohen në këtë udhëzim (nënpika 10.1).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10. Personi fizik ose juridik që kërkon të kryejë verifikimin e instrumenteve matëse që disponon në vendpërdorimin e tyre, përballon dhe shpenzimet shtesë të mëposhtme: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10.1 Për peshoret hekurudhore, automobilistike dhe ato me platformë për transportin e bazës etalonuese: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i) për largësi të vendndodhjes së peshores, që verifikohet deri 40 km nga DPM-ja shpenzimet shtesë merren në vlerë fikse prej 5 000 lekësh;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ii) për largësi të vendndodhjes së peshores (që verifikohet ose kalibrohet) mbi 40 km, shpenzimet shtesë përcaktohen nga produkti i largësisë në “km” i vendndodhjes së saj nga DPM-ja, me tarifën 140 lekë/km;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iii) për peshoret e kapacitetit të madh (40 tonë e sipër) pronari/administruesi duhet të sigurojë ngarkesën zëvendësuese përkatëse.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10.2 Për vagonçisternat, autobotet dhe rezervuarët: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a) materialet e nevojshme ndihmëse;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b) pagesën për shfrytëzimin e peshores së përdorur për verifikim.</w:t>
      </w:r>
    </w:p>
    <w:p w:rsidR="00D576AF" w:rsidRPr="000D2C06" w:rsidRDefault="00D576AF" w:rsidP="00D576AF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D2C06">
        <w:rPr>
          <w:rFonts w:ascii="Garamond" w:hAnsi="Garamond"/>
          <w:i/>
          <w:spacing w:val="-4"/>
          <w:sz w:val="24"/>
          <w:szCs w:val="24"/>
          <w:lang w:val="sq-AL"/>
        </w:rPr>
        <w:t>10.3 Për kalimatësat:</w:t>
      </w:r>
    </w:p>
    <w:p w:rsidR="00D576AF" w:rsidRPr="000D2C06" w:rsidRDefault="00D576AF" w:rsidP="00D576AF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0D2C06">
        <w:rPr>
          <w:rFonts w:ascii="Garamond" w:hAnsi="Garamond"/>
          <w:i/>
          <w:spacing w:val="-4"/>
          <w:sz w:val="24"/>
          <w:szCs w:val="24"/>
          <w:lang w:val="sq-AL"/>
        </w:rPr>
        <w:t xml:space="preserve">- Personi fizik ose juridik paguan shpenzimet </w:t>
      </w:r>
      <w:r w:rsidRPr="000D2C06">
        <w:rPr>
          <w:rFonts w:ascii="Garamond" w:hAnsi="Garamond"/>
          <w:i/>
          <w:sz w:val="24"/>
          <w:szCs w:val="24"/>
          <w:lang w:val="sq-AL"/>
        </w:rPr>
        <w:t>e transportit që llogariten nga produkti i distancës DPM - vendndodhje e kalimatësit në km me koston 24 lekë/km.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11. Për shërbimet për produktet e parapaketuara paguhen tarifat sipas pasqyrës nr. 5 të këtij udhëzimi.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12. Për kryerjen e procedurave të autorizimit të subjekteve, që kryejnë shërbime në fushën e metrologjisë ligjore, si dhe të monitorimit periodik të tyre, aplikohen tarifat e përcaktuara në pasqyrën nr. 6 të këtij udhëzimi.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13. Për pjesëmarrje në kurse trajnimi teorike dhe teoriko-praktike, që ofrohen nga DPM-ja, do të paguhen tarifat e paraqitura në pasqyrën nr. 7.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14. Për shërbimet, të cilat nuk përfshihen në pasqyrat bashkëngjitur, tarifa ose pagesa do të përllogaritet me kohën e punës në orë, të nevojshme për shërbimin e kryer, shumëzuar me tarifën 1 500 lekë.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15. Në faturën tatimore që i lëshohet subjektit për shërbimin e kryer nga DPM-ja, tarifave dhe pagesave të dhëna në pasqyrat bashkëlidhur këtij udhëzimi i shtohet vlera përkatëse e TVSH-së.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16. Udhëzimi ndërmjet Ministrisë së Ekonomisë, Tregtisë dhe Energjetikës dhe Ministrisë së Financave: nr. 7643/3, datë 8.12.2009 dhe nr. 11961/3, datë 11.12.2009 “Për tarifat dhe pagesat e shërbimeve të Drejtorisë së Përgjithshme të Metrologjisë”, shfuqizohet me hyrjen në fuqi të këtij udhëzimi.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17. Ky udhëzim hyn në fuqi menjëherë dhe botohet në Fletoren Zyrtare.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4006C" w:rsidRPr="000D2C06" w:rsidRDefault="0074006C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lastRenderedPageBreak/>
        <w:t xml:space="preserve">MINISTRI I EKONOMISË, TREGTISË </w:t>
      </w:r>
      <w:r w:rsidRPr="000D2C06">
        <w:rPr>
          <w:rFonts w:ascii="Garamond" w:hAnsi="Garamond"/>
          <w:sz w:val="24"/>
          <w:szCs w:val="24"/>
          <w:lang w:val="sq-AL"/>
        </w:rPr>
        <w:tab/>
      </w:r>
      <w:r w:rsidRPr="000D2C06">
        <w:rPr>
          <w:rFonts w:ascii="Garamond" w:hAnsi="Garamond"/>
          <w:sz w:val="24"/>
          <w:szCs w:val="24"/>
          <w:lang w:val="sq-AL"/>
        </w:rPr>
        <w:tab/>
      </w:r>
      <w:r w:rsidRPr="000D2C06">
        <w:rPr>
          <w:rFonts w:ascii="Garamond" w:hAnsi="Garamond"/>
          <w:sz w:val="24"/>
          <w:szCs w:val="24"/>
          <w:lang w:val="sq-AL"/>
        </w:rPr>
        <w:tab/>
        <w:t>MINISTRI I FINANCAVE</w:t>
      </w:r>
    </w:p>
    <w:p w:rsidR="002C64C2" w:rsidRPr="000D2C06" w:rsidRDefault="002C64C2" w:rsidP="002C64C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2C06">
        <w:rPr>
          <w:rFonts w:ascii="Garamond" w:hAnsi="Garamond"/>
          <w:sz w:val="24"/>
          <w:szCs w:val="24"/>
          <w:lang w:val="sq-AL"/>
        </w:rPr>
        <w:t>DHE ENERGJETIKËS</w:t>
      </w:r>
    </w:p>
    <w:p w:rsidR="0074006C" w:rsidRPr="000D2C06" w:rsidRDefault="0074006C" w:rsidP="002C64C2">
      <w:pPr>
        <w:pStyle w:val="Paragrafi"/>
        <w:rPr>
          <w:rFonts w:ascii="Garamond" w:hAnsi="Garamond"/>
          <w:b/>
          <w:sz w:val="24"/>
          <w:szCs w:val="24"/>
          <w:lang w:val="sq-AL"/>
        </w:rPr>
      </w:pPr>
    </w:p>
    <w:p w:rsidR="002C64C2" w:rsidRPr="000D2C06" w:rsidRDefault="002C64C2" w:rsidP="002C64C2">
      <w:pPr>
        <w:pStyle w:val="Paragrafi"/>
        <w:rPr>
          <w:rFonts w:ascii="Garamond" w:hAnsi="Garamond"/>
          <w:b/>
          <w:sz w:val="24"/>
          <w:szCs w:val="24"/>
          <w:lang w:val="sq-AL"/>
        </w:rPr>
      </w:pPr>
      <w:r w:rsidRPr="000D2C06">
        <w:rPr>
          <w:rFonts w:ascii="Garamond" w:hAnsi="Garamond"/>
          <w:b/>
          <w:sz w:val="24"/>
          <w:szCs w:val="24"/>
          <w:lang w:val="sq-AL"/>
        </w:rPr>
        <w:t xml:space="preserve">Edmond Haxhinasto </w:t>
      </w:r>
      <w:r w:rsidRPr="000D2C06">
        <w:rPr>
          <w:rFonts w:ascii="Garamond" w:hAnsi="Garamond"/>
          <w:b/>
          <w:sz w:val="24"/>
          <w:szCs w:val="24"/>
          <w:lang w:val="sq-AL"/>
        </w:rPr>
        <w:tab/>
      </w:r>
      <w:r w:rsidRPr="000D2C06">
        <w:rPr>
          <w:rFonts w:ascii="Garamond" w:hAnsi="Garamond"/>
          <w:b/>
          <w:sz w:val="24"/>
          <w:szCs w:val="24"/>
          <w:lang w:val="sq-AL"/>
        </w:rPr>
        <w:tab/>
      </w:r>
      <w:r w:rsidRPr="000D2C06">
        <w:rPr>
          <w:rFonts w:ascii="Garamond" w:hAnsi="Garamond"/>
          <w:b/>
          <w:sz w:val="24"/>
          <w:szCs w:val="24"/>
          <w:lang w:val="sq-AL"/>
        </w:rPr>
        <w:tab/>
      </w:r>
      <w:r w:rsidRPr="000D2C06">
        <w:rPr>
          <w:rFonts w:ascii="Garamond" w:hAnsi="Garamond"/>
          <w:b/>
          <w:sz w:val="24"/>
          <w:szCs w:val="24"/>
          <w:lang w:val="sq-AL"/>
        </w:rPr>
        <w:tab/>
      </w:r>
      <w:r w:rsidRPr="000D2C06">
        <w:rPr>
          <w:rFonts w:ascii="Garamond" w:hAnsi="Garamond"/>
          <w:b/>
          <w:sz w:val="24"/>
          <w:szCs w:val="24"/>
          <w:lang w:val="sq-AL"/>
        </w:rPr>
        <w:tab/>
      </w:r>
      <w:r w:rsidRPr="000D2C06">
        <w:rPr>
          <w:rFonts w:ascii="Garamond" w:hAnsi="Garamond"/>
          <w:b/>
          <w:sz w:val="24"/>
          <w:szCs w:val="24"/>
          <w:lang w:val="sq-AL"/>
        </w:rPr>
        <w:tab/>
        <w:t>Ridvan Bode</w:t>
      </w:r>
    </w:p>
    <w:p w:rsidR="00ED4ED9" w:rsidRPr="000D2C06" w:rsidRDefault="00ED4ED9" w:rsidP="002C64C2">
      <w:pPr>
        <w:pStyle w:val="Paragrafi"/>
        <w:rPr>
          <w:rFonts w:ascii="Garamond" w:hAnsi="Garamond"/>
          <w:b/>
          <w:sz w:val="24"/>
          <w:szCs w:val="24"/>
          <w:lang w:val="sq-AL"/>
        </w:rPr>
      </w:pPr>
    </w:p>
    <w:p w:rsidR="00ED4ED9" w:rsidRPr="000D2C06" w:rsidRDefault="00ED4ED9" w:rsidP="002C64C2">
      <w:pPr>
        <w:pStyle w:val="Paragrafi"/>
        <w:rPr>
          <w:b/>
          <w:lang w:val="sq-AL"/>
        </w:rPr>
      </w:pPr>
    </w:p>
    <w:p w:rsidR="00ED4ED9" w:rsidRPr="000D2C06" w:rsidRDefault="00ED4ED9" w:rsidP="002C64C2">
      <w:pPr>
        <w:pStyle w:val="Paragrafi"/>
        <w:rPr>
          <w:b/>
          <w:lang w:val="sq-AL"/>
        </w:rPr>
      </w:pPr>
    </w:p>
    <w:p w:rsidR="00ED4ED9" w:rsidRPr="000D2C06" w:rsidRDefault="00ED4ED9" w:rsidP="002C64C2">
      <w:pPr>
        <w:pStyle w:val="Paragrafi"/>
        <w:rPr>
          <w:b/>
          <w:lang w:val="sq-AL"/>
        </w:rPr>
      </w:pPr>
    </w:p>
    <w:p w:rsidR="00ED4ED9" w:rsidRPr="000D2C06" w:rsidRDefault="00ED4ED9" w:rsidP="002C64C2">
      <w:pPr>
        <w:pStyle w:val="Paragrafi"/>
        <w:rPr>
          <w:b/>
          <w:lang w:val="sq-AL"/>
        </w:rPr>
      </w:pPr>
    </w:p>
    <w:p w:rsidR="00ED4ED9" w:rsidRPr="000D2C06" w:rsidRDefault="00ED4ED9" w:rsidP="002C64C2">
      <w:pPr>
        <w:pStyle w:val="Paragrafi"/>
        <w:rPr>
          <w:b/>
          <w:lang w:val="sq-AL"/>
        </w:rPr>
      </w:pPr>
    </w:p>
    <w:p w:rsidR="00ED4ED9" w:rsidRPr="000D2C06" w:rsidRDefault="00ED4ED9" w:rsidP="002C64C2">
      <w:pPr>
        <w:pStyle w:val="Paragrafi"/>
        <w:rPr>
          <w:b/>
          <w:lang w:val="sq-AL"/>
        </w:rPr>
      </w:pPr>
    </w:p>
    <w:p w:rsidR="00ED4ED9" w:rsidRPr="000D2C06" w:rsidRDefault="00ED4ED9" w:rsidP="002C64C2">
      <w:pPr>
        <w:pStyle w:val="Paragrafi"/>
        <w:rPr>
          <w:b/>
          <w:lang w:val="sq-AL"/>
        </w:rPr>
      </w:pPr>
    </w:p>
    <w:p w:rsidR="00ED4ED9" w:rsidRPr="000D2C06" w:rsidRDefault="00ED4ED9" w:rsidP="002C64C2">
      <w:pPr>
        <w:pStyle w:val="Paragrafi"/>
        <w:rPr>
          <w:b/>
          <w:lang w:val="sq-AL"/>
        </w:rPr>
      </w:pPr>
    </w:p>
    <w:p w:rsidR="00ED4ED9" w:rsidRPr="000D2C06" w:rsidRDefault="00ED4ED9" w:rsidP="002C64C2">
      <w:pPr>
        <w:pStyle w:val="Paragrafi"/>
        <w:rPr>
          <w:b/>
          <w:lang w:val="sq-AL"/>
        </w:rPr>
      </w:pPr>
    </w:p>
    <w:p w:rsidR="00ED4ED9" w:rsidRPr="000D2C06" w:rsidRDefault="00ED4ED9" w:rsidP="002C64C2">
      <w:pPr>
        <w:pStyle w:val="Paragrafi"/>
        <w:rPr>
          <w:b/>
          <w:lang w:val="sq-AL"/>
        </w:rPr>
      </w:pPr>
    </w:p>
    <w:p w:rsidR="00ED4ED9" w:rsidRPr="000D2C06" w:rsidRDefault="00ED4ED9" w:rsidP="00ED4ED9">
      <w:pPr>
        <w:pStyle w:val="Paragrafi"/>
        <w:ind w:firstLine="0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78720" behindDoc="0" locked="0" layoutInCell="1" allowOverlap="1" wp14:anchorId="34ED7A0C" wp14:editId="156FE458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753735" cy="7419340"/>
            <wp:effectExtent l="0" t="0" r="0" b="0"/>
            <wp:wrapSquare wrapText="bothSides"/>
            <wp:docPr id="28" name="Picture 28" descr="Untitled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Untitled-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0" t="7613" r="4959" b="18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741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ind w:firstLine="0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inline distT="0" distB="0" distL="0" distR="0" wp14:anchorId="0097D07A" wp14:editId="5B2576E4">
            <wp:extent cx="5514975" cy="4105275"/>
            <wp:effectExtent l="0" t="0" r="9525" b="9525"/>
            <wp:docPr id="3" name="Picture 3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85" t="7634" r="3900" b="48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ED9" w:rsidRPr="000D2C06" w:rsidRDefault="00ED4ED9" w:rsidP="00ED4ED9">
      <w:pPr>
        <w:rPr>
          <w:lang w:val="sq-AL"/>
        </w:rPr>
      </w:pPr>
    </w:p>
    <w:p w:rsidR="00ED4ED9" w:rsidRPr="000D2C06" w:rsidRDefault="00ED4ED9" w:rsidP="00ED4ED9">
      <w:pPr>
        <w:rPr>
          <w:lang w:val="sq-AL"/>
        </w:rPr>
      </w:pPr>
    </w:p>
    <w:p w:rsidR="00ED4ED9" w:rsidRPr="000D2C06" w:rsidRDefault="00ED4ED9" w:rsidP="00ED4ED9">
      <w:pPr>
        <w:rPr>
          <w:lang w:val="sq-AL"/>
        </w:rPr>
      </w:pPr>
    </w:p>
    <w:p w:rsidR="00ED4ED9" w:rsidRPr="000D2C06" w:rsidRDefault="00ED4ED9" w:rsidP="00ED4ED9">
      <w:pPr>
        <w:rPr>
          <w:lang w:val="sq-AL"/>
        </w:rPr>
      </w:pPr>
    </w:p>
    <w:p w:rsidR="00ED4ED9" w:rsidRPr="000D2C06" w:rsidRDefault="00ED4ED9" w:rsidP="00ED4ED9">
      <w:pPr>
        <w:rPr>
          <w:lang w:val="sq-AL"/>
        </w:rPr>
      </w:pPr>
    </w:p>
    <w:p w:rsidR="00ED4ED9" w:rsidRPr="000D2C06" w:rsidRDefault="00ED4ED9" w:rsidP="00ED4ED9">
      <w:pPr>
        <w:rPr>
          <w:lang w:val="sq-AL"/>
        </w:rPr>
      </w:pPr>
    </w:p>
    <w:p w:rsidR="00ED4ED9" w:rsidRPr="000D2C06" w:rsidRDefault="00ED4ED9" w:rsidP="00ED4ED9">
      <w:pPr>
        <w:rPr>
          <w:lang w:val="sq-AL"/>
        </w:rPr>
      </w:pPr>
    </w:p>
    <w:p w:rsidR="00ED4ED9" w:rsidRPr="000D2C06" w:rsidRDefault="00ED4ED9" w:rsidP="00ED4ED9">
      <w:pPr>
        <w:rPr>
          <w:lang w:val="sq-AL"/>
        </w:rPr>
      </w:pPr>
    </w:p>
    <w:p w:rsidR="00ED4ED9" w:rsidRPr="000D2C06" w:rsidRDefault="00ED4ED9" w:rsidP="00ED4ED9">
      <w:pPr>
        <w:rPr>
          <w:lang w:val="sq-AL"/>
        </w:rPr>
      </w:pPr>
    </w:p>
    <w:p w:rsidR="00ED4ED9" w:rsidRPr="000D2C06" w:rsidRDefault="00ED4ED9" w:rsidP="00ED4ED9">
      <w:pPr>
        <w:tabs>
          <w:tab w:val="left" w:pos="5380"/>
        </w:tabs>
        <w:rPr>
          <w:lang w:val="sq-AL"/>
        </w:rPr>
      </w:pPr>
      <w:r w:rsidRPr="000D2C06">
        <w:rPr>
          <w:lang w:val="sq-AL"/>
        </w:rPr>
        <w:tab/>
      </w:r>
    </w:p>
    <w:p w:rsidR="00ED4ED9" w:rsidRPr="000D2C06" w:rsidRDefault="00ED4ED9" w:rsidP="00ED4ED9">
      <w:pPr>
        <w:pStyle w:val="Paragrafi"/>
        <w:ind w:firstLine="0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inline distT="0" distB="0" distL="0" distR="0" wp14:anchorId="474EE6DD" wp14:editId="38FB9004">
            <wp:extent cx="5600700" cy="7705725"/>
            <wp:effectExtent l="0" t="0" r="0" b="9525"/>
            <wp:docPr id="4" name="Picture 4" descr="Untitled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4" t="6573" r="4341" b="13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59264" behindDoc="0" locked="0" layoutInCell="1" allowOverlap="1" wp14:anchorId="25D0BA3A" wp14:editId="5385159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632450" cy="7971790"/>
            <wp:effectExtent l="0" t="0" r="6350" b="0"/>
            <wp:wrapSquare wrapText="bothSides"/>
            <wp:docPr id="8" name="Picture 8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titled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4" t="7329" r="5402" b="13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797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60288" behindDoc="0" locked="0" layoutInCell="1" allowOverlap="1" wp14:anchorId="339934FE" wp14:editId="1792BB88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840095" cy="7827010"/>
            <wp:effectExtent l="0" t="0" r="8255" b="2540"/>
            <wp:wrapSquare wrapText="bothSides"/>
            <wp:docPr id="9" name="Picture 9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titled-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4" t="7329" r="5522" b="16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095" cy="782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61312" behindDoc="0" locked="0" layoutInCell="1" allowOverlap="1" wp14:anchorId="73312047" wp14:editId="3EB035C2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770880" cy="7721600"/>
            <wp:effectExtent l="0" t="0" r="1270" b="0"/>
            <wp:wrapSquare wrapText="bothSides"/>
            <wp:docPr id="10" name="Picture 10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ntitled-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4" t="7585" r="4681" b="24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80" cy="77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62336" behindDoc="0" locked="0" layoutInCell="1" allowOverlap="1" wp14:anchorId="090B37F6" wp14:editId="0E6E7BBD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857240" cy="7809865"/>
            <wp:effectExtent l="0" t="0" r="0" b="635"/>
            <wp:wrapSquare wrapText="bothSides"/>
            <wp:docPr id="11" name="Picture 11" descr="Untitle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-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4" t="6903" r="4202" b="12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780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63360" behindDoc="0" locked="0" layoutInCell="1" allowOverlap="1" wp14:anchorId="3F8DAAF2" wp14:editId="38E3E2FA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866130" cy="7790815"/>
            <wp:effectExtent l="0" t="0" r="1270" b="635"/>
            <wp:wrapSquare wrapText="bothSides"/>
            <wp:docPr id="12" name="Picture 12" descr="Untitled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titled-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0" t="6502" r="3992" b="12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130" cy="779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64384" behindDoc="0" locked="0" layoutInCell="1" allowOverlap="1" wp14:anchorId="19875B3A" wp14:editId="78C381B4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658485" cy="7628890"/>
            <wp:effectExtent l="0" t="0" r="0" b="0"/>
            <wp:wrapSquare wrapText="bothSides"/>
            <wp:docPr id="13" name="Picture 13" descr="Untitled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ntitled-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4" t="7245" r="4202" b="14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485" cy="762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65408" behindDoc="0" locked="0" layoutInCell="1" allowOverlap="1" wp14:anchorId="7F53DB16" wp14:editId="4F08CF35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17565" cy="7548880"/>
            <wp:effectExtent l="0" t="0" r="6985" b="0"/>
            <wp:wrapSquare wrapText="bothSides"/>
            <wp:docPr id="14" name="Picture 14" descr="Untitled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ntitled-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4" t="8864" r="4321" b="14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54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66432" behindDoc="0" locked="0" layoutInCell="1" allowOverlap="1" wp14:anchorId="2001F39B" wp14:editId="05EB4280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736590" cy="5066665"/>
            <wp:effectExtent l="0" t="0" r="0" b="635"/>
            <wp:wrapSquare wrapText="bothSides"/>
            <wp:docPr id="15" name="Picture 15" descr="Untitled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ntitled-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1" t="9277" r="4788" b="39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506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67456" behindDoc="0" locked="0" layoutInCell="1" allowOverlap="1" wp14:anchorId="2D62DD07" wp14:editId="44C615AE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728335" cy="7859395"/>
            <wp:effectExtent l="0" t="0" r="5715" b="8255"/>
            <wp:wrapSquare wrapText="bothSides"/>
            <wp:docPr id="16" name="Picture 16" descr="Untitled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Untitled-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4" t="8011" r="4321" b="1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335" cy="785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drawing>
          <wp:anchor distT="0" distB="0" distL="114300" distR="114300" simplePos="0" relativeHeight="251668480" behindDoc="0" locked="0" layoutInCell="1" allowOverlap="1" wp14:anchorId="7E3AA0A1" wp14:editId="2A313A53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762625" cy="7878445"/>
            <wp:effectExtent l="0" t="0" r="9525" b="8255"/>
            <wp:wrapSquare wrapText="bothSides"/>
            <wp:docPr id="17" name="Picture 17" descr="Untitled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ntitled-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5" t="6758" r="4355" b="14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7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drawing>
          <wp:anchor distT="0" distB="0" distL="114300" distR="114300" simplePos="0" relativeHeight="251669504" behindDoc="0" locked="0" layoutInCell="1" allowOverlap="1" wp14:anchorId="3D97431E" wp14:editId="6EF69BE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805805" cy="7704455"/>
            <wp:effectExtent l="0" t="0" r="4445" b="0"/>
            <wp:wrapSquare wrapText="bothSides"/>
            <wp:docPr id="19" name="Picture 19" descr="Untitled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ntitled-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7" t="7014" r="3992" b="12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805" cy="770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74006C">
      <w:pPr>
        <w:pStyle w:val="Paragrafi"/>
        <w:ind w:firstLine="0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70528" behindDoc="0" locked="0" layoutInCell="1" allowOverlap="1" wp14:anchorId="05C6F99B" wp14:editId="3D62745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693410" cy="7973695"/>
            <wp:effectExtent l="0" t="0" r="2540" b="8255"/>
            <wp:wrapSquare wrapText="bothSides"/>
            <wp:docPr id="20" name="Picture 20" descr="Untitled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ntitled-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7" t="6244" r="4597" b="12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797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71552" behindDoc="0" locked="0" layoutInCell="1" allowOverlap="1" wp14:anchorId="05152C6F" wp14:editId="18564C1C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857240" cy="7851140"/>
            <wp:effectExtent l="0" t="0" r="0" b="0"/>
            <wp:wrapSquare wrapText="bothSides"/>
            <wp:docPr id="21" name="Picture 21" descr="Untitled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Untitled-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0" t="7014" r="3751" b="13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785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74006C">
      <w:pPr>
        <w:pStyle w:val="Paragrafi"/>
        <w:ind w:firstLine="0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72576" behindDoc="0" locked="0" layoutInCell="1" allowOverlap="1" wp14:anchorId="41B280F9" wp14:editId="780AB023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761990" cy="7646035"/>
            <wp:effectExtent l="0" t="0" r="0" b="0"/>
            <wp:wrapSquare wrapText="bothSides"/>
            <wp:docPr id="22" name="Picture 22" descr="Untitled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ntitled-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0" t="6758" r="4355" b="204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764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06C" w:rsidRPr="000D2C06">
        <w:rPr>
          <w:rStyle w:val="FootnoteReference"/>
          <w:lang w:val="sq-AL"/>
        </w:rPr>
        <w:footnoteReference w:id="1"/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73600" behindDoc="0" locked="0" layoutInCell="1" allowOverlap="1" wp14:anchorId="4D142D31" wp14:editId="1A16A205">
            <wp:simplePos x="0" y="0"/>
            <wp:positionH relativeFrom="column">
              <wp:posOffset>48260</wp:posOffset>
            </wp:positionH>
            <wp:positionV relativeFrom="paragraph">
              <wp:posOffset>51435</wp:posOffset>
            </wp:positionV>
            <wp:extent cx="5762625" cy="7626985"/>
            <wp:effectExtent l="0" t="0" r="9525" b="0"/>
            <wp:wrapSquare wrapText="bothSides"/>
            <wp:docPr id="23" name="Picture 23" descr="Untitled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ntitled-1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89" t="7613" r="3992" b="18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2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74624" behindDoc="0" locked="0" layoutInCell="1" allowOverlap="1" wp14:anchorId="71525EE6" wp14:editId="000F8988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745480" cy="7567930"/>
            <wp:effectExtent l="0" t="0" r="7620" b="0"/>
            <wp:wrapSquare wrapText="bothSides"/>
            <wp:docPr id="24" name="Picture 24" descr="Untitled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Untitled-1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4" t="7870" r="4475" b="20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756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75648" behindDoc="0" locked="0" layoutInCell="1" allowOverlap="1" wp14:anchorId="6F1BD024" wp14:editId="190CD597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719445" cy="7816215"/>
            <wp:effectExtent l="0" t="0" r="0" b="0"/>
            <wp:wrapSquare wrapText="bothSides"/>
            <wp:docPr id="25" name="Picture 25" descr="Untitled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Untitled-1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0" t="7100" r="3871" b="14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781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76672" behindDoc="0" locked="0" layoutInCell="1" allowOverlap="1" wp14:anchorId="1C6AC152" wp14:editId="46873ADC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770880" cy="7680325"/>
            <wp:effectExtent l="0" t="0" r="1270" b="0"/>
            <wp:wrapSquare wrapText="bothSides"/>
            <wp:docPr id="26" name="Picture 26" descr="Untitled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Untitled-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0" t="7100" r="4234" b="19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80" cy="768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ED4ED9">
      <w:pPr>
        <w:pStyle w:val="Paragrafi"/>
        <w:rPr>
          <w:lang w:val="sq-AL"/>
        </w:rPr>
      </w:pPr>
      <w:r w:rsidRPr="000D2C06">
        <w:rPr>
          <w:noProof/>
          <w:lang w:val="sq-AL" w:eastAsia="sq-AL"/>
        </w:rPr>
        <w:lastRenderedPageBreak/>
        <w:drawing>
          <wp:anchor distT="0" distB="0" distL="114300" distR="114300" simplePos="0" relativeHeight="251677696" behindDoc="0" locked="0" layoutInCell="1" allowOverlap="1" wp14:anchorId="4CE9DC1E" wp14:editId="42AE4EB4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521325" cy="5360035"/>
            <wp:effectExtent l="0" t="0" r="3175" b="0"/>
            <wp:wrapSquare wrapText="bothSides"/>
            <wp:docPr id="27" name="Picture 27" descr="Untitled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Untitled-1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40" t="7100" r="6653" b="27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325" cy="536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D9" w:rsidRPr="000D2C06" w:rsidRDefault="00ED4ED9" w:rsidP="00ED4ED9">
      <w:pPr>
        <w:pStyle w:val="Paragrafi"/>
        <w:rPr>
          <w:lang w:val="sq-AL"/>
        </w:rPr>
      </w:pPr>
    </w:p>
    <w:p w:rsidR="00ED4ED9" w:rsidRPr="000D2C06" w:rsidRDefault="00ED4ED9" w:rsidP="002C64C2">
      <w:pPr>
        <w:pStyle w:val="Paragrafi"/>
        <w:rPr>
          <w:b/>
          <w:lang w:val="sq-AL"/>
        </w:rPr>
      </w:pPr>
    </w:p>
    <w:sectPr w:rsidR="00ED4ED9" w:rsidRPr="000D2C06" w:rsidSect="009E7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FE2" w:rsidRDefault="001C5FE2" w:rsidP="00ED4ED9">
      <w:pPr>
        <w:spacing w:after="0" w:line="240" w:lineRule="auto"/>
      </w:pPr>
      <w:r>
        <w:separator/>
      </w:r>
    </w:p>
  </w:endnote>
  <w:endnote w:type="continuationSeparator" w:id="0">
    <w:p w:rsidR="001C5FE2" w:rsidRDefault="001C5FE2" w:rsidP="00ED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FE2" w:rsidRDefault="001C5FE2" w:rsidP="00ED4ED9">
      <w:pPr>
        <w:spacing w:after="0" w:line="240" w:lineRule="auto"/>
      </w:pPr>
      <w:r>
        <w:separator/>
      </w:r>
    </w:p>
  </w:footnote>
  <w:footnote w:type="continuationSeparator" w:id="0">
    <w:p w:rsidR="001C5FE2" w:rsidRDefault="001C5FE2" w:rsidP="00ED4ED9">
      <w:pPr>
        <w:spacing w:after="0" w:line="240" w:lineRule="auto"/>
      </w:pPr>
      <w:r>
        <w:continuationSeparator/>
      </w:r>
    </w:p>
  </w:footnote>
  <w:footnote w:id="1">
    <w:p w:rsidR="0074006C" w:rsidRDefault="0074006C">
      <w:pPr>
        <w:pStyle w:val="FootnoteText"/>
        <w:rPr>
          <w:rFonts w:ascii="Garamond" w:hAnsi="Garamond"/>
          <w:i/>
          <w:lang w:val="sq-AL"/>
        </w:rPr>
      </w:pPr>
      <w:r>
        <w:rPr>
          <w:rStyle w:val="FootnoteReference"/>
        </w:rPr>
        <w:footnoteRef/>
      </w:r>
      <w:r>
        <w:t xml:space="preserve"> </w:t>
      </w:r>
      <w:r w:rsidRPr="0074006C">
        <w:rPr>
          <w:rFonts w:ascii="Garamond" w:hAnsi="Garamond"/>
          <w:i/>
          <w:lang w:val="sq-AL"/>
        </w:rPr>
        <w:t>Pika 2 e udhëzimit nr. 4456-1, datë 24,8,2015 shprehet;</w:t>
      </w:r>
    </w:p>
    <w:p w:rsidR="0074006C" w:rsidRPr="0074006C" w:rsidRDefault="0074006C" w:rsidP="0074006C">
      <w:pPr>
        <w:pStyle w:val="Paragrafi"/>
        <w:rPr>
          <w:rFonts w:ascii="Garamond" w:hAnsi="Garamond"/>
          <w:i/>
          <w:sz w:val="20"/>
          <w:szCs w:val="20"/>
          <w:lang w:val="sq-AL"/>
        </w:rPr>
      </w:pPr>
      <w:r w:rsidRPr="00734976">
        <w:rPr>
          <w:lang w:val="sq-AL"/>
        </w:rPr>
        <w:t xml:space="preserve">2. </w:t>
      </w:r>
      <w:r w:rsidRPr="0074006C">
        <w:rPr>
          <w:rFonts w:ascii="Garamond" w:hAnsi="Garamond"/>
          <w:i/>
          <w:sz w:val="20"/>
          <w:szCs w:val="20"/>
          <w:lang w:val="sq-AL"/>
        </w:rPr>
        <w:t>Në pasqyrën 4, “Pagesa për kalibrim të instrumenteve matëse nga laboratorët e DPM-së, pika 4, “Instrumente matëse elektrike”, paragrafi “Kontatorë të energjisë elektrike shumëfazorë, me klasë saktësie 0.5 e më të mirë, 1, 2, 3” dhe paragrafi, “Njehsor elektrik të klasës së saktësisë 0.5 e më të mirë, 1, 2, 3”, riformulohen si më poshtë:</w:t>
      </w:r>
    </w:p>
    <w:p w:rsidR="0074006C" w:rsidRPr="0074006C" w:rsidRDefault="0074006C" w:rsidP="0074006C">
      <w:pPr>
        <w:pStyle w:val="Paragrafi"/>
        <w:rPr>
          <w:rFonts w:ascii="Garamond" w:hAnsi="Garamond"/>
          <w:i/>
          <w:sz w:val="20"/>
          <w:szCs w:val="20"/>
          <w:lang w:val="sq-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4"/>
        <w:gridCol w:w="3110"/>
        <w:gridCol w:w="1138"/>
      </w:tblGrid>
      <w:tr w:rsidR="0074006C" w:rsidRPr="0074006C" w:rsidTr="00027D54">
        <w:trPr>
          <w:jc w:val="center"/>
        </w:trPr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:rsidR="0074006C" w:rsidRPr="0074006C" w:rsidRDefault="0074006C" w:rsidP="0074006C">
            <w:pPr>
              <w:pStyle w:val="Paragrafi"/>
              <w:ind w:firstLine="0"/>
              <w:jc w:val="center"/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</w:pPr>
            <w:r w:rsidRPr="0074006C"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3110" w:type="dxa"/>
            <w:tcBorders>
              <w:bottom w:val="single" w:sz="4" w:space="0" w:color="auto"/>
            </w:tcBorders>
            <w:vAlign w:val="center"/>
          </w:tcPr>
          <w:p w:rsidR="0074006C" w:rsidRPr="0074006C" w:rsidRDefault="0074006C" w:rsidP="0074006C">
            <w:pPr>
              <w:pStyle w:val="Paragrafi"/>
              <w:ind w:firstLine="0"/>
              <w:jc w:val="center"/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</w:pPr>
            <w:r w:rsidRPr="0074006C"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  <w:t>Emërtesa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vAlign w:val="center"/>
          </w:tcPr>
          <w:p w:rsidR="0074006C" w:rsidRPr="0074006C" w:rsidRDefault="0074006C" w:rsidP="0074006C">
            <w:pPr>
              <w:pStyle w:val="Paragrafi"/>
              <w:ind w:firstLine="0"/>
              <w:jc w:val="center"/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</w:pPr>
            <w:r w:rsidRPr="0074006C"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  <w:t>Tarifa (në lekë)</w:t>
            </w:r>
          </w:p>
        </w:tc>
      </w:tr>
      <w:tr w:rsidR="0074006C" w:rsidRPr="0074006C" w:rsidTr="00027D54">
        <w:trPr>
          <w:jc w:val="center"/>
        </w:trPr>
        <w:tc>
          <w:tcPr>
            <w:tcW w:w="564" w:type="dxa"/>
            <w:tcBorders>
              <w:right w:val="nil"/>
            </w:tcBorders>
          </w:tcPr>
          <w:p w:rsidR="0074006C" w:rsidRPr="0074006C" w:rsidRDefault="0074006C" w:rsidP="0074006C">
            <w:pPr>
              <w:pStyle w:val="Paragrafi"/>
              <w:ind w:firstLine="0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</w:p>
        </w:tc>
        <w:tc>
          <w:tcPr>
            <w:tcW w:w="3110" w:type="dxa"/>
            <w:tcBorders>
              <w:left w:val="nil"/>
              <w:right w:val="nil"/>
            </w:tcBorders>
          </w:tcPr>
          <w:p w:rsidR="0074006C" w:rsidRPr="0074006C" w:rsidRDefault="0074006C" w:rsidP="0074006C">
            <w:pPr>
              <w:pStyle w:val="Paragrafi"/>
              <w:ind w:firstLine="0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</w:p>
        </w:tc>
        <w:tc>
          <w:tcPr>
            <w:tcW w:w="1138" w:type="dxa"/>
            <w:tcBorders>
              <w:left w:val="nil"/>
            </w:tcBorders>
          </w:tcPr>
          <w:p w:rsidR="0074006C" w:rsidRPr="0074006C" w:rsidRDefault="0074006C" w:rsidP="0074006C">
            <w:pPr>
              <w:pStyle w:val="Paragrafi"/>
              <w:ind w:firstLine="0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</w:p>
        </w:tc>
      </w:tr>
      <w:tr w:rsidR="0074006C" w:rsidRPr="0074006C" w:rsidTr="0074006C">
        <w:trPr>
          <w:trHeight w:val="1340"/>
          <w:jc w:val="center"/>
        </w:trPr>
        <w:tc>
          <w:tcPr>
            <w:tcW w:w="564" w:type="dxa"/>
          </w:tcPr>
          <w:p w:rsidR="0074006C" w:rsidRPr="0074006C" w:rsidRDefault="0074006C" w:rsidP="0074006C">
            <w:pPr>
              <w:pStyle w:val="Paragrafi"/>
              <w:ind w:firstLine="0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</w:p>
        </w:tc>
        <w:tc>
          <w:tcPr>
            <w:tcW w:w="3110" w:type="dxa"/>
          </w:tcPr>
          <w:p w:rsidR="0074006C" w:rsidRPr="0074006C" w:rsidRDefault="0074006C" w:rsidP="0074006C">
            <w:pPr>
              <w:pStyle w:val="Paragrafi"/>
              <w:ind w:firstLine="0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74006C">
              <w:rPr>
                <w:rFonts w:ascii="Garamond" w:hAnsi="Garamond"/>
                <w:i/>
                <w:sz w:val="20"/>
                <w:szCs w:val="20"/>
                <w:lang w:val="sq-AL"/>
              </w:rPr>
              <w:t>Kontatorë të energjisë elektrike shumëfazorë, me klasë saktësie 0.5 e më të mirë, njëtariforë dhe për veprim njëkahorë</w:t>
            </w:r>
          </w:p>
        </w:tc>
        <w:tc>
          <w:tcPr>
            <w:tcW w:w="1138" w:type="dxa"/>
          </w:tcPr>
          <w:p w:rsidR="0074006C" w:rsidRPr="0074006C" w:rsidRDefault="0074006C" w:rsidP="0074006C">
            <w:pPr>
              <w:pStyle w:val="Paragrafi"/>
              <w:ind w:firstLine="0"/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74006C">
              <w:rPr>
                <w:rFonts w:ascii="Garamond" w:hAnsi="Garamond"/>
                <w:i/>
                <w:sz w:val="20"/>
                <w:szCs w:val="20"/>
                <w:lang w:val="sq-AL"/>
              </w:rPr>
              <w:t>12 500</w:t>
            </w:r>
          </w:p>
        </w:tc>
      </w:tr>
    </w:tbl>
    <w:p w:rsidR="0074006C" w:rsidRPr="0074006C" w:rsidRDefault="0074006C" w:rsidP="0074006C">
      <w:pPr>
        <w:pStyle w:val="Paragrafi"/>
        <w:rPr>
          <w:rFonts w:ascii="Garamond" w:hAnsi="Garamond"/>
          <w:i/>
          <w:sz w:val="20"/>
          <w:szCs w:val="20"/>
          <w:lang w:val="sq-AL"/>
        </w:rPr>
      </w:pPr>
      <w:r w:rsidRPr="0074006C">
        <w:rPr>
          <w:rFonts w:ascii="Garamond" w:hAnsi="Garamond"/>
          <w:i/>
          <w:sz w:val="20"/>
          <w:szCs w:val="20"/>
          <w:lang w:val="sq-AL"/>
        </w:rPr>
        <w:t>- Për kontatorë me pajisje 2- apo më shumëtariforë, për çdo shtesë pajisje, tarifore çmimi shtohet me 20% të çmimit bazë 12 500 lekë.</w:t>
      </w:r>
    </w:p>
    <w:p w:rsidR="0074006C" w:rsidRPr="0074006C" w:rsidRDefault="0074006C" w:rsidP="0074006C">
      <w:pPr>
        <w:pStyle w:val="Paragrafi"/>
        <w:rPr>
          <w:rFonts w:ascii="Garamond" w:hAnsi="Garamond"/>
          <w:i/>
          <w:sz w:val="20"/>
          <w:szCs w:val="20"/>
          <w:lang w:val="sq-AL"/>
        </w:rPr>
      </w:pPr>
      <w:r w:rsidRPr="0074006C">
        <w:rPr>
          <w:rFonts w:ascii="Garamond" w:hAnsi="Garamond"/>
          <w:i/>
          <w:sz w:val="20"/>
          <w:szCs w:val="20"/>
          <w:lang w:val="sq-AL"/>
        </w:rPr>
        <w:t>- Për kontatorë që punojnë me dy drejtime, marrjeje dhe dhënie energjie për çdo drejtim shtesë, tarifa rritet me 20% të tarifës bazë 12 500 lekë.”</w:t>
      </w:r>
    </w:p>
    <w:p w:rsidR="0074006C" w:rsidRPr="0074006C" w:rsidRDefault="0074006C">
      <w:pPr>
        <w:pStyle w:val="FootnoteText"/>
        <w:rPr>
          <w:rFonts w:ascii="Garamond" w:hAnsi="Garamond"/>
          <w:i/>
          <w:lang w:val="sq-AL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4C2"/>
    <w:rsid w:val="00002ECA"/>
    <w:rsid w:val="000D2C06"/>
    <w:rsid w:val="001C5FE2"/>
    <w:rsid w:val="00263567"/>
    <w:rsid w:val="002C64C2"/>
    <w:rsid w:val="0032355A"/>
    <w:rsid w:val="00395030"/>
    <w:rsid w:val="0074006C"/>
    <w:rsid w:val="008B03DD"/>
    <w:rsid w:val="009E7E21"/>
    <w:rsid w:val="00B15D52"/>
    <w:rsid w:val="00D576AF"/>
    <w:rsid w:val="00ED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2FC10"/>
  <w15:chartTrackingRefBased/>
  <w15:docId w15:val="{11DDCF9A-D6BA-49F1-B229-70FC015F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E2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64C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C64C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C64C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C64C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C64C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C64C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C64C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C64C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C64C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C64C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ED4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ED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D4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ED9"/>
    <w:rPr>
      <w:sz w:val="22"/>
      <w:szCs w:val="22"/>
    </w:rPr>
  </w:style>
  <w:style w:type="table" w:styleId="TableGrid">
    <w:name w:val="Table Grid"/>
    <w:basedOn w:val="TableNormal"/>
    <w:rsid w:val="00ED4ED9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400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006C"/>
  </w:style>
  <w:style w:type="character" w:styleId="FootnoteReference">
    <w:name w:val="footnote reference"/>
    <w:basedOn w:val="DefaultParagraphFont"/>
    <w:uiPriority w:val="99"/>
    <w:semiHidden/>
    <w:unhideWhenUsed/>
    <w:rsid w:val="007400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1FBC2-7D24-48F7-852E-15D7B547D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Marsela Xhepa</cp:lastModifiedBy>
  <cp:revision>4</cp:revision>
  <dcterms:created xsi:type="dcterms:W3CDTF">2025-11-18T12:22:00Z</dcterms:created>
  <dcterms:modified xsi:type="dcterms:W3CDTF">2025-11-19T10:57:00Z</dcterms:modified>
</cp:coreProperties>
</file>