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29F" w:rsidRPr="000C46B4" w:rsidRDefault="001D229F" w:rsidP="001D229F">
      <w:pPr>
        <w:pStyle w:val="Akti"/>
        <w:rPr>
          <w:lang w:val="sq-AL"/>
        </w:rPr>
      </w:pPr>
      <w:bookmarkStart w:id="0" w:name="_GoBack"/>
      <w:bookmarkEnd w:id="0"/>
      <w:r w:rsidRPr="000C46B4">
        <w:rPr>
          <w:lang w:val="sq-AL"/>
        </w:rPr>
        <w:t>UDHËZIM</w:t>
      </w:r>
    </w:p>
    <w:p w:rsidR="001D229F" w:rsidRPr="000C46B4" w:rsidRDefault="001D229F" w:rsidP="001D229F">
      <w:pPr>
        <w:pStyle w:val="NumriData"/>
        <w:rPr>
          <w:lang w:val="sq-AL"/>
        </w:rPr>
      </w:pPr>
      <w:r w:rsidRPr="000C46B4">
        <w:rPr>
          <w:lang w:val="sq-AL"/>
        </w:rPr>
        <w:t>Nr.</w:t>
      </w:r>
      <w:r>
        <w:rPr>
          <w:lang w:val="sq-AL"/>
        </w:rPr>
        <w:t xml:space="preserve"> </w:t>
      </w:r>
      <w:r w:rsidRPr="000C46B4">
        <w:rPr>
          <w:lang w:val="sq-AL"/>
        </w:rPr>
        <w:t>8, datë 21.2.2013</w:t>
      </w:r>
    </w:p>
    <w:p w:rsidR="001D229F" w:rsidRPr="000C46B4" w:rsidRDefault="001D229F" w:rsidP="001D229F">
      <w:pPr>
        <w:pStyle w:val="Paragrafi"/>
        <w:rPr>
          <w:lang w:val="sq-AL"/>
        </w:rPr>
      </w:pPr>
    </w:p>
    <w:p w:rsidR="001D229F" w:rsidRPr="000C46B4" w:rsidRDefault="001D229F" w:rsidP="001D229F">
      <w:pPr>
        <w:pStyle w:val="Titulli"/>
        <w:rPr>
          <w:lang w:val="sq-AL"/>
        </w:rPr>
      </w:pPr>
      <w:r w:rsidRPr="000C46B4">
        <w:rPr>
          <w:lang w:val="sq-AL"/>
        </w:rPr>
        <w:t>PËR DISA SHTESA NË UDHËZIMIN NR.</w:t>
      </w:r>
      <w:r>
        <w:rPr>
          <w:lang w:val="sq-AL"/>
        </w:rPr>
        <w:t xml:space="preserve"> </w:t>
      </w:r>
      <w:r w:rsidRPr="000C46B4">
        <w:rPr>
          <w:lang w:val="sq-AL"/>
        </w:rPr>
        <w:t>26, DATË 4.9.2008 “PËR TAKSAT KOMBËTARE”, TË NDRYSHUAR</w:t>
      </w:r>
    </w:p>
    <w:p w:rsidR="001D229F" w:rsidRPr="000C46B4" w:rsidRDefault="001D229F" w:rsidP="001D229F">
      <w:pPr>
        <w:pStyle w:val="Paragrafi"/>
        <w:rPr>
          <w:lang w:val="sq-AL"/>
        </w:rPr>
      </w:pPr>
    </w:p>
    <w:p w:rsidR="001D229F" w:rsidRPr="000C46B4" w:rsidRDefault="001D229F" w:rsidP="001D229F">
      <w:pPr>
        <w:pStyle w:val="Paragrafi"/>
        <w:rPr>
          <w:lang w:val="sq-AL"/>
        </w:rPr>
      </w:pPr>
      <w:r>
        <w:rPr>
          <w:lang w:val="sq-AL"/>
        </w:rPr>
        <w:t>Në zbatim të nenit 102</w:t>
      </w:r>
      <w:r w:rsidRPr="000C46B4">
        <w:rPr>
          <w:lang w:val="sq-AL"/>
        </w:rPr>
        <w:t xml:space="preserve"> pika 4 të Kushtetutës së Republikës së Shqipërisë, si dhe në zbatim të dekretit të Presidentit nr.</w:t>
      </w:r>
      <w:r>
        <w:rPr>
          <w:lang w:val="sq-AL"/>
        </w:rPr>
        <w:t xml:space="preserve"> </w:t>
      </w:r>
      <w:r w:rsidRPr="000C46B4">
        <w:rPr>
          <w:lang w:val="sq-AL"/>
        </w:rPr>
        <w:t>7767, datë 1.10.2012 dhe të ligjit nr.</w:t>
      </w:r>
      <w:r>
        <w:rPr>
          <w:lang w:val="sq-AL"/>
        </w:rPr>
        <w:t xml:space="preserve"> </w:t>
      </w:r>
      <w:r w:rsidRPr="000C46B4">
        <w:rPr>
          <w:lang w:val="sq-AL"/>
        </w:rPr>
        <w:t>9975, datë 28.7.2008</w:t>
      </w:r>
      <w:r>
        <w:rPr>
          <w:lang w:val="sq-AL"/>
        </w:rPr>
        <w:t xml:space="preserve"> “Për taksat kombëtare”, të</w:t>
      </w:r>
      <w:r w:rsidRPr="000C46B4">
        <w:rPr>
          <w:lang w:val="sq-AL"/>
        </w:rPr>
        <w:t xml:space="preserve"> ndryshuar, Ministri i Financave</w:t>
      </w:r>
    </w:p>
    <w:p w:rsidR="001D229F" w:rsidRDefault="001D229F" w:rsidP="001D229F">
      <w:pPr>
        <w:pStyle w:val="VENDOSI"/>
        <w:rPr>
          <w:lang w:val="sq-AL"/>
        </w:rPr>
      </w:pPr>
    </w:p>
    <w:p w:rsidR="001D229F" w:rsidRPr="000C46B4" w:rsidRDefault="001D229F" w:rsidP="001D229F">
      <w:pPr>
        <w:pStyle w:val="VENDOSI"/>
        <w:rPr>
          <w:lang w:val="sq-AL"/>
        </w:rPr>
      </w:pPr>
      <w:r w:rsidRPr="000C46B4">
        <w:rPr>
          <w:lang w:val="sq-AL"/>
        </w:rPr>
        <w:t>UDHËZON:</w:t>
      </w:r>
    </w:p>
    <w:p w:rsidR="001D229F" w:rsidRPr="00F523A7" w:rsidRDefault="001D229F" w:rsidP="001D229F">
      <w:pPr>
        <w:pStyle w:val="Paragrafi"/>
        <w:rPr>
          <w:lang w:val="sq-AL"/>
        </w:rPr>
      </w:pP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1. Në pikën 2.8.1, paragrafi i fundit ndryshon me këtë përmbajtje: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 xml:space="preserve">“Për ambalazhet njëpërdorimshme të plastikës dhe të qelqit të prodhuara brenda vendit, prodhuesi paguan në bankën e nivelit të dytë për llogari të drejtorisë rajonale ku është regjistruar, taksën për të gjithë sasinë e shitur, brenda datës 5 të muajit pasardhës. Prodhuesi duhet të plotësojë e </w:t>
      </w:r>
      <w:r>
        <w:rPr>
          <w:lang w:val="sq-AL"/>
        </w:rPr>
        <w:t xml:space="preserve">të </w:t>
      </w:r>
      <w:r w:rsidRPr="000C46B4">
        <w:rPr>
          <w:lang w:val="sq-AL"/>
        </w:rPr>
        <w:t>dorëzojë në drejtorinë rajonale tatimore ku është regjistruar, formularin nr.</w:t>
      </w:r>
      <w:r>
        <w:rPr>
          <w:lang w:val="sq-AL"/>
        </w:rPr>
        <w:t xml:space="preserve"> </w:t>
      </w:r>
      <w:r w:rsidRPr="000C46B4">
        <w:rPr>
          <w:lang w:val="sq-AL"/>
        </w:rPr>
        <w:t>1, bashkëlidhur këtij udhëzimi, duke deklaruar sasinë e shitur dhe duke i bashkëlidhur mandatpagesën për taksën e paguar.”</w:t>
      </w:r>
      <w:r>
        <w:rPr>
          <w:lang w:val="sq-AL"/>
        </w:rPr>
        <w:t>.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 xml:space="preserve">2. Në pikën 2.8.2, germat </w:t>
      </w:r>
      <w:r>
        <w:rPr>
          <w:lang w:val="sq-AL"/>
        </w:rPr>
        <w:t>“</w:t>
      </w:r>
      <w:r w:rsidRPr="000C46B4">
        <w:rPr>
          <w:lang w:val="sq-AL"/>
        </w:rPr>
        <w:t>b</w:t>
      </w:r>
      <w:r>
        <w:rPr>
          <w:lang w:val="sq-AL"/>
        </w:rPr>
        <w:t>”</w:t>
      </w:r>
      <w:r w:rsidRPr="000C46B4">
        <w:rPr>
          <w:lang w:val="sq-AL"/>
        </w:rPr>
        <w:t xml:space="preserve">, </w:t>
      </w:r>
      <w:r>
        <w:rPr>
          <w:lang w:val="sq-AL"/>
        </w:rPr>
        <w:t>“</w:t>
      </w:r>
      <w:r w:rsidRPr="000C46B4">
        <w:rPr>
          <w:lang w:val="sq-AL"/>
        </w:rPr>
        <w:t>c</w:t>
      </w:r>
      <w:r>
        <w:rPr>
          <w:lang w:val="sq-AL"/>
        </w:rPr>
        <w:t>”</w:t>
      </w:r>
      <w:r w:rsidRPr="000C46B4">
        <w:rPr>
          <w:lang w:val="sq-AL"/>
        </w:rPr>
        <w:t xml:space="preserve"> dhe </w:t>
      </w:r>
      <w:r>
        <w:rPr>
          <w:lang w:val="sq-AL"/>
        </w:rPr>
        <w:t>“</w:t>
      </w:r>
      <w:r w:rsidRPr="000C46B4">
        <w:rPr>
          <w:lang w:val="sq-AL"/>
        </w:rPr>
        <w:t>ç</w:t>
      </w:r>
      <w:r>
        <w:rPr>
          <w:lang w:val="sq-AL"/>
        </w:rPr>
        <w:t>”</w:t>
      </w:r>
      <w:r w:rsidRPr="000C46B4">
        <w:rPr>
          <w:lang w:val="sq-AL"/>
        </w:rPr>
        <w:t xml:space="preserve"> bëhen:</w:t>
      </w:r>
    </w:p>
    <w:p w:rsidR="001D229F" w:rsidRPr="000C46B4" w:rsidRDefault="001D229F" w:rsidP="001D229F">
      <w:pPr>
        <w:pStyle w:val="Paragrafi"/>
        <w:rPr>
          <w:lang w:val="sq-AL"/>
        </w:rPr>
      </w:pPr>
      <w:r>
        <w:rPr>
          <w:lang w:val="sq-AL"/>
        </w:rPr>
        <w:t>“</w:t>
      </w:r>
      <w:r w:rsidRPr="000C46B4">
        <w:rPr>
          <w:lang w:val="sq-AL"/>
        </w:rPr>
        <w:t>b) “Ambalazh njëpërdorimësh” për qëllime të këtij udhëzimi do të konsiderohen ato ambalazhe që nuk i nënshtrohen regjimit të lejimit të përkohshëm me përjashtim të plotë sipas nenit 161 të ligjit nr.</w:t>
      </w:r>
      <w:r>
        <w:rPr>
          <w:lang w:val="sq-AL"/>
        </w:rPr>
        <w:t xml:space="preserve"> </w:t>
      </w:r>
      <w:r w:rsidRPr="000C46B4">
        <w:rPr>
          <w:lang w:val="sq-AL"/>
        </w:rPr>
        <w:t>8429, datë 27.1.1999 “Për Kodin Doganor të Republikës së Shqipërisë” dhe të pikave 3 dhe 4 të nenit 349 të vendimit të Këshillit të Ministrave nr.</w:t>
      </w:r>
      <w:r>
        <w:rPr>
          <w:lang w:val="sq-AL"/>
        </w:rPr>
        <w:t xml:space="preserve"> </w:t>
      </w:r>
      <w:r w:rsidRPr="000C46B4">
        <w:rPr>
          <w:lang w:val="sq-AL"/>
        </w:rPr>
        <w:t>205, datë 13.4.1999 “Për dispozitat zbatuese të Kodit Doganor”, të ndryshuar dhe që shërbejnë për paketimin, ruajtjen e produkteve të parashikuara në anekset 1 dhe 2 të l</w:t>
      </w:r>
      <w:r>
        <w:rPr>
          <w:lang w:val="sq-AL"/>
        </w:rPr>
        <w:t>igjit për taksat kombëtare nr.</w:t>
      </w:r>
      <w:r w:rsidRPr="000C46B4">
        <w:rPr>
          <w:lang w:val="sq-AL"/>
        </w:rPr>
        <w:t xml:space="preserve"> 7767, datë 1.10.2012, të ndryshuar dhe që përdoren vetëm një herë.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c) “A</w:t>
      </w:r>
      <w:r>
        <w:rPr>
          <w:lang w:val="sq-AL"/>
        </w:rPr>
        <w:t>mbalazh plastik njëpërdorimësh”</w:t>
      </w:r>
      <w:r w:rsidRPr="000C46B4">
        <w:rPr>
          <w:lang w:val="sq-AL"/>
        </w:rPr>
        <w:t xml:space="preserve"> janë ambalazhet nj</w:t>
      </w:r>
      <w:r>
        <w:rPr>
          <w:lang w:val="sq-AL"/>
        </w:rPr>
        <w:t>ëpërdorim</w:t>
      </w:r>
      <w:r w:rsidRPr="000C46B4">
        <w:rPr>
          <w:lang w:val="sq-AL"/>
        </w:rPr>
        <w:t>sh</w:t>
      </w:r>
      <w:r>
        <w:rPr>
          <w:lang w:val="sq-AL"/>
        </w:rPr>
        <w:t>e sipas përkufizimit të germës “b”</w:t>
      </w:r>
      <w:r w:rsidRPr="000C46B4">
        <w:rPr>
          <w:lang w:val="sq-AL"/>
        </w:rPr>
        <w:t xml:space="preserve"> më lart dhe që klasifikohen në kodet 3923 dhe 392410 të Nomenklaturës së Kombinuar të Mallrave në rastet kur importohen veçmas dhe shërbejnë për të paketuar produkte të parashikuara në aneksin 1 të ligjit 83/2012 dhe ambalazhet që ruajnë dhe paketojnë mallrat e listuara në tabelën 2 në aneksin</w:t>
      </w:r>
      <w:r>
        <w:rPr>
          <w:lang w:val="sq-AL"/>
        </w:rPr>
        <w:t xml:space="preserve"> </w:t>
      </w:r>
      <w:r w:rsidRPr="000C46B4">
        <w:rPr>
          <w:lang w:val="sq-AL"/>
        </w:rPr>
        <w:t>1 të ligjit 83/2012 dhe zë të paktën 51% të masës së përgjithshme të ambalazhit. Në kuptim të kësaj pike</w:t>
      </w:r>
      <w:r>
        <w:rPr>
          <w:lang w:val="sq-AL"/>
        </w:rPr>
        <w:t>,</w:t>
      </w:r>
      <w:r w:rsidRPr="000C46B4">
        <w:rPr>
          <w:lang w:val="sq-AL"/>
        </w:rPr>
        <w:t xml:space="preserve"> nuk do të kon</w:t>
      </w:r>
      <w:r>
        <w:rPr>
          <w:lang w:val="sq-AL"/>
        </w:rPr>
        <w:t>siderohen ambalazhe njëpërdorim</w:t>
      </w:r>
      <w:r w:rsidRPr="000C46B4">
        <w:rPr>
          <w:lang w:val="sq-AL"/>
        </w:rPr>
        <w:t>sh</w:t>
      </w:r>
      <w:r>
        <w:rPr>
          <w:lang w:val="sq-AL"/>
        </w:rPr>
        <w:t>e</w:t>
      </w:r>
      <w:r w:rsidRPr="000C46B4">
        <w:rPr>
          <w:lang w:val="sq-AL"/>
        </w:rPr>
        <w:t xml:space="preserve"> plastike artikujt</w:t>
      </w:r>
      <w:r>
        <w:rPr>
          <w:lang w:val="sq-AL"/>
        </w:rPr>
        <w:t>,</w:t>
      </w:r>
      <w:r w:rsidRPr="000C46B4">
        <w:rPr>
          <w:lang w:val="sq-AL"/>
        </w:rPr>
        <w:t xml:space="preserve"> si më poshtë: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i) arkat plastike;</w:t>
      </w:r>
    </w:p>
    <w:p w:rsidR="001D229F" w:rsidRPr="000C46B4" w:rsidRDefault="001D229F" w:rsidP="001D229F">
      <w:pPr>
        <w:pStyle w:val="Paragrafi"/>
        <w:rPr>
          <w:lang w:val="sq-AL"/>
        </w:rPr>
      </w:pPr>
      <w:r>
        <w:rPr>
          <w:lang w:val="sq-AL"/>
        </w:rPr>
        <w:t xml:space="preserve">ii) fuçitë </w:t>
      </w:r>
      <w:r w:rsidRPr="000C46B4">
        <w:rPr>
          <w:lang w:val="sq-AL"/>
        </w:rPr>
        <w:t>me kapacitet</w:t>
      </w:r>
      <w:r>
        <w:rPr>
          <w:lang w:val="sq-AL"/>
        </w:rPr>
        <w:t xml:space="preserve"> &gt;=</w:t>
      </w:r>
      <w:r w:rsidRPr="000C46B4">
        <w:rPr>
          <w:lang w:val="sq-AL"/>
        </w:rPr>
        <w:t>20 litra;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iii) kapakët e CD dhe DVD;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iv) kutitë paketuese dhe tasat për ushqime;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v) kutitë e votimit;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vi) tabakatë plastike;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vii) mbajtëset për kafe, çaj, erëza;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viii) sallatierat, supierat;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ix) kuti mbajtëse për rroba, kap</w:t>
      </w:r>
      <w:r>
        <w:rPr>
          <w:lang w:val="sq-AL"/>
        </w:rPr>
        <w:t>ë</w:t>
      </w:r>
      <w:r w:rsidRPr="000C46B4">
        <w:rPr>
          <w:lang w:val="sq-AL"/>
        </w:rPr>
        <w:t>se rrobash;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x) mbajtëset e artikujve të kuzhinës</w:t>
      </w:r>
      <w:r>
        <w:rPr>
          <w:lang w:val="sq-AL"/>
        </w:rPr>
        <w:t>,</w:t>
      </w:r>
      <w:r w:rsidRPr="000C46B4">
        <w:rPr>
          <w:lang w:val="sq-AL"/>
        </w:rPr>
        <w:t xml:space="preserve"> si</w:t>
      </w:r>
      <w:r>
        <w:rPr>
          <w:lang w:val="sq-AL"/>
        </w:rPr>
        <w:t>:</w:t>
      </w:r>
      <w:r w:rsidRPr="000C46B4">
        <w:rPr>
          <w:lang w:val="sq-AL"/>
        </w:rPr>
        <w:t xml:space="preserve"> lugë, thika, pirunë etj</w:t>
      </w:r>
      <w:r>
        <w:rPr>
          <w:lang w:val="sq-AL"/>
        </w:rPr>
        <w:t>.</w:t>
      </w:r>
      <w:r w:rsidRPr="000C46B4">
        <w:rPr>
          <w:lang w:val="sq-AL"/>
        </w:rPr>
        <w:t>;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xi) mbajtëset për ushqimet</w:t>
      </w:r>
      <w:r>
        <w:rPr>
          <w:lang w:val="sq-AL"/>
        </w:rPr>
        <w:t>,</w:t>
      </w:r>
      <w:r w:rsidRPr="000C46B4">
        <w:rPr>
          <w:lang w:val="sq-AL"/>
        </w:rPr>
        <w:t xml:space="preserve"> si</w:t>
      </w:r>
      <w:r>
        <w:rPr>
          <w:lang w:val="sq-AL"/>
        </w:rPr>
        <w:t>:</w:t>
      </w:r>
      <w:r w:rsidRPr="000C46B4">
        <w:rPr>
          <w:lang w:val="sq-AL"/>
        </w:rPr>
        <w:t xml:space="preserve"> marmelatë, bukë, salcë, fruta, gjalp</w:t>
      </w:r>
      <w:r>
        <w:rPr>
          <w:lang w:val="sq-AL"/>
        </w:rPr>
        <w:t>ë</w:t>
      </w:r>
      <w:r w:rsidRPr="000C46B4">
        <w:rPr>
          <w:lang w:val="sq-AL"/>
        </w:rPr>
        <w:t>, vaj</w:t>
      </w:r>
      <w:r>
        <w:rPr>
          <w:lang w:val="sq-AL"/>
        </w:rPr>
        <w:t xml:space="preserve"> </w:t>
      </w:r>
      <w:r w:rsidRPr="000C46B4">
        <w:rPr>
          <w:lang w:val="sq-AL"/>
        </w:rPr>
        <w:t>etj</w:t>
      </w:r>
      <w:r>
        <w:rPr>
          <w:lang w:val="sq-AL"/>
        </w:rPr>
        <w:t>.</w:t>
      </w:r>
      <w:r w:rsidRPr="000C46B4">
        <w:rPr>
          <w:lang w:val="sq-AL"/>
        </w:rPr>
        <w:t>;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xii) tabaka;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xiii) vazot e luleve.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 xml:space="preserve">ç) </w:t>
      </w:r>
      <w:r>
        <w:rPr>
          <w:lang w:val="sq-AL"/>
        </w:rPr>
        <w:t>“Ambalazh qelqi njëpërdorimësh” janë ambalazhet njëpërdorim</w:t>
      </w:r>
      <w:r w:rsidRPr="000C46B4">
        <w:rPr>
          <w:lang w:val="sq-AL"/>
        </w:rPr>
        <w:t>sh</w:t>
      </w:r>
      <w:r>
        <w:rPr>
          <w:lang w:val="sq-AL"/>
        </w:rPr>
        <w:t>e</w:t>
      </w:r>
      <w:r w:rsidRPr="000C46B4">
        <w:rPr>
          <w:lang w:val="sq-AL"/>
        </w:rPr>
        <w:t xml:space="preserve"> sipas përkufizimit të germës </w:t>
      </w:r>
      <w:r>
        <w:rPr>
          <w:lang w:val="sq-AL"/>
        </w:rPr>
        <w:t>“</w:t>
      </w:r>
      <w:r w:rsidRPr="000C46B4">
        <w:rPr>
          <w:lang w:val="sq-AL"/>
        </w:rPr>
        <w:t>b</w:t>
      </w:r>
      <w:r>
        <w:rPr>
          <w:lang w:val="sq-AL"/>
        </w:rPr>
        <w:t>”</w:t>
      </w:r>
      <w:r w:rsidRPr="000C46B4">
        <w:rPr>
          <w:lang w:val="sq-AL"/>
        </w:rPr>
        <w:t xml:space="preserve"> më lart dhe që klasifikohen në kodet 7010 të Nomenklaturës së Kombinuar të Mallrave në rastet kur importohen veçmas dhe shërbejnë për të paketuar produkte të parashikuara në tabelën 2 në aneksin 2 të ligjit 83/2012 dhe ambalazhet që ruajnë dhe paketojnë mallrat e listuara në tabelën 2 në aneksin 2 të ligjit 83/2012 dhe zë të paktën 80% të masës së përgjithshme të ambalazhit. Në kuptim të kësaj pike</w:t>
      </w:r>
      <w:r>
        <w:rPr>
          <w:lang w:val="sq-AL"/>
        </w:rPr>
        <w:t>,</w:t>
      </w:r>
      <w:r w:rsidRPr="000C46B4">
        <w:rPr>
          <w:lang w:val="sq-AL"/>
        </w:rPr>
        <w:t xml:space="preserve"> nuk do të kon</w:t>
      </w:r>
      <w:r>
        <w:rPr>
          <w:lang w:val="sq-AL"/>
        </w:rPr>
        <w:t>siderohen ambalazhe njëpërdorim</w:t>
      </w:r>
      <w:r w:rsidRPr="000C46B4">
        <w:rPr>
          <w:lang w:val="sq-AL"/>
        </w:rPr>
        <w:t>sh</w:t>
      </w:r>
      <w:r>
        <w:rPr>
          <w:lang w:val="sq-AL"/>
        </w:rPr>
        <w:t>e</w:t>
      </w:r>
      <w:r w:rsidRPr="000C46B4">
        <w:rPr>
          <w:lang w:val="sq-AL"/>
        </w:rPr>
        <w:t xml:space="preserve"> </w:t>
      </w:r>
      <w:r>
        <w:rPr>
          <w:lang w:val="sq-AL"/>
        </w:rPr>
        <w:t>qelqi</w:t>
      </w:r>
      <w:r w:rsidRPr="000C46B4">
        <w:rPr>
          <w:lang w:val="sq-AL"/>
        </w:rPr>
        <w:t xml:space="preserve"> artikujt</w:t>
      </w:r>
      <w:r>
        <w:rPr>
          <w:lang w:val="sq-AL"/>
        </w:rPr>
        <w:t>,</w:t>
      </w:r>
      <w:r w:rsidRPr="000C46B4">
        <w:rPr>
          <w:lang w:val="sq-AL"/>
        </w:rPr>
        <w:t xml:space="preserve"> si më poshtë:</w:t>
      </w:r>
    </w:p>
    <w:p w:rsidR="001D229F" w:rsidRPr="000C46B4" w:rsidRDefault="001D229F" w:rsidP="001D229F">
      <w:pPr>
        <w:pStyle w:val="Paragrafi"/>
        <w:rPr>
          <w:lang w:val="sq-AL"/>
        </w:rPr>
      </w:pPr>
      <w:r>
        <w:rPr>
          <w:lang w:val="sq-AL"/>
        </w:rPr>
        <w:t>i) damixhanë</w:t>
      </w:r>
      <w:r w:rsidRPr="000C46B4">
        <w:rPr>
          <w:lang w:val="sq-AL"/>
        </w:rPr>
        <w:t>;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ii) enë qelqi (jo shishe) për ruajtjen e produkteve ushqimore;</w:t>
      </w:r>
    </w:p>
    <w:p w:rsidR="001D229F" w:rsidRPr="000C46B4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iii) mbajtëset për kafe, çaj, erëza;</w:t>
      </w:r>
    </w:p>
    <w:p w:rsidR="001D229F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iv) mbajtëset për ushqimet</w:t>
      </w:r>
      <w:r>
        <w:rPr>
          <w:lang w:val="sq-AL"/>
        </w:rPr>
        <w:t>,</w:t>
      </w:r>
      <w:r w:rsidRPr="000C46B4">
        <w:rPr>
          <w:lang w:val="sq-AL"/>
        </w:rPr>
        <w:t xml:space="preserve"> si</w:t>
      </w:r>
      <w:r>
        <w:rPr>
          <w:lang w:val="sq-AL"/>
        </w:rPr>
        <w:t>:</w:t>
      </w:r>
      <w:r w:rsidRPr="000C46B4">
        <w:rPr>
          <w:lang w:val="sq-AL"/>
        </w:rPr>
        <w:t xml:space="preserve"> marmelatë, bukë, salcë, fruta, gjalpë, vaj etj</w:t>
      </w:r>
      <w:r>
        <w:rPr>
          <w:lang w:val="sq-AL"/>
        </w:rPr>
        <w:t>.</w:t>
      </w:r>
      <w:r w:rsidRPr="000C46B4">
        <w:rPr>
          <w:lang w:val="sq-AL"/>
        </w:rPr>
        <w:t>;</w:t>
      </w:r>
      <w:r>
        <w:rPr>
          <w:lang w:val="sq-AL"/>
        </w:rPr>
        <w:t>”</w:t>
      </w:r>
    </w:p>
    <w:p w:rsidR="001D229F" w:rsidRDefault="001D229F" w:rsidP="001D229F">
      <w:pPr>
        <w:pStyle w:val="Paragrafi"/>
        <w:rPr>
          <w:lang w:val="sq-AL"/>
        </w:rPr>
      </w:pPr>
      <w:r w:rsidRPr="000C46B4">
        <w:rPr>
          <w:lang w:val="sq-AL"/>
        </w:rPr>
        <w:t>Ky udhëzim hyn në fuqi menjëherë dhe botohet në Fletoren Zyrtare.</w:t>
      </w:r>
    </w:p>
    <w:p w:rsidR="001D229F" w:rsidRDefault="001D229F" w:rsidP="001D229F">
      <w:pPr>
        <w:pStyle w:val="Paragrafi"/>
        <w:rPr>
          <w:lang w:val="sq-AL"/>
        </w:rPr>
      </w:pPr>
    </w:p>
    <w:p w:rsidR="001D229F" w:rsidRPr="000C46B4" w:rsidRDefault="001D229F" w:rsidP="001D229F">
      <w:pPr>
        <w:pStyle w:val="Autoriteti"/>
        <w:rPr>
          <w:lang w:val="sq-AL"/>
        </w:rPr>
      </w:pPr>
      <w:r w:rsidRPr="000C46B4">
        <w:rPr>
          <w:lang w:val="sq-AL"/>
        </w:rPr>
        <w:t>MINISTRI I FINANCAVE</w:t>
      </w:r>
    </w:p>
    <w:p w:rsidR="001D229F" w:rsidRPr="000C46B4" w:rsidRDefault="001D229F" w:rsidP="001D229F">
      <w:pPr>
        <w:pStyle w:val="AutoritetiEmer"/>
        <w:rPr>
          <w:lang w:val="sq-AL"/>
        </w:rPr>
      </w:pPr>
      <w:r w:rsidRPr="000C46B4">
        <w:rPr>
          <w:lang w:val="sq-AL"/>
        </w:rPr>
        <w:t>Ridvan Bode</w:t>
      </w:r>
    </w:p>
    <w:sectPr w:rsidR="001D229F" w:rsidRPr="000C46B4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D229F"/>
    <w:rsid w:val="00193114"/>
    <w:rsid w:val="001D229F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3F00F8-3940-4FE8-9F07-8E528AE4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D229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D229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D229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D229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D229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D229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D229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D229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D229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D229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D229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D229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D229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2019-03-18T13:14:00Z</dcterms:created>
  <dcterms:modified xsi:type="dcterms:W3CDTF">2019-03-18T13:14:00Z</dcterms:modified>
</cp:coreProperties>
</file>