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4E4" w:rsidRPr="00A3715A" w:rsidRDefault="006764E4" w:rsidP="006764E4">
      <w:pPr>
        <w:pStyle w:val="Akti"/>
        <w:rPr>
          <w:lang w:val="it-IT"/>
        </w:rPr>
      </w:pPr>
      <w:bookmarkStart w:id="0" w:name="_GoBack"/>
      <w:bookmarkEnd w:id="0"/>
      <w:r w:rsidRPr="00A3715A">
        <w:rPr>
          <w:lang w:val="it-IT"/>
        </w:rPr>
        <w:t>UDHËZIM</w:t>
      </w:r>
    </w:p>
    <w:p w:rsidR="006764E4" w:rsidRPr="00A3715A" w:rsidRDefault="006764E4" w:rsidP="006764E4">
      <w:pPr>
        <w:pStyle w:val="NumriData"/>
        <w:rPr>
          <w:lang w:val="it-IT"/>
        </w:rPr>
      </w:pPr>
      <w:r w:rsidRPr="00A3715A">
        <w:rPr>
          <w:lang w:val="it-IT"/>
        </w:rPr>
        <w:t>Nr.9/1, datë 25.2.2013</w:t>
      </w:r>
    </w:p>
    <w:p w:rsidR="006764E4" w:rsidRPr="00643853" w:rsidRDefault="006764E4" w:rsidP="006764E4">
      <w:pPr>
        <w:pStyle w:val="Paragrafi"/>
        <w:rPr>
          <w:sz w:val="12"/>
          <w:lang w:val="it-IT"/>
        </w:rPr>
      </w:pPr>
    </w:p>
    <w:p w:rsidR="006764E4" w:rsidRPr="00A3715A" w:rsidRDefault="006764E4" w:rsidP="006764E4">
      <w:pPr>
        <w:pStyle w:val="Titulli"/>
        <w:rPr>
          <w:lang w:val="it-IT"/>
        </w:rPr>
      </w:pPr>
      <w:r w:rsidRPr="00A3715A">
        <w:rPr>
          <w:lang w:val="it-IT"/>
        </w:rPr>
        <w:t>PËR PËRGATITJEN E BUXHETIT VENDOR</w:t>
      </w:r>
    </w:p>
    <w:p w:rsidR="006764E4" w:rsidRPr="00643853" w:rsidRDefault="006764E4" w:rsidP="006764E4">
      <w:pPr>
        <w:pStyle w:val="Paragrafi"/>
        <w:rPr>
          <w:sz w:val="14"/>
          <w:lang w:val="it-IT"/>
        </w:rPr>
      </w:pPr>
    </w:p>
    <w:p w:rsidR="006764E4" w:rsidRPr="00A3715A" w:rsidRDefault="006764E4" w:rsidP="006764E4">
      <w:pPr>
        <w:pStyle w:val="Paragrafi"/>
        <w:rPr>
          <w:lang w:val="it-IT"/>
        </w:rPr>
      </w:pPr>
      <w:r w:rsidRPr="00A3715A">
        <w:rPr>
          <w:lang w:val="it-IT"/>
        </w:rPr>
        <w:t>Në përputhje me ligjin nr. 9936, datë 26.6.20</w:t>
      </w:r>
      <w:r>
        <w:rPr>
          <w:lang w:val="it-IT"/>
        </w:rPr>
        <w:t>08, neni 24</w:t>
      </w:r>
      <w:r w:rsidRPr="00A3715A">
        <w:rPr>
          <w:lang w:val="it-IT"/>
        </w:rPr>
        <w:t xml:space="preserve"> “Për menaxhimin e sistemit buxhetor në Republikën e Shqipërisë”, Ministri i Financave</w:t>
      </w:r>
    </w:p>
    <w:p w:rsidR="006764E4" w:rsidRPr="00A3715A" w:rsidRDefault="006764E4" w:rsidP="006764E4">
      <w:pPr>
        <w:pStyle w:val="Paragrafi"/>
        <w:rPr>
          <w:lang w:val="it-IT"/>
        </w:rPr>
      </w:pPr>
    </w:p>
    <w:p w:rsidR="006764E4" w:rsidRPr="00A3715A" w:rsidRDefault="006764E4" w:rsidP="006764E4">
      <w:pPr>
        <w:pStyle w:val="VENDOSI"/>
        <w:rPr>
          <w:lang w:val="it-IT"/>
        </w:rPr>
      </w:pPr>
      <w:r w:rsidRPr="00A3715A">
        <w:rPr>
          <w:lang w:val="it-IT"/>
        </w:rPr>
        <w:t>UDHËZON:</w:t>
      </w:r>
    </w:p>
    <w:p w:rsidR="006764E4" w:rsidRPr="00643853" w:rsidRDefault="006764E4" w:rsidP="006764E4">
      <w:pPr>
        <w:pStyle w:val="Paragrafi"/>
        <w:rPr>
          <w:sz w:val="16"/>
          <w:lang w:val="it-IT"/>
        </w:rPr>
      </w:pPr>
      <w:bookmarkStart w:id="1" w:name="_Toc191800901"/>
      <w:bookmarkStart w:id="2" w:name="_Toc191801045"/>
      <w:bookmarkStart w:id="3" w:name="_Toc191801070"/>
      <w:bookmarkStart w:id="4" w:name="_Toc191801099"/>
    </w:p>
    <w:p w:rsidR="006764E4" w:rsidRPr="00A3715A" w:rsidRDefault="006764E4" w:rsidP="006764E4">
      <w:pPr>
        <w:pStyle w:val="Paragrafi"/>
        <w:rPr>
          <w:lang w:val="it-IT"/>
        </w:rPr>
      </w:pPr>
      <w:r w:rsidRPr="00A3715A">
        <w:rPr>
          <w:lang w:val="it-IT"/>
        </w:rPr>
        <w:t>1. Hyrje</w:t>
      </w:r>
      <w:bookmarkEnd w:id="1"/>
      <w:bookmarkEnd w:id="2"/>
      <w:bookmarkEnd w:id="3"/>
      <w:bookmarkEnd w:id="4"/>
    </w:p>
    <w:p w:rsidR="006764E4" w:rsidRPr="00A3715A" w:rsidRDefault="006764E4" w:rsidP="006764E4">
      <w:pPr>
        <w:pStyle w:val="Paragrafi"/>
        <w:rPr>
          <w:lang w:val="it-IT"/>
        </w:rPr>
      </w:pPr>
      <w:r w:rsidRPr="00A3715A">
        <w:rPr>
          <w:lang w:val="it-IT"/>
        </w:rPr>
        <w:t>Ky udhëzim përmban:</w:t>
      </w:r>
    </w:p>
    <w:p w:rsidR="006764E4" w:rsidRPr="00A3715A" w:rsidRDefault="006764E4" w:rsidP="006764E4">
      <w:pPr>
        <w:pStyle w:val="Paragrafi"/>
        <w:rPr>
          <w:lang w:val="it-IT"/>
        </w:rPr>
      </w:pPr>
      <w:r w:rsidRPr="00A3715A">
        <w:rPr>
          <w:lang w:val="it-IT"/>
        </w:rPr>
        <w:t>- Tavanet përgatitore të shpenzimeve të programit buxhetor afatmesëm 2014-2016;</w:t>
      </w:r>
    </w:p>
    <w:p w:rsidR="006764E4" w:rsidRPr="00A3715A" w:rsidRDefault="006764E4" w:rsidP="006764E4">
      <w:pPr>
        <w:pStyle w:val="Paragrafi"/>
        <w:rPr>
          <w:lang w:val="it-IT"/>
        </w:rPr>
      </w:pPr>
      <w:r w:rsidRPr="00A3715A">
        <w:rPr>
          <w:lang w:val="it-IT"/>
        </w:rPr>
        <w:t xml:space="preserve">- Transfertën e pakushtëzuar për njësitë e qeverisjes vendore; </w:t>
      </w:r>
    </w:p>
    <w:p w:rsidR="006764E4" w:rsidRPr="00A3715A" w:rsidRDefault="006764E4" w:rsidP="006764E4">
      <w:pPr>
        <w:pStyle w:val="Paragrafi"/>
        <w:rPr>
          <w:lang w:val="it-IT"/>
        </w:rPr>
      </w:pPr>
      <w:r w:rsidRPr="00A3715A">
        <w:rPr>
          <w:lang w:val="it-IT"/>
        </w:rPr>
        <w:t>- Procedurat dhe afatet për përgatitjen e buxhetit afatmesëm 2014-2016;</w:t>
      </w:r>
    </w:p>
    <w:p w:rsidR="006764E4" w:rsidRPr="00A3715A" w:rsidRDefault="006764E4" w:rsidP="006764E4">
      <w:pPr>
        <w:pStyle w:val="Paragrafi"/>
        <w:rPr>
          <w:lang w:val="it-IT"/>
        </w:rPr>
      </w:pPr>
      <w:r w:rsidRPr="00A3715A">
        <w:rPr>
          <w:lang w:val="it-IT"/>
        </w:rPr>
        <w:t>- Mënyrën e llogaritjes së transfertave të pakushtëzuara dhe të kushtëzuara</w:t>
      </w:r>
      <w:r>
        <w:rPr>
          <w:lang w:val="it-IT"/>
        </w:rPr>
        <w:t xml:space="preserve"> për njësitë</w:t>
      </w:r>
      <w:r w:rsidRPr="00A3715A">
        <w:rPr>
          <w:lang w:val="it-IT"/>
        </w:rPr>
        <w:t xml:space="preserve"> e qeverisjes vendore.</w:t>
      </w:r>
    </w:p>
    <w:p w:rsidR="006764E4" w:rsidRPr="00A3715A" w:rsidRDefault="006764E4" w:rsidP="006764E4">
      <w:pPr>
        <w:pStyle w:val="Paragrafi"/>
        <w:rPr>
          <w:lang w:val="it-IT"/>
        </w:rPr>
      </w:pPr>
      <w:bookmarkStart w:id="5" w:name="_Toc191800904"/>
      <w:bookmarkStart w:id="6" w:name="_Toc191801048"/>
      <w:bookmarkStart w:id="7" w:name="_Toc191801073"/>
      <w:bookmarkStart w:id="8" w:name="_Toc191801102"/>
      <w:r w:rsidRPr="00A3715A">
        <w:rPr>
          <w:lang w:val="it-IT"/>
        </w:rPr>
        <w:t>2. Tavanet përgatitore të PBA-</w:t>
      </w:r>
      <w:bookmarkEnd w:id="5"/>
      <w:bookmarkEnd w:id="6"/>
      <w:bookmarkEnd w:id="7"/>
      <w:bookmarkEnd w:id="8"/>
      <w:r w:rsidRPr="00A3715A">
        <w:rPr>
          <w:lang w:val="it-IT"/>
        </w:rPr>
        <w:t>së</w:t>
      </w:r>
    </w:p>
    <w:p w:rsidR="006764E4" w:rsidRPr="00A3715A" w:rsidRDefault="006764E4" w:rsidP="006764E4">
      <w:pPr>
        <w:pStyle w:val="Paragrafi"/>
        <w:rPr>
          <w:lang w:val="it-IT"/>
        </w:rPr>
      </w:pPr>
      <w:r w:rsidRPr="00A3715A">
        <w:rPr>
          <w:lang w:val="it-IT"/>
        </w:rPr>
        <w:t xml:space="preserve">- Tavanet përgatitore të PBA-së për çdo program miratohen nga Këshilli i Njësisë së Qeverisjes Vendore brenda muajit  mars 2013. </w:t>
      </w:r>
    </w:p>
    <w:p w:rsidR="006764E4" w:rsidRPr="00A3715A" w:rsidRDefault="006764E4" w:rsidP="006764E4">
      <w:pPr>
        <w:pStyle w:val="Paragrafi"/>
        <w:rPr>
          <w:lang w:val="it-IT"/>
        </w:rPr>
      </w:pPr>
      <w:bookmarkStart w:id="9" w:name="_Toc191800905"/>
      <w:bookmarkStart w:id="10" w:name="_Toc191801049"/>
      <w:bookmarkStart w:id="11" w:name="_Toc191801074"/>
      <w:bookmarkStart w:id="12" w:name="_Toc191801103"/>
      <w:r w:rsidRPr="00A3715A">
        <w:rPr>
          <w:lang w:val="it-IT"/>
        </w:rPr>
        <w:t>- Kuadri ekonomik 2014-2016, përcakton kontekstin ekonomik për Programin Buxhetor Afatmesëm 2014-2016. Ai pasqyron parashikime të treguesve ekonomikë dhe financiarë të buxhetit të njësisë së qeverisjes vendore për tri vitet e ardhshme, duke ofruar vlerësime të burimeve që njësia vendore do të ketë në dispozicion për të financuar shpenzimet e saj.</w:t>
      </w:r>
    </w:p>
    <w:p w:rsidR="006764E4" w:rsidRPr="00A3715A" w:rsidRDefault="006764E4" w:rsidP="006764E4">
      <w:pPr>
        <w:pStyle w:val="Paragrafi"/>
        <w:rPr>
          <w:lang w:val="it-IT"/>
        </w:rPr>
      </w:pPr>
      <w:r w:rsidRPr="00A3715A">
        <w:rPr>
          <w:lang w:val="it-IT"/>
        </w:rPr>
        <w:t>- Këto vlerësime sigurojnë bazën për njësitë e qeverisjes vendore për të përcaktuar tavanet e shpenzimeve të PBA-së.</w:t>
      </w:r>
    </w:p>
    <w:p w:rsidR="006764E4" w:rsidRPr="00A3715A" w:rsidRDefault="006764E4" w:rsidP="006764E4">
      <w:pPr>
        <w:pStyle w:val="Paragrafi"/>
        <w:rPr>
          <w:lang w:val="it-IT"/>
        </w:rPr>
      </w:pPr>
      <w:r w:rsidRPr="00A3715A">
        <w:rPr>
          <w:lang w:val="it-IT"/>
        </w:rPr>
        <w:t>3. Transferta e pakushtëzuar e njësive të qeverisjes vendore</w:t>
      </w:r>
    </w:p>
    <w:p w:rsidR="006764E4" w:rsidRPr="00A3715A" w:rsidRDefault="006764E4" w:rsidP="006764E4">
      <w:pPr>
        <w:pStyle w:val="Paragrafi"/>
        <w:rPr>
          <w:lang w:val="it-IT"/>
        </w:rPr>
      </w:pPr>
      <w:r w:rsidRPr="00A3715A">
        <w:rPr>
          <w:lang w:val="it-IT"/>
        </w:rPr>
        <w:t>- Niveli i transfertës së pakushtëzuar për vitet 2014-2016 (së bashku me të ardhurat nga taksat dhe tarifat vendore), financon funksionet dhe kompetencat që janë transferuar në pushtetin vendor deri në vitin 2013. Për transferimin e funksioneve që mund të bëhen në të ardhmen, niveli i tranfertës së pakushtëzuar do të shtohet në varësi të funksioneve ose kompetencës së transferuar dhe faturës përkatëse të saj.</w:t>
      </w:r>
    </w:p>
    <w:p w:rsidR="006764E4" w:rsidRPr="00A3715A" w:rsidRDefault="006764E4" w:rsidP="006764E4">
      <w:pPr>
        <w:pStyle w:val="Paragrafi"/>
        <w:rPr>
          <w:lang w:val="it-IT"/>
        </w:rPr>
      </w:pPr>
      <w:r w:rsidRPr="00A3715A">
        <w:rPr>
          <w:lang w:val="it-IT"/>
        </w:rPr>
        <w:t xml:space="preserve">- Transferta e pakushtëzuar për vitin 2014, do të jetë afërsisht  3 % më e madhe se transferta e pakushtëzuar nga buxheti i shtetit e vitit 2013, ajo e vitit 2015, 3% më e lartë se ajo e vitit 2014, dhe transferta e vitit 2016 do të jetë 3% më e lartë se ajo e vitit 2015. </w:t>
      </w:r>
    </w:p>
    <w:p w:rsidR="006764E4" w:rsidRPr="00A3715A" w:rsidRDefault="006764E4" w:rsidP="006764E4">
      <w:pPr>
        <w:pStyle w:val="Paragrafi"/>
        <w:rPr>
          <w:lang w:val="de-DE"/>
        </w:rPr>
      </w:pPr>
      <w:r w:rsidRPr="00A3715A">
        <w:rPr>
          <w:lang w:val="de-DE"/>
        </w:rPr>
        <w:t>- Transferta e pakushtëzuar për periudhën  2014-2016:</w:t>
      </w:r>
      <w:r w:rsidRPr="00A3715A" w:rsidDel="006E1F6A">
        <w:rPr>
          <w:lang w:val="de-DE"/>
        </w:rPr>
        <w:t xml:space="preserve"> </w:t>
      </w:r>
    </w:p>
    <w:p w:rsidR="006764E4" w:rsidRPr="0062761D" w:rsidRDefault="006764E4" w:rsidP="006764E4">
      <w:pPr>
        <w:pStyle w:val="Paragrafi"/>
      </w:pPr>
      <w:r w:rsidRPr="00A3715A">
        <w:rPr>
          <w:lang w:val="de-DE"/>
        </w:rPr>
        <w:t xml:space="preserve">                                                                                                              </w:t>
      </w:r>
      <w:r w:rsidRPr="0062761D">
        <w:t>Në mijë lekë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7"/>
        <w:gridCol w:w="2204"/>
        <w:gridCol w:w="1877"/>
        <w:gridCol w:w="2040"/>
      </w:tblGrid>
      <w:tr w:rsidR="006764E4" w:rsidRPr="0062761D" w:rsidTr="00BC115D">
        <w:tc>
          <w:tcPr>
            <w:tcW w:w="2880" w:type="dxa"/>
            <w:shd w:val="clear" w:color="auto" w:fill="C0C0C0"/>
          </w:tcPr>
          <w:p w:rsidR="006764E4" w:rsidRPr="0062761D" w:rsidRDefault="006764E4" w:rsidP="00BC115D">
            <w:pPr>
              <w:pStyle w:val="Tabele"/>
              <w:rPr>
                <w:highlight w:val="yellow"/>
              </w:rPr>
            </w:pPr>
            <w:r w:rsidRPr="0062761D">
              <w:rPr>
                <w:highlight w:val="lightGray"/>
              </w:rPr>
              <w:t>Bashki/komunë/qark</w:t>
            </w:r>
          </w:p>
        </w:tc>
        <w:tc>
          <w:tcPr>
            <w:tcW w:w="2340" w:type="dxa"/>
            <w:shd w:val="clear" w:color="auto" w:fill="C0C0C0"/>
          </w:tcPr>
          <w:p w:rsidR="006764E4" w:rsidRPr="0062761D" w:rsidRDefault="006764E4" w:rsidP="00BC115D">
            <w:pPr>
              <w:pStyle w:val="Tabele"/>
            </w:pPr>
            <w:r w:rsidRPr="0062761D">
              <w:t>2014</w:t>
            </w:r>
          </w:p>
        </w:tc>
        <w:tc>
          <w:tcPr>
            <w:tcW w:w="1980" w:type="dxa"/>
            <w:shd w:val="clear" w:color="auto" w:fill="C0C0C0"/>
          </w:tcPr>
          <w:p w:rsidR="006764E4" w:rsidRPr="0062761D" w:rsidRDefault="006764E4" w:rsidP="00BC115D">
            <w:pPr>
              <w:pStyle w:val="Tabele"/>
              <w:rPr>
                <w:highlight w:val="lightGray"/>
              </w:rPr>
            </w:pPr>
            <w:r w:rsidRPr="0062761D">
              <w:rPr>
                <w:highlight w:val="lightGray"/>
              </w:rPr>
              <w:t>2015</w:t>
            </w:r>
          </w:p>
        </w:tc>
        <w:tc>
          <w:tcPr>
            <w:tcW w:w="2160" w:type="dxa"/>
            <w:shd w:val="clear" w:color="auto" w:fill="C0C0C0"/>
          </w:tcPr>
          <w:p w:rsidR="006764E4" w:rsidRPr="0062761D" w:rsidRDefault="006764E4" w:rsidP="00BC115D">
            <w:pPr>
              <w:pStyle w:val="Tabele"/>
              <w:rPr>
                <w:highlight w:val="lightGray"/>
              </w:rPr>
            </w:pPr>
            <w:r w:rsidRPr="0062761D">
              <w:rPr>
                <w:highlight w:val="lightGray"/>
              </w:rPr>
              <w:t>2016</w:t>
            </w:r>
          </w:p>
        </w:tc>
      </w:tr>
      <w:tr w:rsidR="006764E4" w:rsidRPr="0062761D" w:rsidTr="00BC115D">
        <w:tc>
          <w:tcPr>
            <w:tcW w:w="2880" w:type="dxa"/>
          </w:tcPr>
          <w:p w:rsidR="006764E4" w:rsidRPr="0062761D" w:rsidRDefault="006764E4" w:rsidP="00BC115D">
            <w:pPr>
              <w:pStyle w:val="Tabele"/>
            </w:pPr>
            <w:r w:rsidRPr="0062761D">
              <w:t>Bashki/komun</w:t>
            </w:r>
            <w:r>
              <w:t>ë</w:t>
            </w:r>
          </w:p>
        </w:tc>
        <w:tc>
          <w:tcPr>
            <w:tcW w:w="2340" w:type="dxa"/>
          </w:tcPr>
          <w:p w:rsidR="006764E4" w:rsidRPr="0062761D" w:rsidRDefault="006764E4" w:rsidP="00BC115D">
            <w:pPr>
              <w:pStyle w:val="Tabele"/>
            </w:pPr>
            <w:r w:rsidRPr="0062761D">
              <w:t>10,990</w:t>
            </w:r>
          </w:p>
        </w:tc>
        <w:tc>
          <w:tcPr>
            <w:tcW w:w="1980" w:type="dxa"/>
          </w:tcPr>
          <w:p w:rsidR="006764E4" w:rsidRPr="0062761D" w:rsidRDefault="006764E4" w:rsidP="00BC115D">
            <w:pPr>
              <w:pStyle w:val="Tabele"/>
            </w:pPr>
            <w:r w:rsidRPr="0062761D">
              <w:t>11,388</w:t>
            </w:r>
          </w:p>
        </w:tc>
        <w:tc>
          <w:tcPr>
            <w:tcW w:w="2160" w:type="dxa"/>
          </w:tcPr>
          <w:p w:rsidR="006764E4" w:rsidRPr="0062761D" w:rsidRDefault="006764E4" w:rsidP="00BC115D">
            <w:pPr>
              <w:pStyle w:val="Tabele"/>
            </w:pPr>
            <w:r w:rsidRPr="0062761D">
              <w:t>11,707</w:t>
            </w:r>
          </w:p>
        </w:tc>
      </w:tr>
      <w:tr w:rsidR="006764E4" w:rsidRPr="0062761D" w:rsidTr="00BC115D">
        <w:tc>
          <w:tcPr>
            <w:tcW w:w="2880" w:type="dxa"/>
            <w:tcBorders>
              <w:bottom w:val="single" w:sz="4" w:space="0" w:color="auto"/>
            </w:tcBorders>
          </w:tcPr>
          <w:p w:rsidR="006764E4" w:rsidRPr="0062761D" w:rsidRDefault="006764E4" w:rsidP="00BC115D">
            <w:pPr>
              <w:pStyle w:val="Tabele"/>
            </w:pPr>
            <w:r w:rsidRPr="0062761D">
              <w:t>Qark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6764E4" w:rsidRPr="0062761D" w:rsidRDefault="006764E4" w:rsidP="00BC115D">
            <w:pPr>
              <w:pStyle w:val="Tabele"/>
            </w:pPr>
            <w:r w:rsidRPr="0062761D">
              <w:t>1,088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764E4" w:rsidRPr="0062761D" w:rsidRDefault="006764E4" w:rsidP="00BC115D">
            <w:pPr>
              <w:pStyle w:val="Tabele"/>
            </w:pPr>
            <w:r w:rsidRPr="0062761D">
              <w:t>1,127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6764E4" w:rsidRPr="0062761D" w:rsidRDefault="006764E4" w:rsidP="00BC115D">
            <w:pPr>
              <w:pStyle w:val="Tabele"/>
            </w:pPr>
            <w:r w:rsidRPr="0062761D">
              <w:t>1,158</w:t>
            </w:r>
          </w:p>
        </w:tc>
      </w:tr>
      <w:tr w:rsidR="006764E4" w:rsidRPr="0062761D" w:rsidTr="00BC115D">
        <w:tc>
          <w:tcPr>
            <w:tcW w:w="2880" w:type="dxa"/>
            <w:shd w:val="clear" w:color="auto" w:fill="C0C0C0"/>
          </w:tcPr>
          <w:p w:rsidR="006764E4" w:rsidRPr="0062761D" w:rsidRDefault="006764E4" w:rsidP="00BC115D">
            <w:pPr>
              <w:pStyle w:val="Tabele"/>
              <w:rPr>
                <w:highlight w:val="yellow"/>
              </w:rPr>
            </w:pPr>
            <w:r w:rsidRPr="0062761D">
              <w:rPr>
                <w:highlight w:val="lightGray"/>
              </w:rPr>
              <w:t>Totali</w:t>
            </w:r>
          </w:p>
        </w:tc>
        <w:tc>
          <w:tcPr>
            <w:tcW w:w="2340" w:type="dxa"/>
            <w:shd w:val="clear" w:color="auto" w:fill="C0C0C0"/>
          </w:tcPr>
          <w:p w:rsidR="006764E4" w:rsidRPr="0062761D" w:rsidRDefault="006764E4" w:rsidP="00BC115D">
            <w:pPr>
              <w:pStyle w:val="Tabele"/>
            </w:pPr>
            <w:r w:rsidRPr="0062761D">
              <w:t>12,078</w:t>
            </w:r>
          </w:p>
        </w:tc>
        <w:tc>
          <w:tcPr>
            <w:tcW w:w="1980" w:type="dxa"/>
            <w:shd w:val="clear" w:color="auto" w:fill="C0C0C0"/>
          </w:tcPr>
          <w:p w:rsidR="006764E4" w:rsidRPr="0062761D" w:rsidRDefault="006764E4" w:rsidP="00BC115D">
            <w:pPr>
              <w:pStyle w:val="Tabele"/>
            </w:pPr>
            <w:r w:rsidRPr="0062761D">
              <w:t>12,515</w:t>
            </w:r>
          </w:p>
        </w:tc>
        <w:tc>
          <w:tcPr>
            <w:tcW w:w="2160" w:type="dxa"/>
            <w:shd w:val="clear" w:color="auto" w:fill="C0C0C0"/>
          </w:tcPr>
          <w:p w:rsidR="006764E4" w:rsidRPr="0062761D" w:rsidRDefault="006764E4" w:rsidP="00BC115D">
            <w:pPr>
              <w:pStyle w:val="Tabele"/>
            </w:pPr>
            <w:r w:rsidRPr="0062761D">
              <w:t>12,865</w:t>
            </w:r>
          </w:p>
        </w:tc>
      </w:tr>
    </w:tbl>
    <w:p w:rsidR="006764E4" w:rsidRPr="00A427BB" w:rsidRDefault="006764E4" w:rsidP="006764E4">
      <w:pPr>
        <w:pStyle w:val="Paragrafi"/>
        <w:rPr>
          <w:lang w:val="it-IT"/>
        </w:rPr>
      </w:pPr>
      <w:r w:rsidRPr="00A427BB">
        <w:rPr>
          <w:lang w:val="it-IT"/>
        </w:rPr>
        <w:t>4.  Procedurat dhe afatet për përgatitjen e PBA-</w:t>
      </w:r>
      <w:bookmarkEnd w:id="9"/>
      <w:bookmarkEnd w:id="10"/>
      <w:bookmarkEnd w:id="11"/>
      <w:bookmarkEnd w:id="12"/>
      <w:r w:rsidRPr="00A427BB">
        <w:rPr>
          <w:lang w:val="it-IT"/>
        </w:rPr>
        <w:t xml:space="preserve">së </w:t>
      </w:r>
    </w:p>
    <w:p w:rsidR="006764E4" w:rsidRPr="0062761D" w:rsidRDefault="006764E4" w:rsidP="006764E4">
      <w:pPr>
        <w:pStyle w:val="Paragrafi"/>
      </w:pPr>
      <w:r>
        <w:t xml:space="preserve">- </w:t>
      </w:r>
      <w:r w:rsidRPr="0062761D">
        <w:t>Kalendari i përgatitjes së PBA-së miratohet nga Kryetari i Grupit për Menaxhim Strategjik (GMS) së Njësisë së Qeverisjes Vendore.</w:t>
      </w:r>
    </w:p>
    <w:p w:rsidR="006764E4" w:rsidRPr="0062761D" w:rsidRDefault="006764E4" w:rsidP="006764E4">
      <w:pPr>
        <w:pStyle w:val="Paragrafi"/>
      </w:pPr>
      <w:r>
        <w:t xml:space="preserve">- </w:t>
      </w:r>
      <w:r w:rsidRPr="0062761D">
        <w:t>DEMP-t, paraqesin kërkesat buxhetore dhe kër</w:t>
      </w:r>
      <w:r>
        <w:t>kesat shtesë sipas programit te</w:t>
      </w:r>
      <w:r w:rsidRPr="0062761D">
        <w:t xml:space="preserve"> nëpunësi autorizues i NjQV-së, brenda datës 15 maj 2013.</w:t>
      </w:r>
    </w:p>
    <w:p w:rsidR="006764E4" w:rsidRPr="0062761D" w:rsidRDefault="006764E4" w:rsidP="006764E4">
      <w:pPr>
        <w:pStyle w:val="Paragrafi"/>
      </w:pPr>
      <w:r>
        <w:t xml:space="preserve">- </w:t>
      </w:r>
      <w:r w:rsidRPr="0062761D">
        <w:t>Kërkesat buxhetore të dorëzuara te nëpunësi autorizues i njësisë së qeverisjes vendore vlerësohen dhe miratohen nga GMS-ja e NjQV-së.</w:t>
      </w:r>
    </w:p>
    <w:p w:rsidR="006764E4" w:rsidRPr="0062761D" w:rsidRDefault="006764E4" w:rsidP="006764E4">
      <w:pPr>
        <w:pStyle w:val="Paragrafi"/>
      </w:pPr>
      <w:r>
        <w:t xml:space="preserve">- </w:t>
      </w:r>
      <w:r w:rsidRPr="0062761D">
        <w:t>Nëpunësi autorizues i njësisë së qeverisjes vendore paraqet pranë këshillit të njësisë së qeverisjes vendore dokumentin e PBA-së 2014-2016, të miratuar nga GMS-ja, brenda datës 15 qershor 2013.</w:t>
      </w:r>
    </w:p>
    <w:p w:rsidR="006764E4" w:rsidRPr="0062761D" w:rsidRDefault="006764E4" w:rsidP="006764E4">
      <w:pPr>
        <w:pStyle w:val="Paragrafi"/>
      </w:pPr>
      <w:r>
        <w:t xml:space="preserve">- </w:t>
      </w:r>
      <w:r w:rsidRPr="0062761D">
        <w:t>Afati i dorëzimit të kërkesave buxhetore bashkë me kërkesat shtesë nga drejtuesi i ekipit të menaxhimit të çdo  programi t</w:t>
      </w:r>
      <w:r>
        <w:t>e</w:t>
      </w:r>
      <w:r w:rsidRPr="0062761D">
        <w:t xml:space="preserve"> nëpunësi autorizues i njësisë së qeverisjes vendore është 15 maj 2013.</w:t>
      </w:r>
    </w:p>
    <w:p w:rsidR="006764E4" w:rsidRPr="0062761D" w:rsidRDefault="006764E4" w:rsidP="006764E4">
      <w:pPr>
        <w:pStyle w:val="Paragrafi"/>
      </w:pPr>
      <w:r>
        <w:t xml:space="preserve">- </w:t>
      </w:r>
      <w:r w:rsidRPr="0062761D">
        <w:t>Kurset e këmbimit për vitet 2008-2013, dhe parashikimi për vitet</w:t>
      </w:r>
      <w:r>
        <w:t xml:space="preserve"> 2014-2016, jepen si më poshtë: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16"/>
        <w:gridCol w:w="285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6764E4" w:rsidRPr="007A44A9" w:rsidTr="00BC115D">
        <w:trPr>
          <w:trHeight w:val="457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pct12" w:color="auto" w:fill="FFFF99"/>
            <w:noWrap/>
            <w:vAlign w:val="center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Nr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12" w:color="auto" w:fill="FFFF99"/>
            <w:noWrap/>
            <w:vAlign w:val="center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Monedhat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99"/>
            <w:vAlign w:val="center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99"/>
            <w:noWrap/>
            <w:vAlign w:val="center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2009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FFFF99"/>
            <w:noWrap/>
            <w:vAlign w:val="center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2010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FFFF99"/>
            <w:noWrap/>
            <w:vAlign w:val="center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2011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FFFF99"/>
            <w:noWrap/>
            <w:vAlign w:val="center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2012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FFFF99"/>
            <w:noWrap/>
            <w:vAlign w:val="center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2013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FFFF99"/>
            <w:noWrap/>
            <w:vAlign w:val="center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2014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FFFF99"/>
            <w:noWrap/>
            <w:vAlign w:val="center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2015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pct12" w:color="auto" w:fill="FFFF99"/>
            <w:noWrap/>
            <w:vAlign w:val="center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2016</w:t>
            </w:r>
          </w:p>
        </w:tc>
      </w:tr>
      <w:tr w:rsidR="006764E4" w:rsidRPr="007A44A9" w:rsidTr="00BC115D">
        <w:trPr>
          <w:trHeight w:val="2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A3715A" w:rsidRDefault="006764E4" w:rsidP="00BC115D">
            <w:pPr>
              <w:pStyle w:val="Tabele"/>
              <w:rPr>
                <w:sz w:val="18"/>
                <w:szCs w:val="18"/>
                <w:lang w:val="de-DE"/>
              </w:rPr>
            </w:pPr>
            <w:r w:rsidRPr="00A3715A">
              <w:rPr>
                <w:sz w:val="18"/>
                <w:szCs w:val="18"/>
                <w:lang w:val="de-DE"/>
              </w:rPr>
              <w:t>Kurs i kembimit mesatar lek/USD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83.9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103.9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100.9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109.5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109.5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109.7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109.0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108.0</w:t>
            </w:r>
          </w:p>
        </w:tc>
      </w:tr>
      <w:tr w:rsidR="006764E4" w:rsidRPr="007A44A9" w:rsidTr="00BC115D">
        <w:trPr>
          <w:trHeight w:val="17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Kurs i kembimit mesatar lek/EURO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122.8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131.6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137.7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140.5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139.0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139.9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139.5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140.0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4E4" w:rsidRPr="007A44A9" w:rsidRDefault="006764E4" w:rsidP="00BC115D">
            <w:pPr>
              <w:pStyle w:val="Tabele"/>
              <w:rPr>
                <w:sz w:val="18"/>
                <w:szCs w:val="18"/>
              </w:rPr>
            </w:pPr>
            <w:r w:rsidRPr="007A44A9">
              <w:rPr>
                <w:sz w:val="18"/>
                <w:szCs w:val="18"/>
              </w:rPr>
              <w:t>140.4</w:t>
            </w:r>
          </w:p>
        </w:tc>
      </w:tr>
    </w:tbl>
    <w:p w:rsidR="006764E4" w:rsidRPr="0062761D" w:rsidRDefault="006764E4" w:rsidP="006764E4">
      <w:pPr>
        <w:pStyle w:val="Paragrafi"/>
      </w:pPr>
      <w:r>
        <w:t xml:space="preserve">- </w:t>
      </w:r>
      <w:r w:rsidRPr="0062761D">
        <w:t>Dokumenti i Programit Buxhetor Afatmesëm 2014-2016, dërgohet në këshillin e njësisë së qeverisjes vendore në muajin qershor.</w:t>
      </w:r>
    </w:p>
    <w:p w:rsidR="006764E4" w:rsidRPr="0062761D" w:rsidRDefault="006764E4" w:rsidP="006764E4">
      <w:pPr>
        <w:pStyle w:val="Paragrafi"/>
      </w:pPr>
      <w:r>
        <w:t xml:space="preserve">- </w:t>
      </w:r>
      <w:r w:rsidRPr="0062761D">
        <w:t xml:space="preserve">Brenda datës 1 </w:t>
      </w:r>
      <w:r>
        <w:t>q</w:t>
      </w:r>
      <w:r w:rsidRPr="0062761D">
        <w:t>ershor çdo njësi e qeverisjes vendore duhet të dërgojë në Ministrinë e Financave, me shkrim dhe në rrugë elektronike, formularin nr.1 “Parashikimi i të ardhurave për periudhën 2014-2016”, dhe formularin nr.2 “Parashikimi i shpërndarjes së burimeve financiare për periudhën 2014-2016”, të shoqëruar me një relacion për mënyrën e llogarritjes së PBA-së.</w:t>
      </w:r>
    </w:p>
    <w:p w:rsidR="006764E4" w:rsidRPr="0062761D" w:rsidRDefault="006764E4" w:rsidP="006764E4">
      <w:pPr>
        <w:pStyle w:val="Paragrafi"/>
      </w:pPr>
      <w:r w:rsidRPr="0062761D">
        <w:t>5. Mënyrat e llogaritjes së transfertave, të pakushtëzuar</w:t>
      </w:r>
      <w:r>
        <w:t>a</w:t>
      </w:r>
      <w:r w:rsidRPr="0062761D">
        <w:t xml:space="preserve"> dhe të kushtëzuar</w:t>
      </w:r>
      <w:r>
        <w:t>a</w:t>
      </w:r>
      <w:r w:rsidRPr="0062761D">
        <w:t xml:space="preserve"> për njësitë e qeverisjes  vendore</w:t>
      </w:r>
    </w:p>
    <w:p w:rsidR="006764E4" w:rsidRDefault="006764E4" w:rsidP="006764E4">
      <w:pPr>
        <w:pStyle w:val="Paragrafi"/>
      </w:pPr>
    </w:p>
    <w:p w:rsidR="006764E4" w:rsidRPr="0062761D" w:rsidRDefault="006764E4" w:rsidP="006764E4">
      <w:pPr>
        <w:pStyle w:val="Paragrafi"/>
      </w:pPr>
      <w:r w:rsidRPr="0062761D">
        <w:t xml:space="preserve">5.1 Transferta e pakushtëzuar </w:t>
      </w:r>
    </w:p>
    <w:p w:rsidR="006764E4" w:rsidRPr="0062761D" w:rsidRDefault="006764E4" w:rsidP="006764E4">
      <w:pPr>
        <w:pStyle w:val="Paragrafi"/>
      </w:pPr>
      <w:r>
        <w:t>- Kriteret dhe koeficient</w:t>
      </w:r>
      <w:r w:rsidRPr="0062761D">
        <w:t>ë</w:t>
      </w:r>
      <w:r>
        <w:t>t</w:t>
      </w:r>
      <w:r w:rsidRPr="0062761D">
        <w:t xml:space="preserve"> e formulës së shpërndarjes së transfertës së pakushtëzuar për vitet 2014-2016 do të jenë po ata të vitit 2013. Në përllogarritjen e formulës së transfertës së pakushtëzuar për vitin 2013, është ma</w:t>
      </w:r>
      <w:r>
        <w:t>rrë si kriter numri i popullsis</w:t>
      </w:r>
      <w:r w:rsidRPr="0062761D">
        <w:t>ë sipas Census</w:t>
      </w:r>
      <w:r>
        <w:t>-</w:t>
      </w:r>
      <w:r w:rsidRPr="0062761D">
        <w:t>it.</w:t>
      </w:r>
    </w:p>
    <w:p w:rsidR="006764E4" w:rsidRPr="0062761D" w:rsidRDefault="006764E4" w:rsidP="006764E4">
      <w:pPr>
        <w:pStyle w:val="Paragrafi"/>
      </w:pPr>
      <w:r>
        <w:t xml:space="preserve">- </w:t>
      </w:r>
      <w:r w:rsidRPr="0062761D">
        <w:t>Në bazë të shifrave të mësipërme të këtij udhëzimi, çdo njësi e qeverisjes vendore mund të bëjë në mënyrë individuale llogaritjen e nivelit të transfertës së pakushtëzuar.</w:t>
      </w:r>
    </w:p>
    <w:p w:rsidR="006764E4" w:rsidRPr="0062761D" w:rsidRDefault="006764E4" w:rsidP="006764E4">
      <w:pPr>
        <w:pStyle w:val="Paragrafi"/>
      </w:pPr>
      <w:r w:rsidRPr="0062761D">
        <w:t>Shembuj mbi llogarritjen e transfertës së pakushtëzuar</w:t>
      </w:r>
    </w:p>
    <w:tbl>
      <w:tblPr>
        <w:tblW w:w="93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487"/>
        <w:gridCol w:w="6820"/>
      </w:tblGrid>
      <w:tr w:rsidR="006764E4" w:rsidRPr="002C5787" w:rsidTr="00BC115D">
        <w:trPr>
          <w:trHeight w:val="562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Koeficientët dhe metodika e përdorur më poshtë janë ato të vitit 20XX, e cila do jetë e vlefshme edhe për llogaritjet e periudhës 20XX-20XX.</w:t>
            </w:r>
          </w:p>
        </w:tc>
      </w:tr>
      <w:tr w:rsidR="006764E4" w:rsidRPr="002C5787" w:rsidTr="00BC115D">
        <w:trPr>
          <w:trHeight w:val="259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Grandi i përgjithshëm</w:t>
            </w:r>
          </w:p>
        </w:tc>
      </w:tr>
      <w:tr w:rsidR="006764E4" w:rsidRPr="002C5787" w:rsidTr="00BC115D">
        <w:trPr>
          <w:trHeight w:val="231"/>
          <w:jc w:val="center"/>
        </w:trPr>
        <w:tc>
          <w:tcPr>
            <w:tcW w:w="2487" w:type="dxa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Kriteri i popullsisë</w:t>
            </w:r>
          </w:p>
        </w:tc>
        <w:tc>
          <w:tcPr>
            <w:tcW w:w="6820" w:type="dxa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70% =     8,855 milion lekë</w:t>
            </w:r>
          </w:p>
        </w:tc>
      </w:tr>
      <w:tr w:rsidR="006764E4" w:rsidRPr="002C5787" w:rsidTr="00BC115D">
        <w:trPr>
          <w:trHeight w:val="317"/>
          <w:jc w:val="center"/>
        </w:trPr>
        <w:tc>
          <w:tcPr>
            <w:tcW w:w="2487" w:type="dxa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Kriteri i sipërfaqes së komunës</w:t>
            </w:r>
          </w:p>
        </w:tc>
        <w:tc>
          <w:tcPr>
            <w:tcW w:w="6820" w:type="dxa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15% =    1,897 milion lekë</w:t>
            </w:r>
          </w:p>
        </w:tc>
      </w:tr>
      <w:tr w:rsidR="006764E4" w:rsidRPr="002C5787" w:rsidTr="00BC115D">
        <w:trPr>
          <w:trHeight w:val="245"/>
          <w:jc w:val="center"/>
        </w:trPr>
        <w:tc>
          <w:tcPr>
            <w:tcW w:w="2487" w:type="dxa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Kriteri i shërbimeve urbane të bashkisë</w:t>
            </w:r>
          </w:p>
        </w:tc>
        <w:tc>
          <w:tcPr>
            <w:tcW w:w="6820" w:type="dxa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15% =     1,898 milion lekë</w:t>
            </w:r>
          </w:p>
        </w:tc>
      </w:tr>
      <w:tr w:rsidR="006764E4" w:rsidRPr="002C5787" w:rsidTr="00BC115D">
        <w:trPr>
          <w:trHeight w:val="245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Llogaritja e transfertës së pakushtëzuar për bashkinë X</w:t>
            </w:r>
          </w:p>
        </w:tc>
      </w:tr>
      <w:tr w:rsidR="006764E4" w:rsidRPr="002C5787" w:rsidTr="00BC115D">
        <w:trPr>
          <w:trHeight w:val="303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PersonName">
              <w:r w:rsidRPr="002C5787">
                <w:rPr>
                  <w:sz w:val="18"/>
                  <w:szCs w:val="18"/>
                </w:rPr>
                <w:t>Info</w:t>
              </w:r>
            </w:smartTag>
            <w:r w:rsidRPr="002C5787">
              <w:rPr>
                <w:sz w:val="18"/>
                <w:szCs w:val="18"/>
              </w:rPr>
              <w:t>rmacion i përgjithshëm:</w:t>
            </w:r>
          </w:p>
        </w:tc>
      </w:tr>
      <w:tr w:rsidR="006764E4" w:rsidRPr="002C5787" w:rsidTr="00BC115D">
        <w:trPr>
          <w:trHeight w:val="259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- Popullsia 56 297 banorë,</w:t>
            </w:r>
          </w:p>
        </w:tc>
      </w:tr>
      <w:tr w:rsidR="006764E4" w:rsidRPr="002C5787" w:rsidTr="00BC115D">
        <w:trPr>
          <w:trHeight w:val="505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- Të ardhura nga taksat e veta (taksa e biznesit të vogël + taksa e mjeteve të përdorura) në Bashkinë X janë 1,200 lekë/frymë,</w:t>
            </w:r>
          </w:p>
        </w:tc>
      </w:tr>
      <w:tr w:rsidR="006764E4" w:rsidRPr="002C5787" w:rsidTr="00BC115D">
        <w:trPr>
          <w:trHeight w:val="519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- Të ardhura nga taksat e veta (taksa e biznesit të vogël + taksa e mjeteve të përdorura) në shkallë kombëtare janë 701 lekë/frymë,</w:t>
            </w:r>
          </w:p>
        </w:tc>
      </w:tr>
      <w:tr w:rsidR="006764E4" w:rsidRPr="002C5787" w:rsidTr="00BC115D">
        <w:trPr>
          <w:trHeight w:val="245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- Popullsia në shkallë kombëtare 4,268,984 banorë,</w:t>
            </w:r>
          </w:p>
        </w:tc>
      </w:tr>
      <w:tr w:rsidR="006764E4" w:rsidRPr="002C5787" w:rsidTr="00BC115D">
        <w:trPr>
          <w:trHeight w:val="303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- Popullsia urbane gjithsej 2,350,090 banorë</w:t>
            </w:r>
          </w:p>
        </w:tc>
      </w:tr>
      <w:tr w:rsidR="006764E4" w:rsidRPr="002C5787" w:rsidTr="00BC115D">
        <w:trPr>
          <w:trHeight w:val="234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Llogaritja e grantit të përgjithshëm</w:t>
            </w:r>
          </w:p>
        </w:tc>
      </w:tr>
      <w:tr w:rsidR="006764E4" w:rsidRPr="002C5787" w:rsidTr="00BC115D">
        <w:trPr>
          <w:trHeight w:val="505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1. Popullsia (56,297 banorë/4,268,984 banorë në shkalle kombëtare) = 0.0131  koeficienti i popullsisë. Nga kriteri i popullsisë bashkia X përfiton (0.0131 x 8,855 milionë lekë) = 116,774 mijë lekë,</w:t>
            </w:r>
          </w:p>
        </w:tc>
      </w:tr>
      <w:tr w:rsidR="006764E4" w:rsidRPr="002C5787" w:rsidTr="00BC115D">
        <w:trPr>
          <w:trHeight w:val="1024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2. Pjesa që i takon nga koeficienti i shërbimit urban (56,297 banorë/(2,350,984 popullsi që jeton në zonat urbane në shkallë kombëtare) = 0.0239 koeficienti i shërbimeve urbane. Nga kriteri i shërbimeve urbane kjo bashki përfiton (0.0239 x 1,898 milionë lekë) = 45,449 mijë lekë. Bashkia X, nga aplikimi i kritereve të mësipërme përfiton grand të përgjithshëm (116,774 + 45,449) = 162,223 mijë lekë.</w:t>
            </w:r>
          </w:p>
        </w:tc>
      </w:tr>
      <w:tr w:rsidR="006764E4" w:rsidRPr="002C5787" w:rsidTr="00BC115D">
        <w:trPr>
          <w:trHeight w:val="245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Ekuilizimi fiskal</w:t>
            </w:r>
          </w:p>
        </w:tc>
      </w:tr>
      <w:tr w:rsidR="006764E4" w:rsidRPr="002C5787" w:rsidTr="00BC115D">
        <w:trPr>
          <w:trHeight w:val="360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3. Kapaciteti fiskal nga taksa e biznesit të vogël dhe taksa e automjeteve është 1,200 lekë/frymë. Mesatarja në shkallë kombëtare është 701 lekë/frymë. Diferenca në krahasim me atë në shkallë kombëtare (1,200-701)= +499 lekë/frymë. Çdo bashki dhe komunë me një të ardhur për frymë më të madhe se mesatarja nacionale, do të kontribuojë 25% të diferencës për ekualizim fiskal, në raport me popullsinë e saj; kjo shumë zbritet nga llogaritja fillestare e grantit. Çdo bashki dhe komunë që është më poshtë se sa mesatarja nacionale, do të kompensohet për 25% të kësaj diference në raport me popullsinë e saj; kjo shumë i shtohet llogaritjes fillestare të grantit. Në rastin konkret, Bashkia X do të kontribuojë për arsye të kapacitetit fiskal më të lartë se ajo në shkallë kombëtare me (((499x56297 banorë)/1000)x(25/100))) = 28,092 mijë lekë, që do thotë se grandi bëhet (162,223-28,092) = 134,131 mijë lekë.</w:t>
            </w:r>
          </w:p>
        </w:tc>
      </w:tr>
      <w:tr w:rsidR="006764E4" w:rsidRPr="002C5787" w:rsidTr="00BC115D">
        <w:trPr>
          <w:trHeight w:val="259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Rregullimet tranzitore</w:t>
            </w:r>
          </w:p>
        </w:tc>
      </w:tr>
      <w:tr w:rsidR="006764E4" w:rsidRPr="002C5787" w:rsidTr="00BC115D">
        <w:trPr>
          <w:trHeight w:val="519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4. Grandi i përgjithshëm pas kapacitetit fiskal duke i shtuar taksën e biznesit të vogël dhe taksën e automjeteve është 67,556 mijë lekë.</w:t>
            </w:r>
          </w:p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</w:p>
        </w:tc>
      </w:tr>
      <w:tr w:rsidR="006764E4" w:rsidRPr="002C5787" w:rsidTr="00BC115D">
        <w:trPr>
          <w:trHeight w:val="303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5. Grandi për vitin 20XX, pas kryerjes së kompensimeve dhe shtesave gjatë vitit është     130,250  mijë lekë.</w:t>
            </w:r>
          </w:p>
        </w:tc>
      </w:tr>
      <w:tr w:rsidR="006764E4" w:rsidRPr="002C5787" w:rsidTr="00BC115D">
        <w:trPr>
          <w:trHeight w:val="259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6. Diferenca nga krahasimi me vitin 20XX, është  (134,131 – 130,250) = +3,881 mijë lekë.</w:t>
            </w:r>
          </w:p>
        </w:tc>
      </w:tr>
      <w:tr w:rsidR="006764E4" w:rsidRPr="002C5787" w:rsidTr="00BC115D">
        <w:trPr>
          <w:trHeight w:val="476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7. Kufiri i sipërm i rritjes është + 7%, në rastin konkret bashkia ka +3% dhe për rrjedhojë nuk i bën zbritje sepse është brenda mesatares në shkallë kombëtare.</w:t>
            </w:r>
          </w:p>
        </w:tc>
      </w:tr>
      <w:tr w:rsidR="006764E4" w:rsidRPr="002C5787" w:rsidTr="00BC115D">
        <w:trPr>
          <w:trHeight w:val="303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8. Grandi i përgjithshëm i Bashkisë X është 134,131 mijë lekë.</w:t>
            </w:r>
          </w:p>
        </w:tc>
      </w:tr>
      <w:tr w:rsidR="006764E4" w:rsidRPr="002C5787" w:rsidTr="00BC115D">
        <w:trPr>
          <w:trHeight w:val="259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 xml:space="preserve">     Transferta e pakushtëzuar për këshillat e qarqeve</w:t>
            </w:r>
          </w:p>
        </w:tc>
      </w:tr>
      <w:tr w:rsidR="006764E4" w:rsidRPr="002C5787" w:rsidTr="00BC115D">
        <w:trPr>
          <w:trHeight w:val="303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Transferta e pakushtëzuar për Qarqet është ndarë në dy pjesë:</w:t>
            </w:r>
          </w:p>
        </w:tc>
      </w:tr>
      <w:tr w:rsidR="006764E4" w:rsidRPr="002C5787" w:rsidTr="00BC115D">
        <w:trPr>
          <w:trHeight w:val="288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· Grandi i përgjithshëm (1,175x99)     99% = 1,163 milionë lekë</w:t>
            </w:r>
          </w:p>
        </w:tc>
      </w:tr>
      <w:tr w:rsidR="006764E4" w:rsidRPr="002C5787" w:rsidTr="00BC115D">
        <w:trPr>
          <w:trHeight w:val="288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· Fondi i kompensimit për qarqet (1,175x1)       1% =     12 milionë lekë</w:t>
            </w:r>
          </w:p>
        </w:tc>
      </w:tr>
      <w:tr w:rsidR="006764E4" w:rsidRPr="002C5787" w:rsidTr="00BC115D">
        <w:trPr>
          <w:trHeight w:val="288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  <w:lang w:val="it-IT"/>
              </w:rPr>
              <w:t xml:space="preserve">       </w:t>
            </w:r>
            <w:r w:rsidRPr="002C5787">
              <w:rPr>
                <w:sz w:val="18"/>
                <w:szCs w:val="18"/>
              </w:rPr>
              <w:t>Grandi i përgjithshëm</w:t>
            </w:r>
          </w:p>
        </w:tc>
      </w:tr>
      <w:tr w:rsidR="006764E4" w:rsidRPr="002C5787" w:rsidTr="00BC115D">
        <w:trPr>
          <w:trHeight w:val="274"/>
          <w:jc w:val="center"/>
        </w:trPr>
        <w:tc>
          <w:tcPr>
            <w:tcW w:w="2487" w:type="dxa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Shuma fikse</w:t>
            </w:r>
          </w:p>
        </w:tc>
        <w:tc>
          <w:tcPr>
            <w:tcW w:w="6820" w:type="dxa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10%  =    11,630 mijë lekë (për çdo qark)</w:t>
            </w:r>
          </w:p>
        </w:tc>
      </w:tr>
      <w:tr w:rsidR="006764E4" w:rsidRPr="002C5787" w:rsidTr="00BC115D">
        <w:trPr>
          <w:trHeight w:val="274"/>
          <w:jc w:val="center"/>
        </w:trPr>
        <w:tc>
          <w:tcPr>
            <w:tcW w:w="2487" w:type="dxa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Popullsia</w:t>
            </w:r>
          </w:p>
        </w:tc>
        <w:tc>
          <w:tcPr>
            <w:tcW w:w="6820" w:type="dxa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28%  =    32,563 mijë lekë</w:t>
            </w:r>
          </w:p>
        </w:tc>
      </w:tr>
      <w:tr w:rsidR="006764E4" w:rsidRPr="002C5787" w:rsidTr="00BC115D">
        <w:trPr>
          <w:trHeight w:val="303"/>
          <w:jc w:val="center"/>
        </w:trPr>
        <w:tc>
          <w:tcPr>
            <w:tcW w:w="2487" w:type="dxa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Treguesi gjeografik</w:t>
            </w:r>
          </w:p>
        </w:tc>
        <w:tc>
          <w:tcPr>
            <w:tcW w:w="6820" w:type="dxa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30%  =    34,890 mijë lekë</w:t>
            </w:r>
          </w:p>
        </w:tc>
      </w:tr>
      <w:tr w:rsidR="006764E4" w:rsidRPr="002C5787" w:rsidTr="00BC115D">
        <w:trPr>
          <w:trHeight w:val="259"/>
          <w:jc w:val="center"/>
        </w:trPr>
        <w:tc>
          <w:tcPr>
            <w:tcW w:w="2487" w:type="dxa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 xml:space="preserve">Koeficienti i rrugës                                          </w:t>
            </w:r>
          </w:p>
        </w:tc>
        <w:tc>
          <w:tcPr>
            <w:tcW w:w="6820" w:type="dxa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32%  =    34,890 mijë lekë</w:t>
            </w:r>
          </w:p>
        </w:tc>
      </w:tr>
      <w:tr w:rsidR="006764E4" w:rsidRPr="002C5787" w:rsidTr="00BC115D">
        <w:trPr>
          <w:trHeight w:val="274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· Llogaritja e transfertës së pakushtëzuar për qarkun X</w:t>
            </w:r>
          </w:p>
        </w:tc>
      </w:tr>
      <w:tr w:rsidR="006764E4" w:rsidRPr="002C5787" w:rsidTr="00BC115D">
        <w:trPr>
          <w:trHeight w:val="259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PersonName">
              <w:r w:rsidRPr="002C5787">
                <w:rPr>
                  <w:sz w:val="18"/>
                  <w:szCs w:val="18"/>
                </w:rPr>
                <w:t>Info</w:t>
              </w:r>
            </w:smartTag>
            <w:r w:rsidRPr="002C5787">
              <w:rPr>
                <w:sz w:val="18"/>
                <w:szCs w:val="18"/>
              </w:rPr>
              <w:t>rmacion i përgjithshëm:</w:t>
            </w:r>
          </w:p>
        </w:tc>
      </w:tr>
      <w:tr w:rsidR="006764E4" w:rsidRPr="002C5787" w:rsidTr="00BC115D">
        <w:trPr>
          <w:trHeight w:val="274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· Popullsia 112,050 banorë,</w:t>
            </w:r>
          </w:p>
        </w:tc>
      </w:tr>
      <w:tr w:rsidR="006764E4" w:rsidRPr="002C5787" w:rsidTr="00BC115D">
        <w:trPr>
          <w:trHeight w:val="245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· Popullsia në shkallë kombëtare 4,268,984 banorë,</w:t>
            </w:r>
          </w:p>
        </w:tc>
      </w:tr>
      <w:tr w:rsidR="006764E4" w:rsidRPr="002C5787" w:rsidTr="00BC115D">
        <w:trPr>
          <w:trHeight w:val="259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· Treguesi gjeografik  “M”(malore),</w:t>
            </w:r>
          </w:p>
        </w:tc>
      </w:tr>
      <w:tr w:rsidR="006764E4" w:rsidRPr="002C5787" w:rsidTr="00BC115D">
        <w:trPr>
          <w:trHeight w:val="288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· Pesha gjeografike “5”,</w:t>
            </w:r>
          </w:p>
        </w:tc>
      </w:tr>
      <w:tr w:rsidR="006764E4" w:rsidRPr="002C5787" w:rsidTr="00BC115D">
        <w:trPr>
          <w:trHeight w:val="274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· Pesha gjeografike gjithsej në shkallë kombëtare “32”,</w:t>
            </w:r>
          </w:p>
        </w:tc>
      </w:tr>
      <w:tr w:rsidR="006764E4" w:rsidRPr="002C5787" w:rsidTr="00BC115D">
        <w:trPr>
          <w:trHeight w:val="303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· Gjatësia e rrugëve rurale rajonale që menaxhohen nga 12 qarqet 4289 km,</w:t>
            </w:r>
          </w:p>
        </w:tc>
      </w:tr>
      <w:tr w:rsidR="006764E4" w:rsidRPr="002C5787" w:rsidTr="00BC115D">
        <w:trPr>
          <w:trHeight w:val="303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</w:rPr>
            </w:pPr>
            <w:r w:rsidRPr="002C5787">
              <w:rPr>
                <w:sz w:val="18"/>
                <w:szCs w:val="18"/>
              </w:rPr>
              <w:t>· Gjatësia e rrugëve rurale rajonale që menaxhohen nga Qarku X 346 km.</w:t>
            </w:r>
          </w:p>
        </w:tc>
      </w:tr>
      <w:tr w:rsidR="006764E4" w:rsidRPr="002C5787" w:rsidTr="00BC115D">
        <w:trPr>
          <w:trHeight w:val="303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Llogaritja e grandit të përgjithshëm</w:t>
            </w:r>
          </w:p>
        </w:tc>
      </w:tr>
      <w:tr w:rsidR="006764E4" w:rsidRPr="002C5787" w:rsidTr="00BC115D">
        <w:trPr>
          <w:trHeight w:val="245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1. Shuma fikse që i takon këtij qarku (11,630 mijë lekë/12 qarqe) = 1,358 mijë lekë.</w:t>
            </w:r>
          </w:p>
        </w:tc>
      </w:tr>
      <w:tr w:rsidR="006764E4" w:rsidRPr="002C5787" w:rsidTr="00BC115D">
        <w:trPr>
          <w:trHeight w:val="562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2. Pjesa që i takon nga popullsia (112050 banorë/4,268,984 banor në shkallë kombëtare) = 0.02624  koeficienti i popullsisë. Nga kriteri i popullsisë, qarku X përfiton (0.02624  x 32,563 mijë) = 8,546 mijë lekë.</w:t>
            </w:r>
          </w:p>
        </w:tc>
      </w:tr>
      <w:tr w:rsidR="006764E4" w:rsidRPr="002C5787" w:rsidTr="00BC115D">
        <w:trPr>
          <w:trHeight w:val="562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3. Pjesa që i takon nga treguesi gjeografik  (5/32) = 0.1563 koeficienti gjeografik. Nga kriteri i treguesit gjeografik, qarku X përfiton (0.1563x34,890 mijë lekë) = 1,964 mijë lekë.</w:t>
            </w:r>
          </w:p>
        </w:tc>
      </w:tr>
      <w:tr w:rsidR="006764E4" w:rsidRPr="002C5787" w:rsidTr="00BC115D">
        <w:trPr>
          <w:trHeight w:val="577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4. Pjesa që i takon nga koeficienti i rrugës  (346/4289) = 0.0807 koeficienti rrugës. Nga kriteri i koeficientit të rrugës, qarku X përfiton (0.0807x34,890 mijë lekë) = 2,815 mijë lekë.</w:t>
            </w:r>
          </w:p>
        </w:tc>
      </w:tr>
      <w:tr w:rsidR="006764E4" w:rsidRPr="002C5787" w:rsidTr="00BC115D">
        <w:trPr>
          <w:trHeight w:val="274"/>
          <w:jc w:val="center"/>
        </w:trPr>
        <w:tc>
          <w:tcPr>
            <w:tcW w:w="9307" w:type="dxa"/>
            <w:gridSpan w:val="2"/>
            <w:shd w:val="clear" w:color="auto" w:fill="auto"/>
          </w:tcPr>
          <w:p w:rsidR="006764E4" w:rsidRPr="002C5787" w:rsidRDefault="006764E4" w:rsidP="00BC115D">
            <w:pPr>
              <w:pStyle w:val="Tabele"/>
              <w:rPr>
                <w:sz w:val="18"/>
                <w:szCs w:val="18"/>
                <w:lang w:val="it-IT"/>
              </w:rPr>
            </w:pPr>
            <w:r w:rsidRPr="002C5787">
              <w:rPr>
                <w:sz w:val="18"/>
                <w:szCs w:val="18"/>
                <w:lang w:val="it-IT"/>
              </w:rPr>
              <w:t>Qarku X përfiton grand (1,358 +8,546 +1,964 +2,815) = 14,683 mijë lekë.</w:t>
            </w:r>
          </w:p>
        </w:tc>
      </w:tr>
    </w:tbl>
    <w:p w:rsidR="006764E4" w:rsidRPr="00A3715A" w:rsidRDefault="006764E4" w:rsidP="006764E4">
      <w:pPr>
        <w:pStyle w:val="Paragrafi"/>
        <w:rPr>
          <w:lang w:val="it-IT"/>
        </w:rPr>
      </w:pPr>
      <w:r w:rsidRPr="00A3715A">
        <w:rPr>
          <w:lang w:val="it-IT"/>
        </w:rPr>
        <w:t xml:space="preserve">5.2. Transferta e kushtëzuar </w:t>
      </w:r>
    </w:p>
    <w:p w:rsidR="006764E4" w:rsidRPr="00A3715A" w:rsidRDefault="006764E4" w:rsidP="006764E4">
      <w:pPr>
        <w:pStyle w:val="Paragrafi"/>
        <w:rPr>
          <w:lang w:val="it-IT"/>
        </w:rPr>
      </w:pPr>
      <w:r w:rsidRPr="00A3715A">
        <w:rPr>
          <w:lang w:val="it-IT"/>
        </w:rPr>
        <w:t xml:space="preserve">- Transferta e kushtëzuar parashikohet në programin buxhetor afatmesëm 2014-2016, për financimin e shpenzimeve për funksionet e deleguara. Sipas akteve ligjore në fuqi, funksione të deleguara në pushtetin vendor janë, shërbimi e gjendjes civile, mbrojtja dhe administrimi i tokës, Qendra </w:t>
      </w:r>
      <w:r>
        <w:rPr>
          <w:lang w:val="it-IT"/>
        </w:rPr>
        <w:t>e Regjistrimit të</w:t>
      </w:r>
      <w:r w:rsidRPr="00A3715A">
        <w:rPr>
          <w:lang w:val="it-IT"/>
        </w:rPr>
        <w:t xml:space="preserve"> Bizneseve.</w:t>
      </w:r>
    </w:p>
    <w:p w:rsidR="006764E4" w:rsidRPr="00A3715A" w:rsidRDefault="006764E4" w:rsidP="006764E4">
      <w:pPr>
        <w:pStyle w:val="Paragrafi"/>
        <w:rPr>
          <w:lang w:val="it-IT"/>
        </w:rPr>
      </w:pPr>
      <w:r w:rsidRPr="00A3715A">
        <w:rPr>
          <w:lang w:val="it-IT"/>
        </w:rPr>
        <w:t>- Shuma e transfertave të kushtëzuara do të jetë rezultat i shpenzimeve sipas artikujve për çdo aktivitet që kryhet në zbatim të funksioneve të deleguara, ose të përbashkëta. Parashikimi i zërave të pagave, sigurimeve shoqërore, dhe shpenzimeve operative e</w:t>
      </w:r>
      <w:r>
        <w:rPr>
          <w:lang w:val="it-IT"/>
        </w:rPr>
        <w:t xml:space="preserve"> të mirëmbajtjes, do të bëhen në</w:t>
      </w:r>
      <w:r w:rsidRPr="00A3715A">
        <w:rPr>
          <w:lang w:val="it-IT"/>
        </w:rPr>
        <w:t xml:space="preserve"> përputhje me aktet ligjore në fuqi për zërat përkatës. </w:t>
      </w:r>
      <w:bookmarkStart w:id="13" w:name="_Toc191800918"/>
      <w:bookmarkStart w:id="14" w:name="_Toc191801062"/>
      <w:bookmarkStart w:id="15" w:name="_Toc191801087"/>
      <w:bookmarkStart w:id="16" w:name="_Toc191801116"/>
    </w:p>
    <w:p w:rsidR="006764E4" w:rsidRPr="00A427BB" w:rsidRDefault="006764E4" w:rsidP="006764E4">
      <w:pPr>
        <w:pStyle w:val="Paragrafi"/>
        <w:rPr>
          <w:lang w:val="it-IT"/>
        </w:rPr>
      </w:pPr>
      <w:r w:rsidRPr="00A427BB">
        <w:rPr>
          <w:lang w:val="it-IT"/>
        </w:rPr>
        <w:t>6.  Ndjekja e procesit dhe mbështetja këshillimore</w:t>
      </w:r>
    </w:p>
    <w:bookmarkEnd w:id="13"/>
    <w:bookmarkEnd w:id="14"/>
    <w:bookmarkEnd w:id="15"/>
    <w:bookmarkEnd w:id="16"/>
    <w:p w:rsidR="006764E4" w:rsidRPr="0062761D" w:rsidRDefault="006764E4" w:rsidP="006764E4">
      <w:pPr>
        <w:pStyle w:val="Paragrafi"/>
      </w:pPr>
      <w:r>
        <w:t xml:space="preserve">- </w:t>
      </w:r>
      <w:r w:rsidRPr="0062761D">
        <w:t>Ministria e Financave, n</w:t>
      </w:r>
      <w:r>
        <w:t>ë kuadër të</w:t>
      </w:r>
      <w:r w:rsidRPr="0062761D">
        <w:t xml:space="preserve"> mbështetjes këshillimore për përgatitjen e PBA 2014-2016, vë në dispozicion për çdo njësi të qeverisjes vendore, adresat e e-mailit:</w:t>
      </w:r>
    </w:p>
    <w:p w:rsidR="006764E4" w:rsidRPr="00A3715A" w:rsidRDefault="006764E4" w:rsidP="006764E4">
      <w:pPr>
        <w:pStyle w:val="Paragrafi"/>
        <w:rPr>
          <w:lang w:val="de-DE"/>
        </w:rPr>
      </w:pPr>
      <w:r w:rsidRPr="0062761D">
        <w:t xml:space="preserve">    </w:t>
      </w:r>
      <w:hyperlink r:id="rId6" w:history="1">
        <w:r w:rsidRPr="00A3715A">
          <w:rPr>
            <w:rStyle w:val="Hyperlink"/>
            <w:lang w:val="de-DE"/>
          </w:rPr>
          <w:t>fbrahimi@minfin.gov.al</w:t>
        </w:r>
      </w:hyperlink>
      <w:r w:rsidRPr="00A3715A">
        <w:rPr>
          <w:lang w:val="de-DE"/>
        </w:rPr>
        <w:t xml:space="preserve">, dhe jmemaj@minfin.gov.al  </w:t>
      </w:r>
    </w:p>
    <w:p w:rsidR="006764E4" w:rsidRPr="00A3715A" w:rsidRDefault="006764E4" w:rsidP="006764E4">
      <w:pPr>
        <w:pStyle w:val="Paragrafi"/>
        <w:rPr>
          <w:lang w:val="de-DE"/>
        </w:rPr>
      </w:pPr>
      <w:r w:rsidRPr="00A3715A">
        <w:rPr>
          <w:lang w:val="de-DE"/>
        </w:rPr>
        <w:t xml:space="preserve">- Bashkëlidhur gjeni: formularin nr.1 “Parashikimi i të ardhurave për periudhën 2014-2016”, </w:t>
      </w:r>
      <w:r>
        <w:rPr>
          <w:lang w:val="de-DE"/>
        </w:rPr>
        <w:t>formularin nr.2</w:t>
      </w:r>
      <w:r w:rsidRPr="00A3715A">
        <w:rPr>
          <w:lang w:val="de-DE"/>
        </w:rPr>
        <w:t xml:space="preserve"> “Parashikimi i shpërndarjes së burimeve financiare për periudhën 2014-2016”, relacionin, dhe një shembull për mënyrën e plotësimit të relacionit.</w:t>
      </w:r>
    </w:p>
    <w:p w:rsidR="006764E4" w:rsidRPr="0062761D" w:rsidRDefault="006764E4" w:rsidP="006764E4">
      <w:pPr>
        <w:pStyle w:val="Paragrafi"/>
      </w:pPr>
      <w:r w:rsidRPr="0062761D">
        <w:t xml:space="preserve">7.  Të tjera </w:t>
      </w:r>
    </w:p>
    <w:p w:rsidR="006764E4" w:rsidRPr="0062761D" w:rsidRDefault="006764E4" w:rsidP="006764E4">
      <w:pPr>
        <w:pStyle w:val="Paragrafi"/>
      </w:pPr>
      <w:r>
        <w:t xml:space="preserve">- </w:t>
      </w:r>
      <w:r w:rsidRPr="0062761D">
        <w:t xml:space="preserve">Për sqarime të mëtejshme përveç këtij udhëzimi mund të përdorni për analogji edhe udhëzimin </w:t>
      </w:r>
      <w:r>
        <w:t xml:space="preserve">nr.9, datë 22.2.2013 </w:t>
      </w:r>
      <w:r w:rsidRPr="0062761D">
        <w:t xml:space="preserve">“Për përgatitjen e buxhetit afatmesëm 2014-2016”. </w:t>
      </w:r>
    </w:p>
    <w:p w:rsidR="006764E4" w:rsidRPr="0062761D" w:rsidRDefault="006764E4" w:rsidP="006764E4">
      <w:pPr>
        <w:pStyle w:val="Paragrafi"/>
      </w:pPr>
    </w:p>
    <w:p w:rsidR="006764E4" w:rsidRPr="00A3715A" w:rsidRDefault="006764E4" w:rsidP="006764E4">
      <w:pPr>
        <w:pStyle w:val="Autoriteti"/>
        <w:rPr>
          <w:lang w:val="it-IT"/>
        </w:rPr>
      </w:pPr>
      <w:r w:rsidRPr="00A3715A">
        <w:rPr>
          <w:lang w:val="it-IT"/>
        </w:rPr>
        <w:t xml:space="preserve">MINISTERi Financave </w:t>
      </w:r>
    </w:p>
    <w:p w:rsidR="006764E4" w:rsidRDefault="006764E4" w:rsidP="006764E4">
      <w:pPr>
        <w:pStyle w:val="AutoritetiEmer"/>
      </w:pPr>
      <w:r w:rsidRPr="00A3715A">
        <w:rPr>
          <w:lang w:val="it-IT"/>
        </w:rPr>
        <w:t xml:space="preserve">        Ridvan Bode</w:t>
      </w:r>
    </w:p>
    <w:sectPr w:rsidR="006764E4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A7629">
      <w:r>
        <w:separator/>
      </w:r>
    </w:p>
  </w:endnote>
  <w:endnote w:type="continuationSeparator" w:id="0">
    <w:p w:rsidR="00000000" w:rsidRDefault="00EA7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15D" w:rsidRPr="00643853" w:rsidRDefault="00BC115D">
    <w:pPr>
      <w:pStyle w:val="Footer"/>
      <w:rPr>
        <w:rFonts w:ascii="CG Times" w:hAnsi="CG Times"/>
        <w:sz w:val="22"/>
        <w:szCs w:val="22"/>
      </w:rPr>
    </w:pPr>
    <w:r w:rsidRPr="00643853">
      <w:rPr>
        <w:rFonts w:ascii="CG Times" w:hAnsi="CG Times"/>
        <w:sz w:val="22"/>
        <w:szCs w:val="22"/>
      </w:rPr>
      <w:fldChar w:fldCharType="begin"/>
    </w:r>
    <w:r w:rsidRPr="00643853">
      <w:rPr>
        <w:rFonts w:ascii="CG Times" w:hAnsi="CG Times"/>
        <w:sz w:val="22"/>
        <w:szCs w:val="22"/>
      </w:rPr>
      <w:instrText xml:space="preserve"> PAGE   \* MERGEFORMAT </w:instrText>
    </w:r>
    <w:r w:rsidRPr="00643853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1318</w:t>
    </w:r>
    <w:r w:rsidRPr="00643853">
      <w:rPr>
        <w:rFonts w:ascii="CG Times" w:hAnsi="CG Times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15D" w:rsidRPr="00643853" w:rsidRDefault="00BC115D">
    <w:pPr>
      <w:pStyle w:val="Footer"/>
      <w:jc w:val="right"/>
      <w:rPr>
        <w:rFonts w:ascii="CG Times" w:hAnsi="CG Times"/>
        <w:sz w:val="22"/>
        <w:szCs w:val="22"/>
      </w:rPr>
    </w:pPr>
    <w:r w:rsidRPr="00643853">
      <w:rPr>
        <w:rFonts w:ascii="CG Times" w:hAnsi="CG Times"/>
        <w:sz w:val="22"/>
        <w:szCs w:val="22"/>
      </w:rPr>
      <w:fldChar w:fldCharType="begin"/>
    </w:r>
    <w:r w:rsidRPr="00643853">
      <w:rPr>
        <w:rFonts w:ascii="CG Times" w:hAnsi="CG Times"/>
        <w:sz w:val="22"/>
        <w:szCs w:val="22"/>
      </w:rPr>
      <w:instrText xml:space="preserve"> PAGE   \* MERGEFORMAT </w:instrText>
    </w:r>
    <w:r w:rsidRPr="00643853">
      <w:rPr>
        <w:rFonts w:ascii="CG Times" w:hAnsi="CG Times"/>
        <w:sz w:val="22"/>
        <w:szCs w:val="22"/>
      </w:rPr>
      <w:fldChar w:fldCharType="separate"/>
    </w:r>
    <w:r w:rsidR="006764E4">
      <w:rPr>
        <w:rFonts w:ascii="CG Times" w:hAnsi="CG Times"/>
        <w:noProof/>
        <w:sz w:val="22"/>
        <w:szCs w:val="22"/>
      </w:rPr>
      <w:t>1</w:t>
    </w:r>
    <w:r w:rsidRPr="00643853">
      <w:rPr>
        <w:rFonts w:ascii="CG Times" w:hAnsi="CG Times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A7629">
      <w:r>
        <w:separator/>
      </w:r>
    </w:p>
  </w:footnote>
  <w:footnote w:type="continuationSeparator" w:id="0">
    <w:p w:rsidR="00000000" w:rsidRDefault="00EA76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15D" w:rsidRDefault="00EA7629" w:rsidP="00BC115D">
    <w:pPr>
      <w:pStyle w:val="Header"/>
    </w:pPr>
    <w:r>
      <w:rPr>
        <w:noProof/>
      </w:rPr>
      <w:drawing>
        <wp:inline distT="0" distB="0" distL="0" distR="0">
          <wp:extent cx="1600200" cy="400050"/>
          <wp:effectExtent l="0" t="0" r="0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C115D" w:rsidRPr="00AE7784" w:rsidRDefault="00BC115D" w:rsidP="00BC115D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15D" w:rsidRDefault="00EA7629" w:rsidP="00BC115D">
    <w:pPr>
      <w:pStyle w:val="Header"/>
      <w:tabs>
        <w:tab w:val="clear" w:pos="4680"/>
        <w:tab w:val="clear" w:pos="9360"/>
      </w:tabs>
      <w:ind w:right="1134"/>
      <w:jc w:val="right"/>
    </w:pPr>
    <w:r>
      <w:rPr>
        <w:noProof/>
      </w:rPr>
      <w:drawing>
        <wp:inline distT="0" distB="0" distL="0" distR="0">
          <wp:extent cx="1314450" cy="400050"/>
          <wp:effectExtent l="0" t="0" r="0" b="0"/>
          <wp:docPr id="2" name="Picture 2" descr="QBZ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QBZ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1295"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C115D" w:rsidRPr="00213FDE" w:rsidRDefault="00BC115D" w:rsidP="00BC115D">
    <w:pPr>
      <w:pStyle w:val="Header"/>
      <w:pBdr>
        <w:top w:val="single" w:sz="2" w:space="1" w:color="auto"/>
      </w:pBdr>
      <w:tabs>
        <w:tab w:val="clear" w:pos="4680"/>
        <w:tab w:val="clear" w:pos="9360"/>
      </w:tabs>
      <w:ind w:left="-1418"/>
      <w:jc w:val="righ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64E4"/>
    <w:rsid w:val="006764E4"/>
    <w:rsid w:val="00BC115D"/>
    <w:rsid w:val="00EA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91D767-C632-4304-A9AA-1A6D669C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4E4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764E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764E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764E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764E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764E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764E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764E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abele">
    <w:name w:val="Tabele"/>
    <w:rsid w:val="006764E4"/>
    <w:rPr>
      <w:rFonts w:ascii="CG Times" w:eastAsia="MS Mincho" w:hAnsi="CG Times" w:cs="CG Times"/>
      <w:sz w:val="22"/>
      <w:szCs w:val="22"/>
      <w:lang w:val="en-GB"/>
    </w:rPr>
  </w:style>
  <w:style w:type="paragraph" w:customStyle="1" w:styleId="Titulli">
    <w:name w:val="Titulli"/>
    <w:next w:val="Normal"/>
    <w:link w:val="TitulliChar"/>
    <w:rsid w:val="006764E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764E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764E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6764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764E4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6764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764E4"/>
    <w:rPr>
      <w:rFonts w:ascii="Times New Roman" w:eastAsia="MS Mincho" w:hAnsi="Times New Roman" w:cs="Times New Roman"/>
      <w:sz w:val="24"/>
      <w:szCs w:val="24"/>
    </w:rPr>
  </w:style>
  <w:style w:type="character" w:customStyle="1" w:styleId="TitulliChar">
    <w:name w:val="Titulli Char"/>
    <w:basedOn w:val="DefaultParagraphFont"/>
    <w:link w:val="Titulli"/>
    <w:rsid w:val="006764E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styleId="Hyperlink">
    <w:name w:val="Hyperlink"/>
    <w:basedOn w:val="DefaultParagraphFont"/>
    <w:unhideWhenUsed/>
    <w:rsid w:val="006764E4"/>
    <w:rPr>
      <w:color w:val="0000FF"/>
      <w:u w:val="single"/>
    </w:rPr>
  </w:style>
  <w:style w:type="character" w:customStyle="1" w:styleId="AutoritetiChar">
    <w:name w:val="Autoriteti Char"/>
    <w:basedOn w:val="DefaultParagraphFont"/>
    <w:link w:val="Autoriteti"/>
    <w:locked/>
    <w:rsid w:val="006764E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764E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brahimi@minfin.gov.a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10756</CharactersWithSpaces>
  <SharedDoc>false</SharedDoc>
  <HLinks>
    <vt:vector size="6" baseType="variant">
      <vt:variant>
        <vt:i4>2228300</vt:i4>
      </vt:variant>
      <vt:variant>
        <vt:i4>0</vt:i4>
      </vt:variant>
      <vt:variant>
        <vt:i4>0</vt:i4>
      </vt:variant>
      <vt:variant>
        <vt:i4>5</vt:i4>
      </vt:variant>
      <vt:variant>
        <vt:lpwstr>mailto:fbrahimi@minfin.gov.al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2019-03-18T13:18:00Z</dcterms:created>
  <dcterms:modified xsi:type="dcterms:W3CDTF">2019-03-18T13:18:00Z</dcterms:modified>
</cp:coreProperties>
</file>