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6D9" w:rsidRDefault="001B16D9" w:rsidP="001B16D9">
      <w:pPr>
        <w:pStyle w:val="Akti"/>
        <w:keepNext w:val="0"/>
        <w:rPr>
          <w:sz w:val="21"/>
          <w:szCs w:val="21"/>
          <w:lang w:val="sq-AL"/>
        </w:rPr>
      </w:pPr>
      <w:r>
        <w:rPr>
          <w:sz w:val="21"/>
          <w:szCs w:val="21"/>
          <w:lang w:val="sq-AL"/>
        </w:rPr>
        <w:t>UDHËZIM</w:t>
      </w:r>
    </w:p>
    <w:p w:rsidR="001B16D9" w:rsidRDefault="001B16D9" w:rsidP="001B16D9">
      <w:pPr>
        <w:pStyle w:val="NumriData"/>
        <w:keepNext w:val="0"/>
        <w:rPr>
          <w:sz w:val="21"/>
          <w:szCs w:val="21"/>
          <w:lang w:val="sq-AL"/>
        </w:rPr>
      </w:pPr>
      <w:bookmarkStart w:id="0" w:name="_GoBack"/>
      <w:r>
        <w:rPr>
          <w:sz w:val="21"/>
          <w:szCs w:val="21"/>
          <w:lang w:val="sq-AL"/>
        </w:rPr>
        <w:t>Nr. 8/1, datë 17.5.2013</w:t>
      </w:r>
    </w:p>
    <w:bookmarkEnd w:id="0"/>
    <w:p w:rsidR="001B16D9" w:rsidRDefault="001B16D9" w:rsidP="001B16D9">
      <w:pPr>
        <w:pStyle w:val="Paragrafi"/>
        <w:rPr>
          <w:sz w:val="14"/>
          <w:szCs w:val="21"/>
          <w:lang w:val="sq-AL"/>
        </w:rPr>
      </w:pPr>
    </w:p>
    <w:p w:rsidR="001B16D9" w:rsidRDefault="001B16D9" w:rsidP="001B16D9">
      <w:pPr>
        <w:pStyle w:val="Titulli"/>
        <w:keepNext w:val="0"/>
        <w:rPr>
          <w:sz w:val="21"/>
          <w:szCs w:val="21"/>
          <w:lang w:val="sq-AL"/>
        </w:rPr>
      </w:pPr>
      <w:r>
        <w:rPr>
          <w:sz w:val="21"/>
          <w:szCs w:val="21"/>
          <w:lang w:val="sq-AL"/>
        </w:rPr>
        <w:t>PËR</w:t>
      </w:r>
      <w:r>
        <w:rPr>
          <w:color w:val="333333"/>
          <w:sz w:val="21"/>
          <w:szCs w:val="21"/>
          <w:lang w:val="sq-AL"/>
        </w:rPr>
        <w:t xml:space="preserve"> </w:t>
      </w:r>
      <w:r>
        <w:rPr>
          <w:sz w:val="21"/>
          <w:szCs w:val="21"/>
          <w:lang w:val="sq-AL"/>
        </w:rPr>
        <w:t xml:space="preserve">DISA SHTESA E NDRYSHIME NË UDHËZIMIN NR. 26, DATË 4.9.2008, </w:t>
      </w:r>
    </w:p>
    <w:p w:rsidR="001B16D9" w:rsidRDefault="001B16D9" w:rsidP="001B16D9">
      <w:pPr>
        <w:pStyle w:val="Titulli"/>
        <w:keepNext w:val="0"/>
        <w:rPr>
          <w:color w:val="333333"/>
          <w:sz w:val="21"/>
          <w:szCs w:val="21"/>
          <w:lang w:val="sq-AL"/>
        </w:rPr>
      </w:pPr>
      <w:r>
        <w:rPr>
          <w:sz w:val="21"/>
          <w:szCs w:val="21"/>
          <w:lang w:val="sq-AL"/>
        </w:rPr>
        <w:t>“PËR TAKSAT KOMBËTARE”, tË NDRYSHUAR</w:t>
      </w:r>
    </w:p>
    <w:p w:rsidR="001B16D9" w:rsidRDefault="001B16D9" w:rsidP="001B16D9">
      <w:pPr>
        <w:pStyle w:val="Paragrafi"/>
        <w:rPr>
          <w:sz w:val="14"/>
          <w:szCs w:val="21"/>
          <w:lang w:val="sq-AL"/>
        </w:rPr>
      </w:pPr>
    </w:p>
    <w:p w:rsidR="001B16D9" w:rsidRDefault="001B16D9" w:rsidP="001B16D9">
      <w:pPr>
        <w:pStyle w:val="Paragrafi"/>
        <w:rPr>
          <w:sz w:val="21"/>
          <w:szCs w:val="21"/>
          <w:lang w:val="sq-AL"/>
        </w:rPr>
      </w:pPr>
      <w:r>
        <w:rPr>
          <w:sz w:val="21"/>
          <w:szCs w:val="21"/>
          <w:lang w:val="sq-AL"/>
        </w:rPr>
        <w:t xml:space="preserve">Në mbështetje të nenit 102, pika 4 e Kushtetutës dhe të ligjit nr. 9975, datë 28.7.2008 “Për taksat kombëtare”, të ndryshuar, Ministri i Financave </w:t>
      </w:r>
    </w:p>
    <w:p w:rsidR="001B16D9" w:rsidRDefault="001B16D9" w:rsidP="001B16D9">
      <w:pPr>
        <w:pStyle w:val="Paragrafi"/>
        <w:rPr>
          <w:color w:val="333333"/>
          <w:sz w:val="12"/>
          <w:szCs w:val="21"/>
          <w:lang w:val="sq-AL"/>
        </w:rPr>
      </w:pPr>
    </w:p>
    <w:p w:rsidR="001B16D9" w:rsidRDefault="001B16D9" w:rsidP="001B16D9">
      <w:pPr>
        <w:pStyle w:val="VENDOSI"/>
        <w:keepNext w:val="0"/>
        <w:rPr>
          <w:sz w:val="21"/>
          <w:szCs w:val="21"/>
          <w:lang w:val="sq-AL"/>
        </w:rPr>
      </w:pPr>
      <w:r>
        <w:rPr>
          <w:sz w:val="21"/>
          <w:szCs w:val="21"/>
          <w:lang w:val="sq-AL"/>
        </w:rPr>
        <w:t>UDHËZON:</w:t>
      </w:r>
    </w:p>
    <w:p w:rsidR="001B16D9" w:rsidRDefault="001B16D9" w:rsidP="001B16D9">
      <w:pPr>
        <w:pStyle w:val="Paragrafi"/>
        <w:rPr>
          <w:color w:val="333333"/>
          <w:sz w:val="12"/>
          <w:szCs w:val="21"/>
          <w:lang w:val="sq-AL"/>
        </w:rPr>
      </w:pPr>
    </w:p>
    <w:p w:rsidR="001B16D9" w:rsidRDefault="001B16D9" w:rsidP="001B16D9">
      <w:pPr>
        <w:pStyle w:val="Paragrafi"/>
        <w:rPr>
          <w:sz w:val="21"/>
          <w:szCs w:val="21"/>
          <w:lang w:val="sq-AL"/>
        </w:rPr>
      </w:pPr>
      <w:r>
        <w:rPr>
          <w:sz w:val="21"/>
          <w:szCs w:val="21"/>
          <w:lang w:val="sq-AL"/>
        </w:rPr>
        <w:t>Në udhëzimin nr. 26, datë 4.9.2008 “Për taksat kombëtare”, të ndryshuar, pika 2.3.1 ndryshohet si më poshtë vijon:</w:t>
      </w:r>
    </w:p>
    <w:p w:rsidR="001B16D9" w:rsidRDefault="001B16D9" w:rsidP="001B16D9">
      <w:pPr>
        <w:pStyle w:val="Paragrafi"/>
        <w:rPr>
          <w:rFonts w:eastAsia="Times New Roman"/>
          <w:sz w:val="21"/>
          <w:szCs w:val="21"/>
          <w:lang w:val="sq-AL"/>
        </w:rPr>
      </w:pPr>
      <w:r>
        <w:rPr>
          <w:rFonts w:eastAsia="Times New Roman"/>
          <w:color w:val="000000"/>
          <w:sz w:val="21"/>
          <w:szCs w:val="21"/>
          <w:lang w:val="sq-AL"/>
        </w:rPr>
        <w:t xml:space="preserve"> “2.3.1 </w:t>
      </w:r>
      <w:r>
        <w:rPr>
          <w:rFonts w:eastAsia="Times New Roman"/>
          <w:sz w:val="21"/>
          <w:szCs w:val="21"/>
          <w:lang w:val="sq-AL"/>
        </w:rPr>
        <w:t xml:space="preserve">Taksa vjetore e mjeteve të përdorura të transportit është taksë vjetore për çdo vit kalendarik dhe ka vlefshmëri 365 ditë. Kjo taksë caktohet sipas formulës: </w:t>
      </w:r>
    </w:p>
    <w:p w:rsidR="001B16D9" w:rsidRDefault="001B16D9" w:rsidP="001B16D9">
      <w:pPr>
        <w:pStyle w:val="Paragrafi"/>
        <w:rPr>
          <w:rFonts w:eastAsia="Times New Roman"/>
          <w:sz w:val="21"/>
          <w:szCs w:val="21"/>
          <w:lang w:val="sq-AL"/>
        </w:rPr>
      </w:pPr>
      <w:r>
        <w:rPr>
          <w:rFonts w:eastAsia="Times New Roman"/>
          <w:sz w:val="21"/>
          <w:szCs w:val="21"/>
          <w:lang w:val="sq-AL"/>
        </w:rPr>
        <w:t>Cilindrata në cm</w:t>
      </w:r>
      <w:r>
        <w:rPr>
          <w:rFonts w:eastAsia="Times New Roman"/>
          <w:sz w:val="21"/>
          <w:szCs w:val="21"/>
          <w:vertAlign w:val="superscript"/>
          <w:lang w:val="sq-AL"/>
        </w:rPr>
        <w:t>3</w:t>
      </w:r>
      <w:r>
        <w:rPr>
          <w:rFonts w:eastAsia="Times New Roman"/>
          <w:sz w:val="21"/>
          <w:szCs w:val="21"/>
          <w:lang w:val="sq-AL"/>
        </w:rPr>
        <w:t xml:space="preserve"> x koeficienti fiks sipas vjetërsisë x taksa fikse për llojin e karburantit. </w:t>
      </w:r>
    </w:p>
    <w:p w:rsidR="001B16D9" w:rsidRDefault="001B16D9" w:rsidP="001B16D9">
      <w:pPr>
        <w:pStyle w:val="Paragrafi"/>
        <w:rPr>
          <w:rFonts w:eastAsia="Times New Roman"/>
          <w:sz w:val="21"/>
          <w:szCs w:val="21"/>
          <w:lang w:val="sq-AL"/>
        </w:rPr>
      </w:pPr>
      <w:r>
        <w:rPr>
          <w:rFonts w:eastAsia="Times New Roman"/>
          <w:sz w:val="21"/>
          <w:szCs w:val="21"/>
          <w:lang w:val="sq-AL"/>
        </w:rPr>
        <w:t xml:space="preserve">Taksa fikse për llojin e karburantit është 12.5 lekë për naftën dhe 10 lekë për benzinën. Koeficienti sipas vjetërsisë së mjetit është si në shtojcën 1 bashkëlidhur këtij ligji dhe është pjesë përbërëse e tij. Mjetet me vjetërsi nga 0-3 vjet nuk janë subjekt i kësaj takse. “Viti i vjetërsisë” është diferenca ndërmjet vitit, kur mjetit i lind detyrimi për të kryer pagesën e taksës me vitin e prodhimit. </w:t>
      </w:r>
    </w:p>
    <w:p w:rsidR="001B16D9" w:rsidRDefault="001B16D9" w:rsidP="001B16D9">
      <w:pPr>
        <w:pStyle w:val="Paragrafi"/>
        <w:rPr>
          <w:rFonts w:eastAsia="MS Mincho"/>
          <w:sz w:val="21"/>
          <w:szCs w:val="21"/>
          <w:u w:val="single"/>
          <w:lang w:val="sq-AL"/>
        </w:rPr>
      </w:pPr>
      <w:r>
        <w:rPr>
          <w:sz w:val="21"/>
          <w:szCs w:val="21"/>
          <w:lang w:val="sq-AL"/>
        </w:rPr>
        <w:t>P.sh.:</w:t>
      </w:r>
      <w:r>
        <w:rPr>
          <w:sz w:val="21"/>
          <w:szCs w:val="21"/>
          <w:u w:val="single"/>
          <w:lang w:val="sq-AL"/>
        </w:rPr>
        <w:t xml:space="preserve"> </w:t>
      </w:r>
    </w:p>
    <w:p w:rsidR="001B16D9" w:rsidRDefault="001B16D9" w:rsidP="001B16D9">
      <w:pPr>
        <w:pStyle w:val="Paragrafi"/>
        <w:rPr>
          <w:sz w:val="21"/>
          <w:szCs w:val="21"/>
          <w:lang w:val="sq-AL"/>
        </w:rPr>
      </w:pPr>
      <w:r>
        <w:rPr>
          <w:sz w:val="21"/>
          <w:szCs w:val="21"/>
          <w:lang w:val="sq-AL"/>
        </w:rPr>
        <w:t>Autovetura</w:t>
      </w:r>
    </w:p>
    <w:p w:rsidR="001B16D9" w:rsidRDefault="001B16D9" w:rsidP="001B16D9">
      <w:pPr>
        <w:pStyle w:val="Paragrafi"/>
        <w:rPr>
          <w:sz w:val="21"/>
          <w:szCs w:val="21"/>
          <w:lang w:val="sq-AL"/>
        </w:rPr>
      </w:pPr>
      <w:r>
        <w:rPr>
          <w:sz w:val="21"/>
          <w:szCs w:val="21"/>
          <w:lang w:val="sq-AL"/>
        </w:rPr>
        <w:t>Naftë</w:t>
      </w:r>
    </w:p>
    <w:p w:rsidR="001B16D9" w:rsidRDefault="001B16D9" w:rsidP="001B16D9">
      <w:pPr>
        <w:pStyle w:val="Paragrafi"/>
        <w:rPr>
          <w:sz w:val="8"/>
          <w:szCs w:val="21"/>
          <w:lang w:val="sq-AL"/>
        </w:rPr>
      </w:pP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66"/>
        <w:gridCol w:w="621"/>
        <w:gridCol w:w="621"/>
        <w:gridCol w:w="621"/>
        <w:gridCol w:w="621"/>
        <w:gridCol w:w="621"/>
        <w:gridCol w:w="621"/>
        <w:gridCol w:w="621"/>
        <w:gridCol w:w="621"/>
        <w:gridCol w:w="711"/>
        <w:gridCol w:w="711"/>
        <w:gridCol w:w="711"/>
        <w:gridCol w:w="711"/>
        <w:gridCol w:w="711"/>
        <w:gridCol w:w="711"/>
      </w:tblGrid>
      <w:tr w:rsidR="001B16D9" w:rsidTr="001B16D9">
        <w:trPr>
          <w:trHeight w:val="720"/>
          <w:jc w:val="center"/>
        </w:trPr>
        <w:tc>
          <w:tcPr>
            <w:tcW w:w="45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Vite vjetërsie/ cilindrata</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4</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6</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7</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9</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center"/>
            <w:hideMark/>
          </w:tcPr>
          <w:p w:rsidR="001B16D9" w:rsidRDefault="001B16D9">
            <w:pPr>
              <w:widowControl w:val="0"/>
              <w:jc w:val="center"/>
              <w:rPr>
                <w:rFonts w:ascii="CG Times" w:eastAsia="Times New Roman" w:hAnsi="CG Times"/>
                <w:b/>
                <w:bCs/>
                <w:sz w:val="18"/>
                <w:szCs w:val="18"/>
                <w:highlight w:val="yellow"/>
                <w:lang w:val="sq-AL" w:eastAsia="sq-AL"/>
              </w:rPr>
            </w:pPr>
            <w:r>
              <w:rPr>
                <w:rFonts w:ascii="CG Times" w:eastAsia="Times New Roman" w:hAnsi="CG Times"/>
                <w:b/>
                <w:bCs/>
                <w:sz w:val="18"/>
                <w:szCs w:val="18"/>
                <w:lang w:val="sq-AL" w:eastAsia="sq-AL"/>
              </w:rPr>
              <w:t>10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11</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12</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13</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14</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15</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16</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17</w:t>
            </w:r>
          </w:p>
        </w:tc>
      </w:tr>
      <w:tr w:rsidR="001B16D9" w:rsidTr="001B16D9">
        <w:trPr>
          <w:trHeight w:val="171"/>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1200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2.700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2.850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3.150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3.300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3.450</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3.600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7.800</w:t>
            </w:r>
          </w:p>
        </w:tc>
      </w:tr>
      <w:tr w:rsidR="001B16D9" w:rsidTr="001B16D9">
        <w:trPr>
          <w:trHeight w:val="118"/>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1300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2.925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3.088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3.250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3.413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3.575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3.738</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3.900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4.550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5.850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7.150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8.450</w:t>
            </w:r>
          </w:p>
        </w:tc>
      </w:tr>
      <w:tr w:rsidR="001B16D9" w:rsidTr="001B16D9">
        <w:trPr>
          <w:trHeight w:val="191"/>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1400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3.150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3.325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3.675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3.850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4.025</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4.200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4.900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6.300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7.700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9.100</w:t>
            </w:r>
          </w:p>
        </w:tc>
      </w:tr>
      <w:tr w:rsidR="001B16D9" w:rsidTr="001B16D9">
        <w:trPr>
          <w:trHeight w:val="137"/>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3.375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3.563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3.750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3.938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4.125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4.313</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4.500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5.250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6.750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8.250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9.750</w:t>
            </w:r>
          </w:p>
        </w:tc>
      </w:tr>
      <w:tr w:rsidR="001B16D9" w:rsidTr="001B16D9">
        <w:trPr>
          <w:trHeight w:val="212"/>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1600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3.600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3.800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4.200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4.400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4.600</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4.800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10.400</w:t>
            </w:r>
          </w:p>
        </w:tc>
      </w:tr>
      <w:tr w:rsidR="001B16D9" w:rsidTr="001B16D9">
        <w:trPr>
          <w:trHeight w:val="129"/>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1700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3.825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4.038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4.250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4.463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4.675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4.888</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5.100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5.950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7.650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9.350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11.050</w:t>
            </w:r>
          </w:p>
        </w:tc>
      </w:tr>
      <w:tr w:rsidR="001B16D9" w:rsidTr="001B16D9">
        <w:trPr>
          <w:trHeight w:val="61"/>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1800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4.050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4.275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4.725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4.950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5.175</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5.400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6.300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8.100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9.900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11.700</w:t>
            </w:r>
          </w:p>
        </w:tc>
      </w:tr>
      <w:tr w:rsidR="001B16D9" w:rsidTr="001B16D9">
        <w:trPr>
          <w:trHeight w:val="150"/>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1900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4.275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4.513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4.750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4.988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5.225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5.463</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5.700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6.650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8.550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10.450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12.350</w:t>
            </w:r>
          </w:p>
        </w:tc>
      </w:tr>
      <w:tr w:rsidR="001B16D9" w:rsidTr="001B16D9">
        <w:trPr>
          <w:trHeight w:val="95"/>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4.750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5.250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5.750</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6.000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13.000</w:t>
            </w:r>
          </w:p>
        </w:tc>
      </w:tr>
      <w:tr w:rsidR="001B16D9" w:rsidTr="001B16D9">
        <w:trPr>
          <w:trHeight w:val="183"/>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2100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4.725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4.988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5.250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5.513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5.775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6.038</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6.300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7.350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9.450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11.550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13.650</w:t>
            </w:r>
          </w:p>
        </w:tc>
      </w:tr>
      <w:tr w:rsidR="001B16D9" w:rsidTr="001B16D9">
        <w:trPr>
          <w:trHeight w:val="115"/>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2200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4.950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5.225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5.775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6.325</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6.600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7.700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9.900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12.100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14.300</w:t>
            </w:r>
          </w:p>
        </w:tc>
      </w:tr>
      <w:tr w:rsidR="001B16D9" w:rsidTr="001B16D9">
        <w:trPr>
          <w:trHeight w:val="61"/>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2300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5.175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5.463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5.750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6.038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6.325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6.613</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sz w:val="18"/>
                <w:szCs w:val="18"/>
                <w:lang w:val="sq-AL" w:eastAsia="sq-AL"/>
              </w:rPr>
            </w:pPr>
            <w:r>
              <w:rPr>
                <w:rFonts w:ascii="CG Times" w:eastAsia="Times New Roman" w:hAnsi="CG Times"/>
                <w:sz w:val="18"/>
                <w:szCs w:val="18"/>
                <w:lang w:val="sq-AL" w:eastAsia="sq-AL"/>
              </w:rPr>
              <w:t>6.900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8.050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10.350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12.650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14.950</w:t>
            </w:r>
          </w:p>
        </w:tc>
      </w:tr>
      <w:tr w:rsidR="001B16D9" w:rsidTr="001B16D9">
        <w:trPr>
          <w:trHeight w:val="135"/>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2400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5.400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5.700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6.300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6.600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6.900</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7.200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14.400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15.600</w:t>
            </w:r>
          </w:p>
        </w:tc>
      </w:tr>
      <w:tr w:rsidR="001B16D9" w:rsidTr="001B16D9">
        <w:trPr>
          <w:trHeight w:val="81"/>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5.625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5.938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6.250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6.563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6.875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7.188</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8.750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11.250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13.750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15.000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16.250</w:t>
            </w:r>
          </w:p>
        </w:tc>
      </w:tr>
      <w:tr w:rsidR="001B16D9" w:rsidTr="001B16D9">
        <w:trPr>
          <w:trHeight w:val="155"/>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2600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5.850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6.175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6.500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6.825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7.150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7.475</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7.800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9.100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11.700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14.300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15.600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16.900</w:t>
            </w:r>
          </w:p>
        </w:tc>
      </w:tr>
      <w:tr w:rsidR="001B16D9" w:rsidTr="001B16D9">
        <w:trPr>
          <w:trHeight w:val="102"/>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2700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6.075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6.413</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6.750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7.088</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7.425</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7.763</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8.100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9.450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10.800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12.150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13.500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14.850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16.200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17.550</w:t>
            </w:r>
          </w:p>
        </w:tc>
      </w:tr>
      <w:tr w:rsidR="001B16D9" w:rsidTr="001B16D9">
        <w:trPr>
          <w:trHeight w:val="83"/>
          <w:jc w:val="center"/>
        </w:trPr>
        <w:tc>
          <w:tcPr>
            <w:tcW w:w="452"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2800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6.300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6.650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7.000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7.350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7.700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8.050</w:t>
            </w:r>
          </w:p>
        </w:tc>
        <w:tc>
          <w:tcPr>
            <w:tcW w:w="356" w:type="pct"/>
            <w:tcBorders>
              <w:top w:val="single" w:sz="4" w:space="0" w:color="auto"/>
              <w:left w:val="single" w:sz="4" w:space="0" w:color="auto"/>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8.400</w:t>
            </w:r>
          </w:p>
        </w:tc>
        <w:tc>
          <w:tcPr>
            <w:tcW w:w="30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9.800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11.200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12.600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14.000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15.400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16.800</w:t>
            </w:r>
          </w:p>
        </w:tc>
        <w:tc>
          <w:tcPr>
            <w:tcW w:w="344"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B16D9" w:rsidRDefault="001B16D9">
            <w:pPr>
              <w:widowControl w:val="0"/>
              <w:jc w:val="right"/>
              <w:rPr>
                <w:rFonts w:ascii="CG Times" w:eastAsia="Times New Roman" w:hAnsi="CG Times"/>
                <w:color w:val="000000"/>
                <w:sz w:val="18"/>
                <w:szCs w:val="18"/>
                <w:lang w:val="sq-AL" w:eastAsia="sq-AL"/>
              </w:rPr>
            </w:pPr>
            <w:r>
              <w:rPr>
                <w:rFonts w:ascii="CG Times" w:eastAsia="Times New Roman" w:hAnsi="CG Times"/>
                <w:color w:val="000000"/>
                <w:sz w:val="18"/>
                <w:szCs w:val="18"/>
                <w:lang w:val="sq-AL" w:eastAsia="sq-AL"/>
              </w:rPr>
              <w:t>18.200</w:t>
            </w:r>
          </w:p>
        </w:tc>
      </w:tr>
    </w:tbl>
    <w:p w:rsidR="001B16D9" w:rsidRDefault="001B16D9" w:rsidP="001B16D9">
      <w:pPr>
        <w:widowControl w:val="0"/>
        <w:autoSpaceDE w:val="0"/>
        <w:autoSpaceDN w:val="0"/>
        <w:adjustRightInd w:val="0"/>
        <w:rPr>
          <w:rFonts w:ascii="CG Times" w:eastAsia="Times New Roman" w:hAnsi="CG Times"/>
          <w:sz w:val="21"/>
          <w:szCs w:val="21"/>
          <w:lang w:val="sq-AL"/>
        </w:rPr>
      </w:pPr>
    </w:p>
    <w:p w:rsidR="001B16D9" w:rsidRDefault="001B16D9" w:rsidP="001B16D9">
      <w:pPr>
        <w:widowControl w:val="0"/>
        <w:autoSpaceDE w:val="0"/>
        <w:autoSpaceDN w:val="0"/>
        <w:adjustRightInd w:val="0"/>
        <w:rPr>
          <w:rFonts w:ascii="CG Times" w:eastAsia="Times New Roman" w:hAnsi="CG Times"/>
          <w:sz w:val="21"/>
          <w:szCs w:val="21"/>
          <w:lang w:val="sq-AL"/>
        </w:rPr>
      </w:pPr>
    </w:p>
    <w:p w:rsidR="001B16D9" w:rsidRDefault="001B16D9" w:rsidP="001B16D9">
      <w:pPr>
        <w:widowControl w:val="0"/>
        <w:autoSpaceDE w:val="0"/>
        <w:autoSpaceDN w:val="0"/>
        <w:adjustRightInd w:val="0"/>
        <w:rPr>
          <w:rFonts w:ascii="CG Times" w:eastAsia="Times New Roman" w:hAnsi="CG Times"/>
          <w:sz w:val="21"/>
          <w:szCs w:val="21"/>
          <w:lang w:val="sq-AL"/>
        </w:rPr>
      </w:pPr>
    </w:p>
    <w:p w:rsidR="001B16D9" w:rsidRDefault="001B16D9" w:rsidP="001B16D9">
      <w:pPr>
        <w:widowControl w:val="0"/>
        <w:autoSpaceDE w:val="0"/>
        <w:autoSpaceDN w:val="0"/>
        <w:adjustRightInd w:val="0"/>
        <w:rPr>
          <w:rFonts w:ascii="CG Times" w:eastAsia="Times New Roman" w:hAnsi="CG Times"/>
          <w:sz w:val="21"/>
          <w:szCs w:val="21"/>
          <w:lang w:val="sq-AL"/>
        </w:rPr>
      </w:pPr>
      <w:r>
        <w:rPr>
          <w:rFonts w:ascii="CG Times" w:eastAsia="Times New Roman" w:hAnsi="CG Times"/>
          <w:sz w:val="21"/>
          <w:szCs w:val="21"/>
          <w:lang w:val="sq-AL"/>
        </w:rPr>
        <w:t>Autovetura</w:t>
      </w:r>
    </w:p>
    <w:p w:rsidR="001B16D9" w:rsidRDefault="001B16D9" w:rsidP="001B16D9">
      <w:pPr>
        <w:widowControl w:val="0"/>
        <w:autoSpaceDE w:val="0"/>
        <w:autoSpaceDN w:val="0"/>
        <w:adjustRightInd w:val="0"/>
        <w:rPr>
          <w:rFonts w:ascii="CG Times" w:eastAsia="Times New Roman" w:hAnsi="CG Times"/>
          <w:sz w:val="21"/>
          <w:szCs w:val="21"/>
          <w:lang w:val="sq-AL"/>
        </w:rPr>
      </w:pPr>
      <w:r>
        <w:rPr>
          <w:rFonts w:ascii="CG Times" w:eastAsia="Times New Roman" w:hAnsi="CG Times"/>
          <w:sz w:val="21"/>
          <w:szCs w:val="21"/>
          <w:lang w:val="sq-AL"/>
        </w:rPr>
        <w:t>Benzinë</w:t>
      </w:r>
    </w:p>
    <w:p w:rsidR="001B16D9" w:rsidRDefault="001B16D9" w:rsidP="001B16D9">
      <w:pPr>
        <w:widowControl w:val="0"/>
        <w:autoSpaceDE w:val="0"/>
        <w:autoSpaceDN w:val="0"/>
        <w:adjustRightInd w:val="0"/>
        <w:rPr>
          <w:rFonts w:eastAsia="Times New Roman"/>
          <w:sz w:val="21"/>
          <w:szCs w:val="21"/>
          <w:lang w:val="sq-AL"/>
        </w:rPr>
      </w:pPr>
    </w:p>
    <w:tbl>
      <w:tblPr>
        <w:tblW w:w="5047" w:type="pct"/>
        <w:jc w:val="center"/>
        <w:tblLook w:val="04A0" w:firstRow="1" w:lastRow="0" w:firstColumn="1" w:lastColumn="0" w:noHBand="0" w:noVBand="1"/>
      </w:tblPr>
      <w:tblGrid>
        <w:gridCol w:w="966"/>
        <w:gridCol w:w="621"/>
        <w:gridCol w:w="621"/>
        <w:gridCol w:w="621"/>
        <w:gridCol w:w="621"/>
        <w:gridCol w:w="621"/>
        <w:gridCol w:w="621"/>
        <w:gridCol w:w="621"/>
        <w:gridCol w:w="621"/>
        <w:gridCol w:w="621"/>
        <w:gridCol w:w="711"/>
        <w:gridCol w:w="711"/>
        <w:gridCol w:w="711"/>
        <w:gridCol w:w="711"/>
        <w:gridCol w:w="711"/>
      </w:tblGrid>
      <w:tr w:rsidR="001B16D9" w:rsidTr="001B16D9">
        <w:trPr>
          <w:trHeight w:val="746"/>
          <w:jc w:val="center"/>
        </w:trPr>
        <w:tc>
          <w:tcPr>
            <w:tcW w:w="464" w:type="pct"/>
            <w:tcBorders>
              <w:top w:val="single" w:sz="4" w:space="0" w:color="auto"/>
              <w:left w:val="single" w:sz="4" w:space="0" w:color="auto"/>
              <w:bottom w:val="single" w:sz="4" w:space="0" w:color="auto"/>
              <w:right w:val="single" w:sz="4" w:space="0" w:color="auto"/>
            </w:tcBorders>
            <w:vAlign w:val="center"/>
            <w:hideMark/>
          </w:tcPr>
          <w:p w:rsidR="001B16D9" w:rsidRDefault="001B16D9">
            <w:pPr>
              <w:widowControl w:val="0"/>
              <w:jc w:val="center"/>
              <w:rPr>
                <w:rFonts w:ascii="CG Times" w:eastAsia="Times New Roman" w:hAnsi="CG Times"/>
                <w:b/>
                <w:bCs/>
                <w:color w:val="000000"/>
                <w:sz w:val="18"/>
                <w:szCs w:val="18"/>
                <w:lang w:val="sq-AL" w:eastAsia="sq-AL"/>
              </w:rPr>
            </w:pPr>
            <w:r>
              <w:rPr>
                <w:rFonts w:ascii="CG Times" w:eastAsia="Times New Roman" w:hAnsi="CG Times"/>
                <w:b/>
                <w:bCs/>
                <w:color w:val="000000"/>
                <w:sz w:val="18"/>
                <w:szCs w:val="18"/>
                <w:lang w:val="sq-AL" w:eastAsia="sq-AL"/>
              </w:rPr>
              <w:t>Vite vjetërsie/ cilindrata</w:t>
            </w:r>
          </w:p>
        </w:tc>
        <w:tc>
          <w:tcPr>
            <w:tcW w:w="353"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4</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5</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6</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7</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8</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9</w:t>
            </w:r>
          </w:p>
        </w:tc>
        <w:tc>
          <w:tcPr>
            <w:tcW w:w="306" w:type="pct"/>
            <w:tcBorders>
              <w:top w:val="single" w:sz="4" w:space="0" w:color="auto"/>
              <w:left w:val="nil"/>
              <w:bottom w:val="single" w:sz="4" w:space="0" w:color="auto"/>
              <w:right w:val="single" w:sz="4" w:space="0" w:color="auto"/>
            </w:tcBorders>
            <w:shd w:val="pct10" w:color="auto" w:fill="FFFFFF"/>
            <w:noWrap/>
            <w:vAlign w:val="center"/>
            <w:hideMark/>
          </w:tcPr>
          <w:p w:rsidR="001B16D9" w:rsidRDefault="001B16D9">
            <w:pPr>
              <w:widowControl w:val="0"/>
              <w:jc w:val="center"/>
              <w:rPr>
                <w:rFonts w:ascii="CG Times" w:eastAsia="Times New Roman" w:hAnsi="CG Times" w:cs="Calibri"/>
                <w:b/>
                <w:bCs/>
                <w:sz w:val="18"/>
                <w:szCs w:val="18"/>
                <w:lang w:val="sq-AL" w:eastAsia="sq-AL"/>
              </w:rPr>
            </w:pPr>
            <w:r>
              <w:rPr>
                <w:rFonts w:ascii="CG Times" w:eastAsia="Times New Roman" w:hAnsi="CG Times" w:cs="Calibri"/>
                <w:b/>
                <w:bCs/>
                <w:sz w:val="18"/>
                <w:szCs w:val="18"/>
                <w:lang w:val="sq-AL" w:eastAsia="sq-AL"/>
              </w:rPr>
              <w:t>10</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11</w:t>
            </w:r>
          </w:p>
        </w:tc>
        <w:tc>
          <w:tcPr>
            <w:tcW w:w="306"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12</w:t>
            </w:r>
          </w:p>
        </w:tc>
        <w:tc>
          <w:tcPr>
            <w:tcW w:w="348"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13</w:t>
            </w:r>
          </w:p>
        </w:tc>
        <w:tc>
          <w:tcPr>
            <w:tcW w:w="348"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14</w:t>
            </w:r>
          </w:p>
        </w:tc>
        <w:tc>
          <w:tcPr>
            <w:tcW w:w="348"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15</w:t>
            </w:r>
          </w:p>
        </w:tc>
        <w:tc>
          <w:tcPr>
            <w:tcW w:w="348"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16</w:t>
            </w:r>
          </w:p>
        </w:tc>
        <w:tc>
          <w:tcPr>
            <w:tcW w:w="348" w:type="pct"/>
            <w:tcBorders>
              <w:top w:val="single" w:sz="4" w:space="0" w:color="auto"/>
              <w:left w:val="nil"/>
              <w:bottom w:val="single" w:sz="4" w:space="0" w:color="auto"/>
              <w:right w:val="single" w:sz="4" w:space="0" w:color="auto"/>
            </w:tcBorders>
            <w:noWrap/>
            <w:vAlign w:val="center"/>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17</w:t>
            </w:r>
          </w:p>
        </w:tc>
      </w:tr>
      <w:tr w:rsidR="001B16D9" w:rsidTr="001B16D9">
        <w:trPr>
          <w:trHeight w:val="150"/>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1200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2.160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2.280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2.400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2.520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2.640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2.760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2.880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3.360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3.840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4.320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4.800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5.280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5.760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6.240</w:t>
            </w:r>
          </w:p>
        </w:tc>
      </w:tr>
      <w:tr w:rsidR="001B16D9" w:rsidTr="001B16D9">
        <w:trPr>
          <w:trHeight w:val="193"/>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1300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2.340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2.470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2.600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2.730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2.860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2.990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3.120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3.640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4.160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4.680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5.200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5.720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6.240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6.760</w:t>
            </w:r>
          </w:p>
        </w:tc>
      </w:tr>
      <w:tr w:rsidR="001B16D9" w:rsidTr="001B16D9">
        <w:trPr>
          <w:trHeight w:val="97"/>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1400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2.520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2.660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2.800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2.940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3.080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3.220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ind w:hanging="159"/>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3.360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3.920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4.480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5.040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5.600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6.160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6.720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7.280</w:t>
            </w:r>
          </w:p>
        </w:tc>
      </w:tr>
      <w:tr w:rsidR="001B16D9" w:rsidTr="001B16D9">
        <w:trPr>
          <w:trHeight w:val="172"/>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1500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2.700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2.850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3.000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3.150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3.300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3.450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3.600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4.200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4.800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5.400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6.600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7.200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7.800</w:t>
            </w:r>
          </w:p>
        </w:tc>
      </w:tr>
      <w:tr w:rsidR="001B16D9" w:rsidTr="001B16D9">
        <w:trPr>
          <w:trHeight w:val="75"/>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lastRenderedPageBreak/>
              <w:t>1600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2.880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3.040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3.200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3.360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3.520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3.680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3.840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4.480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5.120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5.760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6.400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7.040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7.680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8.320</w:t>
            </w:r>
          </w:p>
        </w:tc>
      </w:tr>
      <w:tr w:rsidR="001B16D9" w:rsidTr="001B16D9">
        <w:trPr>
          <w:trHeight w:val="135"/>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1700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3.060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3.230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3.400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3.570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3.740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3.910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4.080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4.760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5.440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6.120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6.800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7.480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8.160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8.840</w:t>
            </w:r>
          </w:p>
        </w:tc>
      </w:tr>
      <w:tr w:rsidR="001B16D9" w:rsidTr="001B16D9">
        <w:trPr>
          <w:trHeight w:val="56"/>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1800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3.240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3.420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3.600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3.780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3.960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4.140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4.320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5.040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5.760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6.480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7.200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7.920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8.640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9.360</w:t>
            </w:r>
          </w:p>
        </w:tc>
      </w:tr>
      <w:tr w:rsidR="001B16D9" w:rsidTr="001B16D9">
        <w:trPr>
          <w:trHeight w:val="113"/>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1900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3.420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3.610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3.800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3.990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4.180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4.370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4.560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5.320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6.080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6.840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7.600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8.360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9.120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9.880</w:t>
            </w:r>
          </w:p>
        </w:tc>
      </w:tr>
      <w:tr w:rsidR="001B16D9" w:rsidTr="001B16D9">
        <w:trPr>
          <w:trHeight w:val="160"/>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2000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3.600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3.800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4.000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4.200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4.400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4.600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4.800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5.600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6.400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7.200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8.800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9.600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10.400</w:t>
            </w:r>
          </w:p>
        </w:tc>
      </w:tr>
      <w:tr w:rsidR="001B16D9" w:rsidTr="001B16D9">
        <w:trPr>
          <w:trHeight w:val="77"/>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2100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3.780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3.990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4.200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4.410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4.620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4.830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5.040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5.880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6.720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7.560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8.400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9.240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10.080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10.920</w:t>
            </w:r>
          </w:p>
        </w:tc>
      </w:tr>
      <w:tr w:rsidR="001B16D9" w:rsidTr="001B16D9">
        <w:trPr>
          <w:trHeight w:val="137"/>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2200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3.960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4.180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4.400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4.620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4.840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5.060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5.280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6.160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7.040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7.920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8.800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9.680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10.560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11.440</w:t>
            </w:r>
          </w:p>
        </w:tc>
      </w:tr>
      <w:tr w:rsidR="001B16D9" w:rsidTr="001B16D9">
        <w:trPr>
          <w:trHeight w:val="56"/>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2400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4.320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4.560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4.800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5.040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5.280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5.520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5.760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6.720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7.680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8.640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9.600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10.560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11.520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12.480</w:t>
            </w:r>
          </w:p>
        </w:tc>
      </w:tr>
      <w:tr w:rsidR="001B16D9" w:rsidTr="001B16D9">
        <w:trPr>
          <w:trHeight w:val="115"/>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2500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4.500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4.750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5.000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5.250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5.500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5.750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6.000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7.000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11.000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12.000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13.000</w:t>
            </w:r>
          </w:p>
        </w:tc>
      </w:tr>
      <w:tr w:rsidR="001B16D9" w:rsidTr="001B16D9">
        <w:trPr>
          <w:trHeight w:val="56"/>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2600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4.680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4.940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5.200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5.460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5.720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5.980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6.240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7.280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8.320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9.360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10.400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11.440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12.480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13.520</w:t>
            </w:r>
          </w:p>
        </w:tc>
      </w:tr>
      <w:tr w:rsidR="001B16D9" w:rsidTr="001B16D9">
        <w:trPr>
          <w:trHeight w:val="93"/>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2700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4.860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5.130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5.400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5.670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5.940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6.210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6.480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7.560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8.640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9.720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10.800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11.880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12.960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14.040</w:t>
            </w:r>
          </w:p>
        </w:tc>
      </w:tr>
      <w:tr w:rsidR="001B16D9" w:rsidTr="001B16D9">
        <w:trPr>
          <w:trHeight w:val="139"/>
          <w:jc w:val="center"/>
        </w:trPr>
        <w:tc>
          <w:tcPr>
            <w:tcW w:w="464" w:type="pct"/>
            <w:tcBorders>
              <w:top w:val="nil"/>
              <w:left w:val="single" w:sz="4" w:space="0" w:color="auto"/>
              <w:bottom w:val="single" w:sz="4" w:space="0" w:color="auto"/>
              <w:right w:val="single" w:sz="4" w:space="0" w:color="auto"/>
            </w:tcBorders>
            <w:noWrap/>
            <w:vAlign w:val="bottom"/>
            <w:hideMark/>
          </w:tcPr>
          <w:p w:rsidR="001B16D9" w:rsidRDefault="001B16D9">
            <w:pPr>
              <w:widowControl w:val="0"/>
              <w:jc w:val="center"/>
              <w:rPr>
                <w:rFonts w:ascii="CG Times" w:eastAsia="Times New Roman" w:hAnsi="CG Times" w:cs="Calibri"/>
                <w:b/>
                <w:bCs/>
                <w:color w:val="000000"/>
                <w:sz w:val="18"/>
                <w:szCs w:val="18"/>
                <w:lang w:val="sq-AL" w:eastAsia="sq-AL"/>
              </w:rPr>
            </w:pPr>
            <w:r>
              <w:rPr>
                <w:rFonts w:ascii="CG Times" w:eastAsia="Times New Roman" w:hAnsi="CG Times" w:cs="Calibri"/>
                <w:b/>
                <w:bCs/>
                <w:color w:val="000000"/>
                <w:sz w:val="18"/>
                <w:szCs w:val="18"/>
                <w:lang w:val="sq-AL" w:eastAsia="sq-AL"/>
              </w:rPr>
              <w:t>2800</w:t>
            </w:r>
          </w:p>
        </w:tc>
        <w:tc>
          <w:tcPr>
            <w:tcW w:w="353"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5.040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5.320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5.600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5.880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6.160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6.440</w:t>
            </w:r>
          </w:p>
        </w:tc>
        <w:tc>
          <w:tcPr>
            <w:tcW w:w="306" w:type="pct"/>
            <w:tcBorders>
              <w:top w:val="single" w:sz="4" w:space="0" w:color="auto"/>
              <w:left w:val="nil"/>
              <w:bottom w:val="single" w:sz="4" w:space="0" w:color="auto"/>
              <w:right w:val="single" w:sz="4" w:space="0" w:color="auto"/>
            </w:tcBorders>
            <w:shd w:val="pct10" w:color="auto" w:fill="FFFFFF"/>
            <w:noWrap/>
            <w:vAlign w:val="bottom"/>
            <w:hideMark/>
          </w:tcPr>
          <w:p w:rsidR="001B16D9" w:rsidRDefault="001B16D9">
            <w:pPr>
              <w:widowControl w:val="0"/>
              <w:jc w:val="right"/>
              <w:rPr>
                <w:rFonts w:ascii="CG Times" w:eastAsia="Times New Roman" w:hAnsi="CG Times" w:cs="Calibri"/>
                <w:sz w:val="18"/>
                <w:szCs w:val="18"/>
                <w:lang w:val="sq-AL" w:eastAsia="sq-AL"/>
              </w:rPr>
            </w:pPr>
            <w:r>
              <w:rPr>
                <w:rFonts w:ascii="CG Times" w:eastAsia="Times New Roman" w:hAnsi="CG Times" w:cs="Calibri"/>
                <w:sz w:val="18"/>
                <w:szCs w:val="18"/>
                <w:lang w:val="sq-AL" w:eastAsia="sq-AL"/>
              </w:rPr>
              <w:t>6.720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7.840</w:t>
            </w:r>
          </w:p>
        </w:tc>
        <w:tc>
          <w:tcPr>
            <w:tcW w:w="306"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8.960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10.080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11.200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12.320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13.440</w:t>
            </w:r>
          </w:p>
        </w:tc>
        <w:tc>
          <w:tcPr>
            <w:tcW w:w="348" w:type="pct"/>
            <w:tcBorders>
              <w:top w:val="nil"/>
              <w:left w:val="nil"/>
              <w:bottom w:val="single" w:sz="4" w:space="0" w:color="auto"/>
              <w:right w:val="single" w:sz="4" w:space="0" w:color="auto"/>
            </w:tcBorders>
            <w:noWrap/>
            <w:vAlign w:val="bottom"/>
            <w:hideMark/>
          </w:tcPr>
          <w:p w:rsidR="001B16D9" w:rsidRDefault="001B16D9">
            <w:pPr>
              <w:widowControl w:val="0"/>
              <w:jc w:val="right"/>
              <w:rPr>
                <w:rFonts w:ascii="CG Times" w:eastAsia="Times New Roman" w:hAnsi="CG Times" w:cs="Calibri"/>
                <w:color w:val="000000"/>
                <w:sz w:val="18"/>
                <w:szCs w:val="18"/>
                <w:lang w:val="sq-AL" w:eastAsia="sq-AL"/>
              </w:rPr>
            </w:pPr>
            <w:r>
              <w:rPr>
                <w:rFonts w:ascii="CG Times" w:eastAsia="Times New Roman" w:hAnsi="CG Times" w:cs="Calibri"/>
                <w:color w:val="000000"/>
                <w:sz w:val="18"/>
                <w:szCs w:val="18"/>
                <w:lang w:val="sq-AL" w:eastAsia="sq-AL"/>
              </w:rPr>
              <w:t>14.560</w:t>
            </w:r>
          </w:p>
        </w:tc>
      </w:tr>
    </w:tbl>
    <w:p w:rsidR="001B16D9" w:rsidRDefault="001B16D9" w:rsidP="001B16D9">
      <w:pPr>
        <w:widowControl w:val="0"/>
        <w:autoSpaceDE w:val="0"/>
        <w:autoSpaceDN w:val="0"/>
        <w:adjustRightInd w:val="0"/>
        <w:jc w:val="both"/>
        <w:rPr>
          <w:rFonts w:eastAsia="Times New Roman"/>
          <w:i/>
          <w:iCs/>
          <w:sz w:val="21"/>
          <w:szCs w:val="21"/>
          <w:lang w:val="sq-AL"/>
        </w:rPr>
      </w:pPr>
    </w:p>
    <w:p w:rsidR="001B16D9" w:rsidRDefault="001B16D9" w:rsidP="001B16D9">
      <w:pPr>
        <w:pStyle w:val="Paragrafi"/>
        <w:rPr>
          <w:rFonts w:eastAsia="MS Mincho"/>
          <w:sz w:val="21"/>
          <w:szCs w:val="21"/>
          <w:lang w:val="sq-AL"/>
        </w:rPr>
      </w:pPr>
      <w:r>
        <w:rPr>
          <w:sz w:val="21"/>
          <w:szCs w:val="21"/>
          <w:lang w:val="sq-AL"/>
        </w:rPr>
        <w:t>Shënim. Në bazë të shtojcës nr. 1 të ligjit nr. 10 458, datë 29.7.2011 “Për disa ndryshime në ligjin nr. 9975, datë 28.7.2008 “Për taksat kombëtare”, të ndryshuar, pas vitit të 24-t të përdorimit, për autoveturat, koeficienti rritet me 0.04.</w:t>
      </w:r>
    </w:p>
    <w:p w:rsidR="001B16D9" w:rsidRDefault="001B16D9" w:rsidP="001B16D9">
      <w:pPr>
        <w:pStyle w:val="Paragrafi"/>
        <w:rPr>
          <w:sz w:val="21"/>
          <w:szCs w:val="21"/>
          <w:lang w:val="sq-AL"/>
        </w:rPr>
      </w:pPr>
      <w:r>
        <w:rPr>
          <w:sz w:val="21"/>
          <w:szCs w:val="21"/>
          <w:lang w:val="sq-AL"/>
        </w:rPr>
        <w:t xml:space="preserve">Detyrimi për pagimin e taksës i takon pronarit të mjetit. Vlera e taksës është për vitin kalendarik në të cilin arkëtohet, me vlefshmëri 365 ditë, pavarësisht nga momenti në të cilin ajo paguhet. </w:t>
      </w:r>
    </w:p>
    <w:p w:rsidR="001B16D9" w:rsidRDefault="001B16D9" w:rsidP="001B16D9">
      <w:pPr>
        <w:pStyle w:val="Paragrafi"/>
        <w:rPr>
          <w:sz w:val="21"/>
          <w:szCs w:val="21"/>
          <w:lang w:val="sq-AL"/>
        </w:rPr>
      </w:pPr>
      <w:r>
        <w:rPr>
          <w:sz w:val="21"/>
          <w:szCs w:val="21"/>
          <w:lang w:val="sq-AL"/>
        </w:rPr>
        <w:t>Pagesa e taksës bëhet brenda afatit të vlefshmërisë, por gjithnjë para kryerjes së kontrollit teknik vjetor të detyrueshëm të mjetit. Pronari i mjetit, i cili nuk kryen pagesën e kësaj takse brenda 10 ditëve nga mbarimi i afatit të vlefshmërisë së parashikuar, detyrohet të paguajë një gjobë prej 5% të shumës së detyrimit të papaguar për çdo muaj vonesë, por jo më shumë se 25% për çdo vit.</w:t>
      </w:r>
    </w:p>
    <w:p w:rsidR="001B16D9" w:rsidRDefault="001B16D9" w:rsidP="001B16D9">
      <w:pPr>
        <w:pStyle w:val="Paragrafi"/>
        <w:rPr>
          <w:sz w:val="21"/>
          <w:szCs w:val="21"/>
          <w:lang w:val="sq-AL"/>
        </w:rPr>
      </w:pPr>
      <w:r>
        <w:rPr>
          <w:sz w:val="21"/>
          <w:szCs w:val="21"/>
          <w:lang w:val="sq-AL"/>
        </w:rPr>
        <w:t xml:space="preserve">Shembull për llogaritjen e gjobës për mospagesë të taksës brenda afatit të vlefshmërisë së parashikuar: </w:t>
      </w:r>
    </w:p>
    <w:p w:rsidR="001B16D9" w:rsidRDefault="001B16D9" w:rsidP="001B16D9">
      <w:pPr>
        <w:pStyle w:val="Paragrafi"/>
        <w:rPr>
          <w:sz w:val="21"/>
          <w:szCs w:val="21"/>
          <w:lang w:val="sq-AL"/>
        </w:rPr>
      </w:pPr>
      <w:r>
        <w:rPr>
          <w:sz w:val="21"/>
          <w:szCs w:val="21"/>
          <w:lang w:val="sq-AL"/>
        </w:rPr>
        <w:t>Mjeti me cilindratë 1900 cm</w:t>
      </w:r>
      <w:r>
        <w:rPr>
          <w:sz w:val="21"/>
          <w:szCs w:val="21"/>
          <w:vertAlign w:val="superscript"/>
          <w:lang w:val="sq-AL"/>
        </w:rPr>
        <w:t>3</w:t>
      </w:r>
      <w:r>
        <w:rPr>
          <w:sz w:val="21"/>
          <w:szCs w:val="21"/>
          <w:lang w:val="sq-AL"/>
        </w:rPr>
        <w:t xml:space="preserve">, me naftë dhe vit prodhimi 2001, për vitin 2013 ka paguar taksën vjetore të mjeteve të përdorura në datën 15.2.2013, për vlerën 15.200 lekë. Në datën 20.4.2014 pronari i mjetit paraqitet për të paguar taksën e vitit 2014, pra është me 3 muaj vonesë për pagesën e TVMP-së dhe për këtë arsye duhet të paguajë 15% gjobë, mbi shumën e taksës që duhet të paguajë për vitin 2014 në vlerën 8.550 lekë. Pra, vlera e gjobës është në vlerën 1283 lekë. </w:t>
      </w:r>
    </w:p>
    <w:p w:rsidR="001B16D9" w:rsidRDefault="001B16D9" w:rsidP="001B16D9">
      <w:pPr>
        <w:pStyle w:val="Paragrafi"/>
        <w:rPr>
          <w:sz w:val="21"/>
          <w:szCs w:val="21"/>
          <w:lang w:val="sq-AL"/>
        </w:rPr>
      </w:pPr>
      <w:r>
        <w:rPr>
          <w:sz w:val="21"/>
          <w:szCs w:val="21"/>
          <w:lang w:val="sq-AL"/>
        </w:rPr>
        <w:t xml:space="preserve">Të ardhurat nga taksa dhe gjobat për çdo rast, mblidhen nga strukturat e Drejtorisë së Përgjithshme të Shërbimeve të Transportit Rrugor, nëpërmjet drejtorive rajonale, para kryerjes së kontrollit teknik vjetor të detyrueshëm të mjetit dhe shpërndahen sipas procedurave të përcaktuara me vendim të Këshillit të Ministrave, 5% strukturave të Drejtorisë së Përgjithshme të Shërbimeve të Transportit Rrugor, 18% buxhetit të qeverisjes vendore dhe pjesa tjetër Buxhetit të Shtetit. </w:t>
      </w:r>
    </w:p>
    <w:p w:rsidR="001B16D9" w:rsidRDefault="001B16D9" w:rsidP="001B16D9">
      <w:pPr>
        <w:pStyle w:val="Paragrafi"/>
        <w:rPr>
          <w:sz w:val="21"/>
          <w:szCs w:val="21"/>
          <w:lang w:val="sq-AL"/>
        </w:rPr>
      </w:pPr>
      <w:r>
        <w:rPr>
          <w:sz w:val="21"/>
          <w:szCs w:val="21"/>
          <w:lang w:val="sq-AL"/>
        </w:rPr>
        <w:t xml:space="preserve">Pagesa e kësaj takse shoqërohet me faturë dhe me pullën e taksës. Zotëruesi i mjetit e vendos pullën e taksës në xhamin e përparmë të mjetit për të lehtësuar ushtrimin e kontrollit vizual nga organet kompetente. Këto dokumente prodhohen nga Drejtoria e Përgjithshme e Shërbimeve të Transportit Rrugor dhe shpenzimet përballohen nga ky institucion në zbatim të nenit 8 pika 3 shkronja “c” të ligjit nr. 9975, datë 28.7.2008 “Për taksat kombëtare”, të ndryshuar. Dokumentet e mësipërme duhet të përmbajnë elemente të sigurisë së lartë, për të shmangur falsifikimin e tyre. </w:t>
      </w:r>
    </w:p>
    <w:p w:rsidR="001B16D9" w:rsidRDefault="001B16D9" w:rsidP="001B16D9">
      <w:pPr>
        <w:pStyle w:val="Paragrafi"/>
        <w:rPr>
          <w:sz w:val="21"/>
          <w:szCs w:val="21"/>
          <w:lang w:val="sq-AL"/>
        </w:rPr>
      </w:pPr>
      <w:r>
        <w:rPr>
          <w:sz w:val="21"/>
          <w:szCs w:val="21"/>
          <w:lang w:val="sq-AL"/>
        </w:rPr>
        <w:t xml:space="preserve">Drejtoritë rajonale të shërbimeve të transportit rrugor bëjnë regjistrimin ditor të arkëtimit të taksës, që shërben si dokument bazë për rakordimin e pagesës së taksës me organet e tatimeve. Regjistrimi bëhet në një regjistër të veçantë ose në mënyrë elektronike, forma dhe përmbajtja e të cilit janë sipas formularit nr. 2 bashkëngjitur këtij udhëzimi. Këto drejtori, brenda datës 31 janar të çdo viti, dërgojnë në drejtoritë rajonale të tatimeve dhe në strukturat e Ministrisë së Brendshme listën e mjeteve që nuk kanë paguar taksën për vitin paraardhës, si dhe listën e mjeteve të regjistruara. Personat fizikë apo juridikë, pronarë të këtyre mjeteve, në këto lista do të trajtohen si debitorë dhe nga ana e DPSHTRR-së dhe ndaj tyre do të fillojë të zbatohen masat shtrënguese. </w:t>
      </w:r>
    </w:p>
    <w:p w:rsidR="001B16D9" w:rsidRDefault="001B16D9" w:rsidP="001B16D9">
      <w:pPr>
        <w:pStyle w:val="Paragrafi"/>
        <w:rPr>
          <w:sz w:val="21"/>
          <w:szCs w:val="21"/>
          <w:lang w:val="sq-AL"/>
        </w:rPr>
      </w:pPr>
      <w:r>
        <w:rPr>
          <w:sz w:val="21"/>
          <w:szCs w:val="21"/>
          <w:lang w:val="sq-AL"/>
        </w:rPr>
        <w:t xml:space="preserve">Në rastet e mjeteve, të cilat ndërrojnë pronësinë, drejtoritë rajonale të DPSHTRR-së nuk procedojnë me regjistrimin e pronësisë së mjetit në rast se për atë mjet nuk janë paguar taksat respektive. </w:t>
      </w:r>
    </w:p>
    <w:p w:rsidR="001B16D9" w:rsidRDefault="001B16D9" w:rsidP="001B16D9">
      <w:pPr>
        <w:pStyle w:val="Paragrafi"/>
        <w:rPr>
          <w:sz w:val="21"/>
          <w:szCs w:val="21"/>
          <w:lang w:val="sq-AL"/>
        </w:rPr>
      </w:pPr>
      <w:r>
        <w:rPr>
          <w:sz w:val="21"/>
          <w:szCs w:val="21"/>
          <w:lang w:val="sq-AL"/>
        </w:rPr>
        <w:t>Mjetet që regjistrohen për herë të parë, në momentin e targimit të tyre, paguajnë taksën vjetore të mjeteve të përdorura (TVMP) në raport me kohën e hyrjes në qarkullim në territorin e Shqipërisë. Në rast se mjeti regjistrohet në muajin janar, TVMP-ja paguhet e plotë, ndërsa për periudhën në vazhdim në raport me muajt e hyrjes në qarkullim, pavarësisht datës së muajit.</w:t>
      </w:r>
    </w:p>
    <w:p w:rsidR="001B16D9" w:rsidRDefault="001B16D9" w:rsidP="001B16D9">
      <w:pPr>
        <w:pStyle w:val="Paragrafi"/>
        <w:rPr>
          <w:sz w:val="21"/>
          <w:szCs w:val="21"/>
          <w:lang w:val="sq-AL"/>
        </w:rPr>
      </w:pPr>
      <w:r>
        <w:rPr>
          <w:sz w:val="21"/>
          <w:szCs w:val="21"/>
          <w:lang w:val="sq-AL"/>
        </w:rPr>
        <w:t xml:space="preserve">Për mjetet që dalin përfundimisht nga qarkullimi, në momentin e paraqitjes së qytetarit për çregjistrimin </w:t>
      </w:r>
      <w:r>
        <w:rPr>
          <w:sz w:val="21"/>
          <w:szCs w:val="21"/>
          <w:lang w:val="sq-AL"/>
        </w:rPr>
        <w:lastRenderedPageBreak/>
        <w:t>e përhershëm, llogaritja e vlerës së taksës do të jetë e barabartë në raport me periudhën, që mjeti ka qenë në qarkullim.</w:t>
      </w:r>
    </w:p>
    <w:p w:rsidR="001B16D9" w:rsidRDefault="001B16D9" w:rsidP="001B16D9">
      <w:pPr>
        <w:pStyle w:val="Paragrafi"/>
        <w:rPr>
          <w:sz w:val="21"/>
          <w:szCs w:val="21"/>
          <w:lang w:val="sq-AL"/>
        </w:rPr>
      </w:pPr>
      <w:r>
        <w:rPr>
          <w:sz w:val="21"/>
          <w:szCs w:val="21"/>
          <w:lang w:val="sq-AL"/>
        </w:rPr>
        <w:t xml:space="preserve">Pas datës së hyrjes në fuqi të ligjit nr. 120/2013 “Për disa ndryshime në ligjin nr. 9975, datë 28.7.2008 “Për taksat kombëtare”, të ndryshuar, datë 18.4.2013, të gjithë pronarët e mjeteve që nuk kanë paguar taksën vjetore të mjeteve të përdorura, pavarësisht kur e kanë pasur datën e pagesës së taksës, paguajnë sipas këtij ligji. </w:t>
      </w:r>
    </w:p>
    <w:p w:rsidR="001B16D9" w:rsidRDefault="001B16D9" w:rsidP="001B16D9">
      <w:pPr>
        <w:pStyle w:val="Paragrafi"/>
        <w:rPr>
          <w:sz w:val="21"/>
          <w:szCs w:val="21"/>
          <w:lang w:val="sq-AL"/>
        </w:rPr>
      </w:pPr>
      <w:r>
        <w:rPr>
          <w:sz w:val="21"/>
          <w:szCs w:val="21"/>
          <w:lang w:val="sq-AL"/>
        </w:rPr>
        <w:t xml:space="preserve">Në rast se pronari i mjetit pagesën e taksës vjetore të mjetit të përdorur e bën brenda datës 30 qershor 2013, përveç të drejtës së pagimit të vetëm gjysmës së detyrimit të përllogaritur para hyrjes në fuqi të ligjit, përjashtohet edhe nga penalitetet për vonesë në pagesën e taksave. Për të gjitha pagesat e vonuara që kryhen pas datës 30 qershor 2013, llogarit penalitet përkatëse. DPSHTRR-ja merr të gjitha masat që të fillojë aplikimin e tyre në sistem nga 1 janari 2014. </w:t>
      </w:r>
    </w:p>
    <w:p w:rsidR="001B16D9" w:rsidRDefault="001B16D9" w:rsidP="001B16D9">
      <w:pPr>
        <w:pStyle w:val="Paragrafi"/>
        <w:rPr>
          <w:sz w:val="21"/>
          <w:szCs w:val="21"/>
          <w:lang w:val="sq-AL"/>
        </w:rPr>
      </w:pPr>
      <w:r>
        <w:rPr>
          <w:sz w:val="21"/>
          <w:szCs w:val="21"/>
          <w:lang w:val="sq-AL"/>
        </w:rPr>
        <w:t>P.sh., pronari i një mjeti me cilindratë 1900 cm</w:t>
      </w:r>
      <w:r>
        <w:rPr>
          <w:sz w:val="21"/>
          <w:szCs w:val="21"/>
          <w:vertAlign w:val="superscript"/>
          <w:lang w:val="sq-AL"/>
        </w:rPr>
        <w:t>3</w:t>
      </w:r>
      <w:r>
        <w:rPr>
          <w:sz w:val="21"/>
          <w:szCs w:val="21"/>
          <w:lang w:val="sq-AL"/>
        </w:rPr>
        <w:t>, me naftë dhe vit prodhimi 2001, për vitin 2013 duhet ta paguante taksën vjetore të mjeteve të përdorura në datën 15.2.2013, sipas përllogaritjeve për vlerën 15.200 lekë:</w:t>
      </w:r>
    </w:p>
    <w:p w:rsidR="001B16D9" w:rsidRDefault="001B16D9" w:rsidP="001B16D9">
      <w:pPr>
        <w:pStyle w:val="Paragrafi"/>
        <w:rPr>
          <w:sz w:val="21"/>
          <w:szCs w:val="21"/>
          <w:lang w:val="sq-AL"/>
        </w:rPr>
      </w:pPr>
      <w:r>
        <w:rPr>
          <w:sz w:val="21"/>
          <w:szCs w:val="21"/>
          <w:lang w:val="sq-AL"/>
        </w:rPr>
        <w:t xml:space="preserve">Rasti a) Nëse paraqitet për pagesë më 20 qershor 2013, paguan 7.600 lekë taksë dhe nuk paguan penalitete. </w:t>
      </w:r>
    </w:p>
    <w:p w:rsidR="001B16D9" w:rsidRDefault="001B16D9" w:rsidP="001B16D9">
      <w:pPr>
        <w:pStyle w:val="Paragrafi"/>
        <w:rPr>
          <w:sz w:val="21"/>
          <w:szCs w:val="21"/>
          <w:lang w:val="sq-AL"/>
        </w:rPr>
      </w:pPr>
      <w:r>
        <w:rPr>
          <w:sz w:val="21"/>
          <w:szCs w:val="21"/>
          <w:lang w:val="sq-AL"/>
        </w:rPr>
        <w:t xml:space="preserve">Rasti b) Nëse paraqitet për pagesë më 1.7.2013, paguan 7.600 lekë taksë dhe i përllogaritet 25% gjobë mbi shumën e taksës që ka paguar (6 muaj vonesë për pagesën e TVMP-së, por jo më shumë se 25%), pra në vlerën 1.900 lekë. </w:t>
      </w:r>
    </w:p>
    <w:p w:rsidR="001B16D9" w:rsidRDefault="001B16D9" w:rsidP="001B16D9">
      <w:pPr>
        <w:pStyle w:val="Paragrafi"/>
        <w:rPr>
          <w:sz w:val="21"/>
          <w:szCs w:val="21"/>
          <w:lang w:val="sq-AL"/>
        </w:rPr>
      </w:pPr>
      <w:r>
        <w:rPr>
          <w:sz w:val="21"/>
          <w:szCs w:val="21"/>
          <w:lang w:val="sq-AL"/>
        </w:rPr>
        <w:t>2. Në pikën 3.1, pas germës “d” shtohet germa “dh” me këtë përmbajtje:</w:t>
      </w:r>
    </w:p>
    <w:p w:rsidR="001B16D9" w:rsidRDefault="001B16D9" w:rsidP="001B16D9">
      <w:pPr>
        <w:pStyle w:val="Paragrafi"/>
        <w:rPr>
          <w:rFonts w:cs="Times New Roman"/>
          <w:sz w:val="21"/>
          <w:szCs w:val="21"/>
          <w:lang w:val="sq-AL"/>
        </w:rPr>
      </w:pPr>
      <w:r>
        <w:rPr>
          <w:rFonts w:cs="Times New Roman"/>
          <w:bCs/>
          <w:sz w:val="21"/>
          <w:szCs w:val="21"/>
          <w:lang w:val="sq-AL"/>
        </w:rPr>
        <w:t>“dh) d</w:t>
      </w:r>
      <w:r>
        <w:rPr>
          <w:rFonts w:cs="Times New Roman"/>
          <w:sz w:val="21"/>
          <w:szCs w:val="21"/>
          <w:lang w:val="sq-AL"/>
        </w:rPr>
        <w:t xml:space="preserve">etyrimet e prapambetura, për </w:t>
      </w:r>
      <w:r>
        <w:rPr>
          <w:rFonts w:cs="Times New Roman"/>
          <w:bCs/>
          <w:sz w:val="21"/>
          <w:szCs w:val="21"/>
          <w:lang w:val="sq-AL"/>
        </w:rPr>
        <w:t xml:space="preserve">mjetet e </w:t>
      </w:r>
      <w:r>
        <w:rPr>
          <w:rFonts w:cs="Times New Roman"/>
          <w:sz w:val="21"/>
          <w:szCs w:val="21"/>
          <w:lang w:val="sq-AL"/>
        </w:rPr>
        <w:t>sekuestruara apo të konfiskuara me vendim të formës së prerë të gjykatës, të cilat i kalojnë në administrim Agjencisë së Administrimit të Pasurive të Sekuestruara dhe Konfiskuara (AAPSK) për qëllime përdorimi apo rishitjeje.</w:t>
      </w:r>
    </w:p>
    <w:p w:rsidR="001B16D9" w:rsidRDefault="001B16D9" w:rsidP="001B16D9">
      <w:pPr>
        <w:pStyle w:val="Paragrafi"/>
        <w:rPr>
          <w:rFonts w:cs="Times New Roman"/>
          <w:bCs/>
          <w:sz w:val="21"/>
          <w:szCs w:val="21"/>
          <w:lang w:val="sq-AL"/>
        </w:rPr>
      </w:pPr>
      <w:r>
        <w:rPr>
          <w:rFonts w:cs="Times New Roman"/>
          <w:sz w:val="21"/>
          <w:szCs w:val="21"/>
          <w:lang w:val="sq-AL"/>
        </w:rPr>
        <w:t>Për këto mjete AAPSK-ja kryen procedurat e nevojshme për rihedhje në qarkullim apo shitje dhe detyrimi për taksën vjetore të mjeteve të përdorura lind në momentin e pajisjes së tyre me lejen e re të qarkullimit, pavarësisht se cili është pronari i tyre.”.</w:t>
      </w:r>
    </w:p>
    <w:p w:rsidR="001B16D9" w:rsidRDefault="001B16D9" w:rsidP="001B16D9">
      <w:pPr>
        <w:pStyle w:val="Paragrafi"/>
        <w:rPr>
          <w:sz w:val="21"/>
          <w:szCs w:val="21"/>
          <w:lang w:val="sq-AL"/>
        </w:rPr>
      </w:pPr>
      <w:r>
        <w:rPr>
          <w:sz w:val="21"/>
          <w:szCs w:val="21"/>
          <w:lang w:val="sq-AL"/>
        </w:rPr>
        <w:t>Ky udhëzim hyn në fuqi menjëherë dhe botohet në Fletoren Zyrtare.</w:t>
      </w:r>
    </w:p>
    <w:p w:rsidR="001B16D9" w:rsidRDefault="001B16D9" w:rsidP="001B16D9">
      <w:pPr>
        <w:pStyle w:val="Paragrafi"/>
        <w:tabs>
          <w:tab w:val="left" w:pos="6085"/>
        </w:tabs>
        <w:rPr>
          <w:sz w:val="21"/>
          <w:szCs w:val="21"/>
          <w:lang w:val="sq-AL"/>
        </w:rPr>
      </w:pPr>
      <w:r>
        <w:rPr>
          <w:sz w:val="21"/>
          <w:szCs w:val="21"/>
          <w:lang w:val="sq-AL"/>
        </w:rPr>
        <w:tab/>
      </w:r>
    </w:p>
    <w:p w:rsidR="001B16D9" w:rsidRDefault="001B16D9" w:rsidP="001B16D9">
      <w:pPr>
        <w:pStyle w:val="Autoriteti"/>
        <w:keepNext w:val="0"/>
        <w:rPr>
          <w:sz w:val="21"/>
          <w:szCs w:val="21"/>
          <w:lang w:val="sq-AL"/>
        </w:rPr>
      </w:pPr>
      <w:r>
        <w:rPr>
          <w:sz w:val="21"/>
          <w:szCs w:val="21"/>
          <w:lang w:val="sq-AL"/>
        </w:rPr>
        <w:t>Ministri i Financave</w:t>
      </w:r>
    </w:p>
    <w:p w:rsidR="001B16D9" w:rsidRDefault="001B16D9" w:rsidP="001B16D9">
      <w:pPr>
        <w:pStyle w:val="AutoritetiEmer"/>
        <w:rPr>
          <w:sz w:val="21"/>
          <w:szCs w:val="21"/>
          <w:lang w:val="sq-AL"/>
        </w:rPr>
      </w:pPr>
      <w:r>
        <w:rPr>
          <w:sz w:val="21"/>
          <w:szCs w:val="21"/>
          <w:lang w:val="sq-AL"/>
        </w:rPr>
        <w:t>Ridvan Bode</w:t>
      </w:r>
    </w:p>
    <w:p w:rsidR="00B655D0" w:rsidRDefault="00B655D0"/>
    <w:sectPr w:rsidR="00B655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D9"/>
    <w:rsid w:val="001B16D9"/>
    <w:rsid w:val="00B6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C8F78-DEF6-46E1-AE33-30BFD7BCE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6D9"/>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1B16D9"/>
    <w:rPr>
      <w:rFonts w:ascii="CG Times" w:hAnsi="CG Times" w:cs="CG Times"/>
      <w:b/>
      <w:bCs/>
      <w:caps/>
      <w:color w:val="000000"/>
      <w:lang w:val="en-GB"/>
    </w:rPr>
  </w:style>
  <w:style w:type="paragraph" w:customStyle="1" w:styleId="Akti">
    <w:name w:val="Akti"/>
    <w:link w:val="AktiChar"/>
    <w:rsid w:val="001B16D9"/>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1B16D9"/>
    <w:rPr>
      <w:rFonts w:ascii="CG Times" w:hAnsi="CG Times" w:cs="CG Times"/>
      <w:caps/>
      <w:lang w:val="en-GB"/>
    </w:rPr>
  </w:style>
  <w:style w:type="paragraph" w:customStyle="1" w:styleId="Autoriteti">
    <w:name w:val="Autoriteti"/>
    <w:next w:val="Normal"/>
    <w:link w:val="AutoritetiChar"/>
    <w:rsid w:val="001B16D9"/>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1B16D9"/>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1B16D9"/>
    <w:rPr>
      <w:rFonts w:ascii="CG Times" w:hAnsi="CG Times" w:cs="CG Times"/>
      <w:b/>
      <w:bCs/>
      <w:lang w:val="en-GB"/>
    </w:rPr>
  </w:style>
  <w:style w:type="paragraph" w:customStyle="1" w:styleId="NumriData">
    <w:name w:val="Numri_Data"/>
    <w:next w:val="Normal"/>
    <w:link w:val="NumriDataChar"/>
    <w:rsid w:val="001B16D9"/>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1B16D9"/>
    <w:rPr>
      <w:rFonts w:ascii="CG Times" w:hAnsi="CG Times" w:cs="CG Times"/>
    </w:rPr>
  </w:style>
  <w:style w:type="paragraph" w:customStyle="1" w:styleId="Paragrafi">
    <w:name w:val="Paragrafi"/>
    <w:link w:val="ParagrafiChar"/>
    <w:rsid w:val="001B16D9"/>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1B16D9"/>
    <w:rPr>
      <w:rFonts w:ascii="CG Times" w:hAnsi="CG Times" w:cs="CG Times"/>
      <w:b/>
      <w:bCs/>
      <w:caps/>
      <w:lang w:val="en-GB"/>
    </w:rPr>
  </w:style>
  <w:style w:type="paragraph" w:customStyle="1" w:styleId="Titulli">
    <w:name w:val="Titulli"/>
    <w:next w:val="Normal"/>
    <w:link w:val="TitulliChar"/>
    <w:rsid w:val="001B16D9"/>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1B16D9"/>
    <w:rPr>
      <w:rFonts w:ascii="CG Times" w:hAnsi="CG Times" w:cs="CG Times"/>
      <w:caps/>
      <w:lang w:val="en-GB"/>
    </w:rPr>
  </w:style>
  <w:style w:type="paragraph" w:customStyle="1" w:styleId="VENDOSI">
    <w:name w:val="VENDOSI"/>
    <w:next w:val="Normal"/>
    <w:link w:val="VENDOSIChar"/>
    <w:rsid w:val="001B16D9"/>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46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1552</Words>
  <Characters>8852</Characters>
  <Application>Microsoft Office Word</Application>
  <DocSecurity>0</DocSecurity>
  <Lines>73</Lines>
  <Paragraphs>20</Paragraphs>
  <ScaleCrop>false</ScaleCrop>
  <Company/>
  <LinksUpToDate>false</LinksUpToDate>
  <CharactersWithSpaces>10384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2019-01-29T09:31:00Z</dcterms:created>
  <dcterms:modified xsi:type="dcterms:W3CDTF">2019-01-29T09:32:00Z</dcterms:modified>
</cp:coreProperties>
</file>