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6F3" w:rsidRPr="00EA10F6" w:rsidRDefault="00A026F3" w:rsidP="00A026F3">
      <w:pPr>
        <w:pStyle w:val="Akti"/>
        <w:rPr>
          <w:lang w:val="sq-AL"/>
        </w:rPr>
      </w:pPr>
      <w:bookmarkStart w:id="0" w:name="_GoBack"/>
      <w:bookmarkEnd w:id="0"/>
      <w:r w:rsidRPr="00EA10F6">
        <w:rPr>
          <w:lang w:val="sq-AL"/>
        </w:rPr>
        <w:t>UDHËZIM</w:t>
      </w:r>
    </w:p>
    <w:p w:rsidR="00A026F3" w:rsidRPr="00EA10F6" w:rsidRDefault="00A026F3" w:rsidP="00A026F3">
      <w:pPr>
        <w:pStyle w:val="NumriData"/>
        <w:rPr>
          <w:lang w:val="sq-AL"/>
        </w:rPr>
      </w:pPr>
      <w:r w:rsidRPr="00EA10F6">
        <w:rPr>
          <w:lang w:val="sq-AL"/>
        </w:rPr>
        <w:t>Nr.</w:t>
      </w:r>
      <w:r>
        <w:rPr>
          <w:lang w:val="sq-AL"/>
        </w:rPr>
        <w:t xml:space="preserve"> </w:t>
      </w:r>
      <w:r w:rsidRPr="00EA10F6">
        <w:rPr>
          <w:lang w:val="sq-AL"/>
        </w:rPr>
        <w:t xml:space="preserve">19, datë </w:t>
      </w:r>
      <w:r>
        <w:rPr>
          <w:lang w:val="sq-AL"/>
        </w:rPr>
        <w:t>1</w:t>
      </w:r>
      <w:r w:rsidRPr="00EA10F6">
        <w:rPr>
          <w:lang w:val="sq-AL"/>
        </w:rPr>
        <w:t>7.6.2013</w:t>
      </w: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Titulli"/>
        <w:rPr>
          <w:lang w:val="sq-AL"/>
        </w:rPr>
      </w:pPr>
      <w:r w:rsidRPr="00EA10F6">
        <w:rPr>
          <w:lang w:val="sq-AL"/>
        </w:rPr>
        <w:t>PËR SHTESA DHE NDRYSHIME NË UDHËZIMIN NR.</w:t>
      </w:r>
      <w:r>
        <w:rPr>
          <w:lang w:val="sq-AL"/>
        </w:rPr>
        <w:t xml:space="preserve"> </w:t>
      </w:r>
      <w:r w:rsidRPr="00EA10F6">
        <w:rPr>
          <w:lang w:val="sq-AL"/>
        </w:rPr>
        <w:t>4, DATË 19.1.2009 “PËR PËRCAKTIMIN E FONDIT TË NGURTËSIMIT PËR GARANCINË E FITUESIT/FITUESVE NË LOJËRAT E FATIT”</w:t>
      </w: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 xml:space="preserve">Në mbështetje të nenit 102, pika 4 të Kushtetutës së Republikës së Shqipërisë dhe në zbatim të nenit 42 të ligjit nr. 10 033, datë 11.12.2008 “Për lojërat e fatit”, të </w:t>
      </w:r>
      <w:r>
        <w:rPr>
          <w:lang w:val="sq-AL"/>
        </w:rPr>
        <w:t>ndryshuar, Ministri i Financave</w:t>
      </w: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VENDOSI"/>
        <w:rPr>
          <w:lang w:val="sq-AL"/>
        </w:rPr>
      </w:pPr>
      <w:r w:rsidRPr="00EA10F6">
        <w:rPr>
          <w:lang w:val="sq-AL"/>
        </w:rPr>
        <w:t>UDHËZON:</w:t>
      </w: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Në udhëzimin nr.</w:t>
      </w:r>
      <w:r>
        <w:rPr>
          <w:lang w:val="sq-AL"/>
        </w:rPr>
        <w:t xml:space="preserve"> </w:t>
      </w:r>
      <w:r w:rsidRPr="00EA10F6">
        <w:rPr>
          <w:lang w:val="sq-AL"/>
        </w:rPr>
        <w:t>4, datë 19.1.2009 “Për përcaktimin e fondit të ngurtësimit për garancinë e fituesit/fituesve në lojërat e fatit”, bëhen këto shtesa e ndryshime: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1. Pika 1 ndryshohet si vijon:</w:t>
      </w:r>
    </w:p>
    <w:p w:rsidR="00A026F3" w:rsidRPr="00EA10F6" w:rsidRDefault="00A026F3" w:rsidP="00A026F3">
      <w:pPr>
        <w:pStyle w:val="Paragrafi"/>
        <w:rPr>
          <w:lang w:val="sq-AL"/>
        </w:rPr>
      </w:pPr>
      <w:r>
        <w:rPr>
          <w:lang w:val="sq-AL"/>
        </w:rPr>
        <w:t>“</w:t>
      </w:r>
      <w:r w:rsidRPr="00EA10F6">
        <w:rPr>
          <w:lang w:val="sq-AL"/>
        </w:rPr>
        <w:t>1. Për çdo sallë bingo, organizatori duhet të garantojë</w:t>
      </w:r>
      <w:r>
        <w:rPr>
          <w:lang w:val="sq-AL"/>
        </w:rPr>
        <w:t>,</w:t>
      </w:r>
      <w:r w:rsidRPr="00EA10F6">
        <w:rPr>
          <w:lang w:val="sq-AL"/>
        </w:rPr>
        <w:t xml:space="preserve"> për çdo lojë, fituesin/fituesit e lojërave të fatit, me kapitalin themeltar të shoqërisë,</w:t>
      </w:r>
      <w:r>
        <w:rPr>
          <w:lang w:val="sq-AL"/>
        </w:rPr>
        <w:t xml:space="preserve"> si dhe me fondin e ngurtësimit: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a) Për sallat në rrethet e kategorisë së parë</w:t>
      </w:r>
      <w:r>
        <w:rPr>
          <w:lang w:val="sq-AL"/>
        </w:rPr>
        <w:t>,</w:t>
      </w:r>
      <w:r w:rsidRPr="00EA10F6">
        <w:rPr>
          <w:lang w:val="sq-AL"/>
        </w:rPr>
        <w:t xml:space="preserve"> në masën 2 000 000 (dy milionë) lekë;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b) Për sallat në rrethet e kategorisë së dytë</w:t>
      </w:r>
      <w:r>
        <w:rPr>
          <w:lang w:val="sq-AL"/>
        </w:rPr>
        <w:t>,</w:t>
      </w:r>
      <w:r w:rsidRPr="00EA10F6">
        <w:rPr>
          <w:lang w:val="sq-AL"/>
        </w:rPr>
        <w:t xml:space="preserve"> në masën 1 500 000 (një milion e pesëqind mijë) lekë.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c) Për sallat në rrethet e kategorisë së tretë</w:t>
      </w:r>
      <w:r>
        <w:rPr>
          <w:lang w:val="sq-AL"/>
        </w:rPr>
        <w:t>,</w:t>
      </w:r>
      <w:r w:rsidRPr="00EA10F6">
        <w:rPr>
          <w:lang w:val="sq-AL"/>
        </w:rPr>
        <w:t xml:space="preserve"> në masën 1 000 000 (një milion) lekë.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 xml:space="preserve">Organizatori mund të kërkojë çngurtësimin e pjesshëm për shumën e fondit të garancisë për fituesit, në përputhje me përkatësinë e sallës me njërën nga kategoritë e parashikuara në pikat </w:t>
      </w:r>
      <w:r>
        <w:rPr>
          <w:lang w:val="sq-AL"/>
        </w:rPr>
        <w:t>“</w:t>
      </w:r>
      <w:r w:rsidRPr="00EA10F6">
        <w:rPr>
          <w:lang w:val="sq-AL"/>
        </w:rPr>
        <w:t>a</w:t>
      </w:r>
      <w:r>
        <w:rPr>
          <w:lang w:val="sq-AL"/>
        </w:rPr>
        <w:t>”</w:t>
      </w:r>
      <w:r w:rsidRPr="00EA10F6">
        <w:rPr>
          <w:lang w:val="sq-AL"/>
        </w:rPr>
        <w:t xml:space="preserve">, </w:t>
      </w:r>
      <w:r>
        <w:rPr>
          <w:lang w:val="sq-AL"/>
        </w:rPr>
        <w:t>“</w:t>
      </w:r>
      <w:r w:rsidRPr="00EA10F6">
        <w:rPr>
          <w:lang w:val="sq-AL"/>
        </w:rPr>
        <w:t>b</w:t>
      </w:r>
      <w:r>
        <w:rPr>
          <w:lang w:val="sq-AL"/>
        </w:rPr>
        <w:t>”</w:t>
      </w:r>
      <w:r w:rsidRPr="00EA10F6">
        <w:rPr>
          <w:lang w:val="sq-AL"/>
        </w:rPr>
        <w:t xml:space="preserve"> apo </w:t>
      </w:r>
      <w:r>
        <w:rPr>
          <w:lang w:val="sq-AL"/>
        </w:rPr>
        <w:t>“</w:t>
      </w:r>
      <w:r w:rsidRPr="00EA10F6">
        <w:rPr>
          <w:lang w:val="sq-AL"/>
        </w:rPr>
        <w:t>c</w:t>
      </w:r>
      <w:r>
        <w:rPr>
          <w:lang w:val="sq-AL"/>
        </w:rPr>
        <w:t>”</w:t>
      </w:r>
      <w:r w:rsidRPr="00EA10F6">
        <w:rPr>
          <w:lang w:val="sq-AL"/>
        </w:rPr>
        <w:t>.</w:t>
      </w:r>
      <w:r>
        <w:rPr>
          <w:lang w:val="sq-AL"/>
        </w:rPr>
        <w:t>”.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2. Në fund të pikës 4 shtohet fjalia me këtë përmbajtje: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“Për kazinotë elektronike në distancë, fondi i ngurtësimit të jetë në masën 200 000 000 (dyqind milion</w:t>
      </w:r>
      <w:r>
        <w:rPr>
          <w:lang w:val="sq-AL"/>
        </w:rPr>
        <w:t>ë</w:t>
      </w:r>
      <w:r w:rsidRPr="00EA10F6">
        <w:rPr>
          <w:lang w:val="sq-AL"/>
        </w:rPr>
        <w:t>) lekë.”</w:t>
      </w:r>
      <w:r>
        <w:rPr>
          <w:lang w:val="sq-AL"/>
        </w:rPr>
        <w:t>.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3. Në fund të pikës 5 shtohet fjalia me këtë përmbajtje: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“Në rast se shoqëria</w:t>
      </w:r>
      <w:r>
        <w:rPr>
          <w:lang w:val="sq-AL"/>
        </w:rPr>
        <w:t>,</w:t>
      </w:r>
      <w:r w:rsidRPr="00EA10F6">
        <w:rPr>
          <w:lang w:val="sq-AL"/>
        </w:rPr>
        <w:t xml:space="preserve"> edhe pse e ka bllokuar fondin e garancisë, nuk është pajisur me leje, zhbllokimi i këtij fondi bëhet nga Ministri i Financave pas propozimit të NJMLF-së.”</w:t>
      </w:r>
      <w:r>
        <w:rPr>
          <w:lang w:val="sq-AL"/>
        </w:rPr>
        <w:t>.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4. Në fund të pikës 6 shtohet fjalia me këtë përmbajtje: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“Për kazinotë elektronike në distancë, garancia duhet të jetë sipas formatit bashkëlidhur këtij udhëzimi si pjesë përbërëse e tij</w:t>
      </w:r>
      <w:r>
        <w:rPr>
          <w:lang w:val="sq-AL"/>
        </w:rPr>
        <w:t>.</w:t>
      </w:r>
      <w:r w:rsidRPr="00EA10F6">
        <w:rPr>
          <w:lang w:val="sq-AL"/>
        </w:rPr>
        <w:t>”</w:t>
      </w:r>
      <w:r>
        <w:rPr>
          <w:lang w:val="sq-AL"/>
        </w:rPr>
        <w:t>.</w:t>
      </w:r>
    </w:p>
    <w:p w:rsidR="00A026F3" w:rsidRPr="00EA10F6" w:rsidRDefault="00A026F3" w:rsidP="00A026F3">
      <w:pPr>
        <w:pStyle w:val="Paragrafi"/>
        <w:rPr>
          <w:lang w:val="sq-AL"/>
        </w:rPr>
      </w:pPr>
      <w:r w:rsidRPr="00EA10F6">
        <w:rPr>
          <w:lang w:val="sq-AL"/>
        </w:rPr>
        <w:t>Ky udhëzim hyn në fuqi menjëherë dhe botohet në Fletoren Zyrtare.</w:t>
      </w: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Autoriteti"/>
        <w:rPr>
          <w:lang w:val="sq-AL"/>
        </w:rPr>
      </w:pPr>
      <w:r w:rsidRPr="00EA10F6">
        <w:rPr>
          <w:lang w:val="sq-AL"/>
        </w:rPr>
        <w:t>MINISTRI I FINANCAVE</w:t>
      </w:r>
    </w:p>
    <w:p w:rsidR="00A026F3" w:rsidRPr="00EA10F6" w:rsidRDefault="00A026F3" w:rsidP="00A026F3">
      <w:pPr>
        <w:pStyle w:val="AutoritetiEmer"/>
        <w:rPr>
          <w:lang w:val="sq-AL"/>
        </w:rPr>
      </w:pPr>
      <w:r w:rsidRPr="00EA10F6">
        <w:rPr>
          <w:lang w:val="sq-AL"/>
        </w:rPr>
        <w:t>Ridvan Bode</w:t>
      </w: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p w:rsidR="00A026F3" w:rsidRPr="00EA10F6" w:rsidRDefault="00A026F3" w:rsidP="00A026F3">
      <w:pPr>
        <w:pStyle w:val="Paragrafi"/>
        <w:rPr>
          <w:lang w:val="sq-AL"/>
        </w:rPr>
      </w:pPr>
    </w:p>
    <w:sectPr w:rsidR="00A026F3" w:rsidRPr="00EA10F6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26F3"/>
    <w:rsid w:val="00486362"/>
    <w:rsid w:val="00772FC4"/>
    <w:rsid w:val="00A0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123597-D9B7-4770-8585-0FC514D7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3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26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A026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A026F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026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26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026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026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026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A026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026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A026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026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026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