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29EC" w:rsidRPr="00AC7C99" w:rsidRDefault="00AF29EC" w:rsidP="00AF29EC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C7C99">
        <w:rPr>
          <w:sz w:val="21"/>
          <w:szCs w:val="21"/>
          <w:lang w:val="sq-AL"/>
        </w:rPr>
        <w:t>UDHËZIM</w:t>
      </w:r>
    </w:p>
    <w:p w:rsidR="00AF29EC" w:rsidRPr="00AC7C99" w:rsidRDefault="00AF29EC" w:rsidP="00AF29EC">
      <w:pPr>
        <w:pStyle w:val="NumriData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Nr. 8, datë 29.7.2013</w:t>
      </w:r>
    </w:p>
    <w:p w:rsidR="00AF29EC" w:rsidRPr="00AC7C99" w:rsidRDefault="00AF29EC" w:rsidP="00AF29EC">
      <w:pPr>
        <w:pStyle w:val="Paragrafi"/>
        <w:rPr>
          <w:sz w:val="21"/>
          <w:szCs w:val="21"/>
          <w:lang w:val="sq-AL"/>
        </w:rPr>
      </w:pPr>
    </w:p>
    <w:p w:rsidR="00AF29EC" w:rsidRPr="00AC7C99" w:rsidRDefault="00AF29EC" w:rsidP="00AF29EC">
      <w:pPr>
        <w:pStyle w:val="Titull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Për shpenzimet që kryhen nga komuna/bashkia për përgatitjen e dokumentacionit të marrjes së tokës bujqësore në pronësi në fshatrat e ish-kooperativat bujqësore</w:t>
      </w:r>
    </w:p>
    <w:p w:rsidR="00AF29EC" w:rsidRPr="00AC7C99" w:rsidRDefault="00AF29EC" w:rsidP="00AF29EC">
      <w:pPr>
        <w:pStyle w:val="Paragrafi"/>
        <w:rPr>
          <w:sz w:val="21"/>
          <w:szCs w:val="21"/>
          <w:lang w:val="sq-AL"/>
        </w:rPr>
      </w:pPr>
    </w:p>
    <w:p w:rsidR="00AF29EC" w:rsidRPr="00AC7C99" w:rsidRDefault="00AF29EC" w:rsidP="00AF29EC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Në mbështetje të nenit 102 pika 4 të Kushtetutës dhe të vendimit të Këshillit të Ministrave nr. 253, datë 6.3.2013 “Për përcaktimin e procedurave të plotësimit të akteve të marrjes së tokës bujqësore në pronësi për familjet bujqësore në fshatrat e ish-ko</w:t>
      </w:r>
      <w:r>
        <w:rPr>
          <w:sz w:val="21"/>
          <w:szCs w:val="21"/>
          <w:lang w:val="sq-AL"/>
        </w:rPr>
        <w:t>o</w:t>
      </w:r>
      <w:r w:rsidRPr="00AC7C99">
        <w:rPr>
          <w:sz w:val="21"/>
          <w:szCs w:val="21"/>
          <w:lang w:val="sq-AL"/>
        </w:rPr>
        <w:t>perativave bujqësore”,</w:t>
      </w:r>
    </w:p>
    <w:p w:rsidR="00AF29EC" w:rsidRPr="00AC7C99" w:rsidRDefault="00AF29EC" w:rsidP="00AF29EC">
      <w:pPr>
        <w:pStyle w:val="Paragrafi"/>
        <w:rPr>
          <w:sz w:val="21"/>
          <w:szCs w:val="21"/>
          <w:lang w:val="sq-AL"/>
        </w:rPr>
      </w:pPr>
    </w:p>
    <w:p w:rsidR="00AF29EC" w:rsidRPr="00AC7C99" w:rsidRDefault="00AF29EC" w:rsidP="00AF29EC">
      <w:pPr>
        <w:pStyle w:val="VENDOS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Udhëzojmë:</w:t>
      </w:r>
    </w:p>
    <w:p w:rsidR="00AF29EC" w:rsidRPr="00AC7C99" w:rsidRDefault="00AF29EC" w:rsidP="00AF29EC">
      <w:pPr>
        <w:pStyle w:val="Paragrafi"/>
        <w:rPr>
          <w:sz w:val="21"/>
          <w:szCs w:val="21"/>
          <w:lang w:val="sq-AL"/>
        </w:rPr>
      </w:pPr>
    </w:p>
    <w:p w:rsidR="00AF29EC" w:rsidRPr="00AC7C99" w:rsidRDefault="00AF29EC" w:rsidP="00AF29EC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1. Shpenzimet që përballohen nga komuna/bashkia për përgatitjen e planvendosjes së ngastrës/ave, nga subjekt i licencuar i angazhuar nga komuna/bashkia, për rastet kur planvendosja nuk është paraqitur nga përdoruesit faktik të tokës bujqësore, janë 3000-5000 (tre mijë-pesë mijë) lekë/dynymë.</w:t>
      </w:r>
    </w:p>
    <w:p w:rsidR="00AF29EC" w:rsidRPr="00AC7C99" w:rsidRDefault="00AF29EC" w:rsidP="00AF29EC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2. Ky udhëzim hyn në fuqi pas botimit në Fletoren Zyrtare.</w:t>
      </w:r>
    </w:p>
    <w:p w:rsidR="00AF29EC" w:rsidRPr="00AC7C99" w:rsidRDefault="00AF29EC" w:rsidP="00AF29EC">
      <w:pPr>
        <w:pStyle w:val="Paragrafi"/>
        <w:jc w:val="center"/>
        <w:rPr>
          <w:sz w:val="21"/>
          <w:szCs w:val="21"/>
          <w:lang w:val="sq-AL"/>
        </w:rPr>
      </w:pPr>
    </w:p>
    <w:p w:rsidR="00AF29EC" w:rsidRPr="00AC7C99" w:rsidRDefault="00AF29EC" w:rsidP="00AF29EC">
      <w:pPr>
        <w:pStyle w:val="Paragrafi"/>
        <w:jc w:val="center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MINISTRI I BUJQËSISË, USHQIMIT</w:t>
      </w:r>
      <w:r w:rsidRPr="00AC7C99">
        <w:rPr>
          <w:sz w:val="21"/>
          <w:szCs w:val="21"/>
          <w:lang w:val="sq-AL"/>
        </w:rPr>
        <w:tab/>
      </w:r>
      <w:r w:rsidRPr="00AC7C99">
        <w:rPr>
          <w:sz w:val="21"/>
          <w:szCs w:val="21"/>
          <w:lang w:val="sq-AL"/>
        </w:rPr>
        <w:tab/>
      </w:r>
      <w:r w:rsidRPr="00AC7C99">
        <w:rPr>
          <w:sz w:val="21"/>
          <w:szCs w:val="21"/>
          <w:lang w:val="sq-AL"/>
        </w:rPr>
        <w:tab/>
      </w:r>
      <w:r w:rsidRPr="00AC7C99">
        <w:rPr>
          <w:sz w:val="21"/>
          <w:szCs w:val="21"/>
          <w:lang w:val="sq-AL"/>
        </w:rPr>
        <w:tab/>
        <w:t>MINISTRI I FINANCAVE</w:t>
      </w:r>
    </w:p>
    <w:p w:rsidR="00AF29EC" w:rsidRPr="00AC7C99" w:rsidRDefault="00AF29EC" w:rsidP="00AF29EC">
      <w:pPr>
        <w:pStyle w:val="Paragrafi"/>
        <w:rPr>
          <w:sz w:val="21"/>
          <w:szCs w:val="21"/>
          <w:lang w:val="sq-AL"/>
        </w:rPr>
      </w:pPr>
      <w:r w:rsidRPr="00AC7C99">
        <w:rPr>
          <w:sz w:val="21"/>
          <w:szCs w:val="21"/>
          <w:lang w:val="sq-AL"/>
        </w:rPr>
        <w:t>DHE MBROJTJES SË KONSUMATORIT</w:t>
      </w:r>
    </w:p>
    <w:p w:rsidR="00AF29EC" w:rsidRPr="00AC7C99" w:rsidRDefault="00AF29EC" w:rsidP="00AF29EC">
      <w:pPr>
        <w:pStyle w:val="Paragrafi"/>
        <w:ind w:left="720"/>
        <w:rPr>
          <w:b/>
          <w:sz w:val="21"/>
          <w:szCs w:val="21"/>
          <w:lang w:val="sq-AL"/>
        </w:rPr>
      </w:pPr>
      <w:r w:rsidRPr="00AC7C99">
        <w:rPr>
          <w:b/>
          <w:sz w:val="21"/>
          <w:szCs w:val="21"/>
          <w:lang w:val="sq-AL"/>
        </w:rPr>
        <w:t>Gen</w:t>
      </w:r>
      <w:r>
        <w:rPr>
          <w:b/>
          <w:sz w:val="21"/>
          <w:szCs w:val="21"/>
          <w:lang w:val="sq-AL"/>
        </w:rPr>
        <w:t>c</w:t>
      </w:r>
      <w:r w:rsidRPr="00AC7C99">
        <w:rPr>
          <w:b/>
          <w:sz w:val="21"/>
          <w:szCs w:val="21"/>
          <w:lang w:val="sq-AL"/>
        </w:rPr>
        <w:t xml:space="preserve"> Ruli</w:t>
      </w:r>
      <w:r w:rsidRPr="00AC7C99">
        <w:rPr>
          <w:b/>
          <w:sz w:val="21"/>
          <w:szCs w:val="21"/>
          <w:lang w:val="sq-AL"/>
        </w:rPr>
        <w:tab/>
      </w:r>
      <w:r w:rsidRPr="00AC7C99">
        <w:rPr>
          <w:b/>
          <w:sz w:val="21"/>
          <w:szCs w:val="21"/>
          <w:lang w:val="sq-AL"/>
        </w:rPr>
        <w:tab/>
      </w:r>
      <w:r w:rsidRPr="00AC7C99">
        <w:rPr>
          <w:b/>
          <w:sz w:val="21"/>
          <w:szCs w:val="21"/>
          <w:lang w:val="sq-AL"/>
        </w:rPr>
        <w:tab/>
      </w:r>
      <w:r w:rsidRPr="00AC7C99">
        <w:rPr>
          <w:b/>
          <w:sz w:val="21"/>
          <w:szCs w:val="21"/>
          <w:lang w:val="sq-AL"/>
        </w:rPr>
        <w:tab/>
      </w:r>
      <w:r w:rsidRPr="00AC7C99">
        <w:rPr>
          <w:b/>
          <w:sz w:val="21"/>
          <w:szCs w:val="21"/>
          <w:lang w:val="sq-AL"/>
        </w:rPr>
        <w:tab/>
      </w:r>
      <w:r w:rsidRPr="00AC7C99">
        <w:rPr>
          <w:b/>
          <w:sz w:val="21"/>
          <w:szCs w:val="21"/>
          <w:lang w:val="sq-AL"/>
        </w:rPr>
        <w:tab/>
      </w:r>
      <w:r w:rsidRPr="00AC7C99">
        <w:rPr>
          <w:b/>
          <w:sz w:val="21"/>
          <w:szCs w:val="21"/>
          <w:lang w:val="sq-AL"/>
        </w:rPr>
        <w:tab/>
        <w:t>Ridvan Bode</w:t>
      </w:r>
    </w:p>
    <w:sectPr w:rsidR="00AF29EC" w:rsidRPr="00AC7C99" w:rsidSect="00C808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29EC"/>
    <w:rsid w:val="00502C7A"/>
    <w:rsid w:val="00AF29EC"/>
    <w:rsid w:val="00C8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0F580B-B6E6-4C3D-81D0-513CBE748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081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29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F29E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29E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F29E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F29E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F29E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F29E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F29E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29E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F29E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