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8D0" w:rsidRPr="00826FCD" w:rsidRDefault="004768D0" w:rsidP="004768D0">
      <w:pPr>
        <w:pStyle w:val="Akti"/>
        <w:keepNext w:val="0"/>
        <w:rPr>
          <w:lang w:val="sq-AL"/>
        </w:rPr>
      </w:pPr>
      <w:bookmarkStart w:id="0" w:name="_GoBack"/>
      <w:bookmarkEnd w:id="0"/>
      <w:r w:rsidRPr="00826FCD">
        <w:rPr>
          <w:lang w:val="sq-AL"/>
        </w:rPr>
        <w:t>Udhëzim</w:t>
      </w:r>
    </w:p>
    <w:p w:rsidR="004768D0" w:rsidRPr="00826FCD" w:rsidRDefault="004768D0" w:rsidP="004768D0">
      <w:pPr>
        <w:pStyle w:val="NumriData"/>
        <w:keepNext w:val="0"/>
        <w:rPr>
          <w:lang w:val="sq-AL"/>
        </w:rPr>
      </w:pPr>
      <w:r w:rsidRPr="00826FCD">
        <w:rPr>
          <w:lang w:val="sq-AL"/>
        </w:rPr>
        <w:t>Nr. 27, datë 25.11.2013</w:t>
      </w: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Titulli"/>
        <w:keepNext w:val="0"/>
        <w:rPr>
          <w:lang w:val="sq-AL"/>
        </w:rPr>
      </w:pPr>
      <w:r w:rsidRPr="00826FCD">
        <w:rPr>
          <w:lang w:val="sq-AL"/>
        </w:rPr>
        <w:t xml:space="preserve">Për formatin e formularit të deklarimit dhe pagesës së tatimit </w:t>
      </w:r>
    </w:p>
    <w:p w:rsidR="004768D0" w:rsidRPr="00826FCD" w:rsidRDefault="004768D0" w:rsidP="004768D0">
      <w:pPr>
        <w:pStyle w:val="Titulli"/>
        <w:keepNext w:val="0"/>
        <w:rPr>
          <w:lang w:val="sq-AL"/>
        </w:rPr>
      </w:pPr>
      <w:r w:rsidRPr="00826FCD">
        <w:rPr>
          <w:lang w:val="sq-AL"/>
        </w:rPr>
        <w:t>mbi lojërat e fatit</w:t>
      </w: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  <w:r w:rsidRPr="00826FCD">
        <w:rPr>
          <w:lang w:val="sq-AL"/>
        </w:rPr>
        <w:t>Në mbështetje të pikës 4 të nenit 102 të Kushtetutës së Republikës së Shqipërisë, të nenit 64, pika 4 të ligjit nr. 9920, datë 19.5.2008 “Për procedurat tatimore në Republikën e Shqipërisë”, të ndryshuar, ministri i Financave</w:t>
      </w: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VENDOSI"/>
        <w:keepNext w:val="0"/>
        <w:rPr>
          <w:lang w:val="sq-AL"/>
        </w:rPr>
      </w:pPr>
      <w:r w:rsidRPr="00826FCD">
        <w:rPr>
          <w:lang w:val="sq-AL"/>
        </w:rPr>
        <w:t>Udhëzon:</w:t>
      </w: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  <w:r w:rsidRPr="00826FCD">
        <w:rPr>
          <w:lang w:val="sq-AL"/>
        </w:rPr>
        <w:t>1. Miratimin e formularit të deklarimit dhe pagesës së tatimit mbi lojërat e fatit, sipas formatit bashkëlidhur këtij udhëzimi.</w:t>
      </w:r>
    </w:p>
    <w:p w:rsidR="004768D0" w:rsidRPr="00826FCD" w:rsidRDefault="004768D0" w:rsidP="004768D0">
      <w:pPr>
        <w:pStyle w:val="Paragrafi"/>
        <w:rPr>
          <w:lang w:val="sq-AL"/>
        </w:rPr>
      </w:pPr>
      <w:r w:rsidRPr="00826FCD">
        <w:rPr>
          <w:lang w:val="sq-AL"/>
        </w:rPr>
        <w:t>2. Formati i formularit përmbledh dy fletë formati me dimension A4. Formatit të formularit i bashkëlidhet udhëzuesi sqarues, i cili përmbledh 2 fletë formati me dimension A4. Formati i formularit dhe udhëzuesi sqarues shtypen në 2 kopje, ku secila kopje e udhëzuesit sqarues i bashkëlidhet çdo kopjeje të formatit të formularit.</w:t>
      </w:r>
    </w:p>
    <w:p w:rsidR="004768D0" w:rsidRPr="00826FCD" w:rsidRDefault="004768D0" w:rsidP="004768D0">
      <w:pPr>
        <w:pStyle w:val="Paragrafi"/>
        <w:rPr>
          <w:lang w:val="sq-AL"/>
        </w:rPr>
      </w:pPr>
      <w:r w:rsidRPr="00826FCD">
        <w:rPr>
          <w:lang w:val="sq-AL"/>
        </w:rPr>
        <w:t>3. Udhëzimi i ministrit të Financave nr. 3, datë 2.2.2010 “Për formatin e formularit të deklarimit dhe pagesës së tatimit mbi lojërat e fatit”, shfuqizohet.</w:t>
      </w:r>
    </w:p>
    <w:p w:rsidR="004768D0" w:rsidRPr="00826FCD" w:rsidRDefault="004768D0" w:rsidP="004768D0">
      <w:pPr>
        <w:pStyle w:val="Paragrafi"/>
        <w:rPr>
          <w:lang w:val="sq-AL"/>
        </w:rPr>
      </w:pPr>
      <w:r w:rsidRPr="00826FCD">
        <w:rPr>
          <w:lang w:val="sq-AL"/>
        </w:rPr>
        <w:t>Ky udhëzim hyn në fuqi menjëherë dhe botohet në Fletoren Zyrtare.</w:t>
      </w: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Autoriteti"/>
        <w:keepNext w:val="0"/>
        <w:rPr>
          <w:lang w:val="sq-AL"/>
        </w:rPr>
      </w:pPr>
      <w:r w:rsidRPr="00826FCD">
        <w:rPr>
          <w:lang w:val="sq-AL"/>
        </w:rPr>
        <w:t>Ministri i Financave</w:t>
      </w:r>
    </w:p>
    <w:p w:rsidR="004768D0" w:rsidRPr="00826FCD" w:rsidRDefault="004768D0" w:rsidP="004768D0">
      <w:pPr>
        <w:pStyle w:val="AutoritetiEmer"/>
        <w:rPr>
          <w:lang w:val="sq-AL"/>
        </w:rPr>
      </w:pPr>
      <w:r w:rsidRPr="00826FCD">
        <w:rPr>
          <w:lang w:val="sq-AL"/>
        </w:rPr>
        <w:t>Shkëlqim Cani</w:t>
      </w: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4768D0" w:rsidP="004768D0">
      <w:pPr>
        <w:pStyle w:val="Paragrafi"/>
        <w:rPr>
          <w:lang w:val="sq-AL"/>
        </w:rPr>
      </w:pPr>
    </w:p>
    <w:p w:rsidR="004768D0" w:rsidRPr="00826FCD" w:rsidRDefault="003C00A5" w:rsidP="004768D0">
      <w:pPr>
        <w:pStyle w:val="Paragrafi"/>
        <w:ind w:firstLine="0"/>
        <w:jc w:val="center"/>
        <w:rPr>
          <w:lang w:val="sq-AL"/>
        </w:rPr>
      </w:pPr>
      <w:r w:rsidRPr="00550DD0">
        <w:rPr>
          <w:noProof/>
        </w:rPr>
        <w:drawing>
          <wp:inline distT="0" distB="0" distL="0" distR="0">
            <wp:extent cx="5762625" cy="8001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8D0" w:rsidRPr="00826FCD" w:rsidRDefault="003C00A5" w:rsidP="004768D0">
      <w:pPr>
        <w:pStyle w:val="Paragrafi"/>
        <w:ind w:firstLine="0"/>
        <w:jc w:val="center"/>
        <w:rPr>
          <w:lang w:val="sq-AL"/>
        </w:rPr>
      </w:pPr>
      <w:r w:rsidRPr="00550DD0">
        <w:rPr>
          <w:noProof/>
        </w:rPr>
        <w:drawing>
          <wp:inline distT="0" distB="0" distL="0" distR="0">
            <wp:extent cx="5762625" cy="4505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rPr>
          <w:lang w:val="sq-AL"/>
        </w:rPr>
      </w:pPr>
    </w:p>
    <w:p w:rsidR="004768D0" w:rsidRPr="00826FCD" w:rsidRDefault="004768D0" w:rsidP="004768D0">
      <w:pPr>
        <w:pStyle w:val="Paragrafi"/>
        <w:ind w:firstLine="0"/>
        <w:jc w:val="center"/>
        <w:rPr>
          <w:lang w:val="sq-AL"/>
        </w:rPr>
      </w:pPr>
    </w:p>
    <w:p w:rsidR="004768D0" w:rsidRPr="00826FCD" w:rsidRDefault="004768D0" w:rsidP="004768D0">
      <w:pPr>
        <w:pStyle w:val="TitulliTitull"/>
        <w:rPr>
          <w:sz w:val="20"/>
          <w:szCs w:val="20"/>
          <w:lang w:val="sq-AL"/>
        </w:rPr>
      </w:pPr>
      <w:r w:rsidRPr="00826FCD">
        <w:rPr>
          <w:sz w:val="20"/>
          <w:szCs w:val="20"/>
          <w:lang w:val="sq-AL"/>
        </w:rPr>
        <w:t>UDHËZUES PËR MËNYRËN E PLOTËSIMIT TË FORMULARIT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1. Numri serial gjenerohet nga Drejtoria Rajonale Tatimore dhe shërben për të azhurnuar regjistrimet kur paraqitet deklarata.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2. Periudha tatimore është mujore ose pjesë e muajit në rast mbyllje, të aktivitetit.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3. Numri i identifikimit të personit të tatueshëm (NIPT) është numri i dhënë nga Drejtoria Rajonale Tatimore ose Qendra Kombëtare e Regjistrimit dhe që identifikon personin e tatueshëm në të gjitha marrëdhëniet me Drejtorinë Rajonale Tatimore.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4. Emri tregtar i personit të tatueshëm është emri me të cilin paraqitet veprimtaria dhe që shënohet në certifikatën e NIPT-it.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5. Emri, mbiemri i personit fizik vendoset kur veprimtaria ekonomike kryhet nga një person fizik dhe nuk ka emër tregtar.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6. Adresa tregohet për vendin kryesor të ushtrimit të veprimtarisë. Kjo adresë është treguar edhe në certifikatën e NIPT-it.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7. Numri i telefonit (n.q.s. ka) tregon numrin e telefonit në vendin kryesor të ushtrimit të veprimtarisë ekonomike.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8. Pa veprimtari zgjidhet vetëm nëse nuk është kryer aktivitet gjatë periudhës për të cilën bëhet deklarimi. Vendosni një kryq në kutinë 8, firmoseni deklaratën dhe paraqiteni në bankë.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SEKSIONI A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I. BINGO ME PJESËMARRËS BRENDA SALLËS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[ 9] Numri i sallave në rreth të kategorisë 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[10] Kuota fikse për sallë në rreth të kategorisë I shumëzuar me numrin e sallave në rrethe të kategorisë I [9]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[11] Numri i sallave në rreth të kategorisë II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[12] Kuota fikse për sallë në rreth të kategorisë II shumëzuar me numrin e sallave në rrethe  të  kategorisë II [1</w:t>
      </w:r>
      <w:r>
        <w:rPr>
          <w:rFonts w:ascii="CG Times" w:hAnsi="CG Times"/>
          <w:sz w:val="20"/>
          <w:szCs w:val="20"/>
          <w:lang w:val="sq-AL"/>
        </w:rPr>
        <w:t>1</w:t>
      </w:r>
      <w:r w:rsidRPr="00826FCD">
        <w:rPr>
          <w:rFonts w:ascii="CG Times" w:hAnsi="CG Times"/>
          <w:sz w:val="20"/>
          <w:szCs w:val="20"/>
          <w:lang w:val="sq-AL"/>
        </w:rPr>
        <w:t>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[13] Numri i sallave në rreth të kategorisë III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[14] Kuota fikse për sallë në rreth të kategorisë III shumëzuar me numrin e sallave në rrethe të kategorisë III [13]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II. BASTET SPORTIVE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[15] Kuota fikse sipas ligjit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[16] Kuota fikse sipas ligjit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[17] Kuota fikse sipas ligjit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III. BASTE SPORTIVE KUOTE FIKSE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[18] Numri i pikave të bastit në rrethe të kategorisë 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[19] Kuota fikse për pikë basti në rreth të kategorisë I shumëzuar me numrin e pikave të bastit në rrethe të kategorisë I [18]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[20] Numri i pikave të bastit në rrethe të kategorisë II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[21] Kuota fikse për pikë basti në rreth të kategorisë II shumëzuar me numrin e pikave të bastit në rrethe të kategorisë II [20]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[22] Numri i pikave të bastit në rrethe të kategorisë III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[23] Kuota fikse për pikë basti në rreth të kategorisë III shumëzuar me numrin e pikave të bastit në rrethe të kategorisë III [22]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IV. KAZINO ELEKTRONIKE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[24] Numri i sallave në rrethe të kategorisë 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[25] Kuota fikse për sallë në rrethe të kategorisë I shumëzuar me numrin e sallave në rrethe të kategorisë I [24]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[26] Numri i makinave slot e videolotari në rrethe të kategorisë 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[27] Kuota fikse për makinë slot e videolotari shumëzuar për numrin e makinave slot e videolotari në rrethe të kategorisë I [26]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[28] Numri i sallave në rrethe të kategorisë II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[29] Kuota fikse për sallë në rrethe të kategorisë II shumëzuar me numrin e sallave në rrethe të kategorisë II [28]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[30] Numri i makinave slot e videolotari në rrethe të kategorisë II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[31] Kuota fikse për makine slot e videolotari shumëzuar për numrin e makinave slot e videolotari në rrethe të kategorisë II [30]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[32] Numri i sallave në rrethe të kategorisë III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[33]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Kuota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fikse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për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sallë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në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rrethe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të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kategorisë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III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shumëzuar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me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numrin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e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sallave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në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rrethe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të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kategorisë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III</w:t>
      </w:r>
      <w:r w:rsidRPr="00E65D39">
        <w:rPr>
          <w:rFonts w:ascii="CG Times" w:hAnsi="CG Times"/>
          <w:sz w:val="18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 xml:space="preserve">[32]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[34] Numri i makinave slot e videolotari në rrethe të kategorisë III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[35] Kuota fikse për makinë slot e videolotari shumëzuar për numrin e makinave slot e videolotari në rrethe të kategorisë III [34]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[36] Numri i makinave elektronike me më shumë se një pozicion (ruletë)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[37] Kuota fikse për makinë elektronike me më shumë se një pozicion shumëzuar me numrin e makinave elektronike me më shumë se një pozicion (ruletë) [36]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[38] Numri i pozicioneve në makinat elektronike me më shumë se një pozicion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[39] Kuota fikse për pozicion në makinat elektronike me më shumë se një pozicion shumëzuar me numrin e pozicioneve në makinat elektronike me më shumë se një pozicion [38]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V. KAZINO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[40] Numri i pozicioneve në tryezat me më shumë se një pozicion rulet</w:t>
      </w:r>
      <w:r>
        <w:rPr>
          <w:rFonts w:ascii="CG Times" w:hAnsi="CG Times"/>
          <w:sz w:val="20"/>
          <w:szCs w:val="20"/>
          <w:lang w:val="sq-AL"/>
        </w:rPr>
        <w:t>e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[41] Kuota fikse për pozicion shumëzuar me numrin e pozicioneve në tryezat me më shumë se një pozicion ruletë [40] 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[42] Numri i tryezave të lojërave me letër dhe/ose me zare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[43] Kuota fikse për çdo tryezë të lojërave me letër ose me zare shumëzuar me numrin e tryezave të lojërave me letër dhe/ose me zare [42]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[44] Numri i kompjuterëve elektronikë për lojëra elektronike dhe videolotari në kazino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[45] Kuota fikse për kompjuter elektronik shumëzuar me numrin e kompjuterëve elektronikë për lojëra elektronike dhe videolotari në kazino [44]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[46] Numri i kompjuterëve elektronikë në makinat slot me fitim në çast në kazino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[47] Kuota fikse për kompjuter elektronik në makinat slot me fitim në çast shumëzuar me numrin e kompjuterëve elektronikë me fitim në çast në kazino [46]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VI. GARAT NË PISTË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[48] Kuota fikse për bastet e garave në pistë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[49] Numri i pikave të shitjes për bastet e garave në pistë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[50] Kuota fikse për çdo pikë shitjeje shumëzuar me numrin e pikave të shitjes për baste të garave në pistë [49]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[51] Numri i kompjuterëve elektronikë ose pozicioneve të makinave elektronike të vendosura në mjediset e hipodromit për lojërat elektronike me fitim në çast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[52] Kuota fikse për kompjuterët elektronikë apo pozicion të makinave elektronike të vendosura në mjediset e hipodromit për lojërat elektronike me fitim në çast shumëzuar me numrin e kompjuterëve elektronikë ose pozicioneve të makinave elektronike të vendosura në mjediset e hipodromit për lojërat elektronike me fitim në çast.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VII. BINGO TELEVIZIVE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[53] Vëllimi i qarkullimit për bingo që zhvillohen për pjesëmarrës brenda sallës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[54] Norma e tatimit/taksës në përqindje e përcaktuar me ligj [10%] shumëzuar me vëllimin e qarkullimit për bingo që zhvillohen për pjesëmarrës brenda sallës [53]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[II/1] BASTE SPORTIVE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 xml:space="preserve">[55] Fitimi nga loja shumëzuar me normën në përqindje të përcaktuar me ligj [25%] 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[IV/1] KAZINO ELEKTRONIKE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[56] Vëllimi i qarkullimit për sallat, makinat slot e videolotari për rrethet e kategorisë I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[57] Norma e tatimit/taksës në përqindje e përcaktuar me ligj [4%] shumëzuar me vëllimin e qarkullimit për sallat, makinat slot e videolotari për rrethet e kategorisë I [56]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[58] Vëllimi i qarkullimit për sallat, makinat slot e videolotari për rrethet e kategorisë II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[59] Norma e tatimit/taksës në përqindje e përcaktuar me ligj [4%] shumëzuar me vëllimin e qarkullimit për sallat, makinat slot e videolotari për rrethet e kategorisë II [58]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[60] Vëllimi i qarkullimit për sallat, makinat slot e videolotari për rrethet e kategorisë III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[61] Norma e tatimit/taksës në përqindje e përcaktuar me ligj [4%] shumëzuar me vëllimin e qarkullimit për sallat, makinat slot e videolotari për rrethet e kategorisë III [60]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VIII. LOTARIA KOMBËTARE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[62] Vëllimi i qarkullimit për lotarinë kombëtare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[63] Norma e tatimit/taksës në përqindje e caktuar me ligj [10%] shumëzuar me vëllimin e qarkullimit për lotarinë kombëtare [62]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IX. KAZINO ELEKTRONIKE NË DISTANCË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[64] Vëllimi i qarkullimit për kazinotë elektronike në distancë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[65] Norma e tatimit/taksës në përqindje e caktuar me ligj [10%]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[V/1] KAZINO</w:t>
      </w:r>
    </w:p>
    <w:p w:rsidR="004768D0" w:rsidRPr="00826FCD" w:rsidRDefault="004768D0" w:rsidP="004768D0">
      <w:pPr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[66] Vëllimi i qarkullimit për tryezat me më shumë se një pozicion (ruletë)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[67] Norma e tatimit/taksës në përqindje e përcaktuar me ligj [12%] shumëzuar me vëllimin e qarkullimit për tryezat me më shumë se një pozicion (ruletë) [66]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[68] Vëllimi i qarkullimit për tryezat e lojërave me letër dhe/ose me zare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[69] Norma e tatimit/taksës në përqindje e përcaktuar me ligj [12%] shumëzuar me vëllimin e qarkullimit për tryezat e lojërave me letër dhe/ose me zare [68]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[70] Vëllimi i qarkullimit për lojërat elektronike dhe videolotaritë të vendosura në mjediset e kazinosë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[71] Norma e tatimit/taksës në përqindje e miratuar me ligj [4%] shumëzuar me vëllimin e qarkullimit për lojërat elektronike dhe videolotaritë të vendosura në mjediset e kazinosë [70]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[72] Vëllimi i qarkullimit për makinat slot me fitim në çast të vendosura në mjediset e kazinosë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[73] Norma e tatimit/taksës në përqindje e miratuar me ligj [4%] shumëzuar me vëllimin e qarkullimit për makinat slot me fitim në çast të vendosura në mjediset e kazinosë [72]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[74] Tatimi për t’u paguar është shuma e kutive të kolonës detyrimi. Pra: (shuma e rubrikave: tatimi për t’u paguar</w:t>
      </w:r>
      <w:r>
        <w:rPr>
          <w:rFonts w:ascii="CG Times" w:hAnsi="CG Times"/>
          <w:sz w:val="20"/>
          <w:szCs w:val="20"/>
          <w:lang w:val="sq-AL"/>
        </w:rPr>
        <w:t xml:space="preserve"> </w:t>
      </w:r>
      <w:r w:rsidRPr="00826FCD">
        <w:rPr>
          <w:rFonts w:ascii="CG Times" w:hAnsi="CG Times"/>
          <w:sz w:val="20"/>
          <w:szCs w:val="20"/>
          <w:lang w:val="sq-AL"/>
        </w:rPr>
        <w:t>= 10 +12 +14+ 15+ 16+ 17+ 19 + 21 + 23+ 25 + 27+ 29 + 31 + 33 + 35 + 37 + 39 + 41 + 43 + 45 + 47 + 48 +50+52+ 54+ 55+ 57+ 59+ 61 + 63 + 65 + 67 + 69 + 71 + 73)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[75] Dënime/interesa për vonesa janë dënimet dhe interesat për vonesat në deklarim ose pagesë që mund të llogariten paraprakisht dhe që mund të paguhen me deklaratën</w:t>
      </w:r>
    </w:p>
    <w:p w:rsidR="004768D0" w:rsidRPr="00826FCD" w:rsidRDefault="004768D0" w:rsidP="004768D0">
      <w:pPr>
        <w:jc w:val="both"/>
        <w:rPr>
          <w:rFonts w:ascii="CG Times" w:hAnsi="CG Times"/>
          <w:sz w:val="20"/>
          <w:szCs w:val="20"/>
          <w:lang w:val="sq-AL"/>
        </w:rPr>
      </w:pPr>
      <w:r w:rsidRPr="00826FCD">
        <w:rPr>
          <w:rFonts w:ascii="CG Times" w:hAnsi="CG Times"/>
          <w:sz w:val="20"/>
          <w:szCs w:val="20"/>
          <w:lang w:val="sq-AL"/>
        </w:rPr>
        <w:t>[76] Totali për t’u paguar është shuma e tatimit për t’u paguar (kutia 74) me dënimet dhe interesat e llogaritura me deklaratën (kutia 75). (76=74+75)</w:t>
      </w:r>
    </w:p>
    <w:sectPr w:rsidR="004768D0" w:rsidRPr="00826FC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68D0"/>
    <w:rsid w:val="003C00A5"/>
    <w:rsid w:val="004768D0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A4C923-5A42-4AD6-8ACD-E5E1D6546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8D0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768D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768D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768D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768D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768D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768D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768D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768D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4768D0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768D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768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68D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4768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768D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768D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8D0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