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839" w:rsidRPr="003F0F54" w:rsidRDefault="008F5839" w:rsidP="008F5839">
      <w:pPr>
        <w:pStyle w:val="Akti"/>
        <w:keepNext w:val="0"/>
        <w:rPr>
          <w:lang w:val="sq-AL"/>
        </w:rPr>
      </w:pPr>
      <w:bookmarkStart w:id="0" w:name="_GoBack"/>
      <w:bookmarkEnd w:id="0"/>
      <w:r w:rsidRPr="003F0F54">
        <w:rPr>
          <w:lang w:val="sq-AL"/>
        </w:rPr>
        <w:t>Udhëzim</w:t>
      </w:r>
    </w:p>
    <w:p w:rsidR="008F5839" w:rsidRPr="003F0F54" w:rsidRDefault="008F5839" w:rsidP="008F5839">
      <w:pPr>
        <w:pStyle w:val="NumriData"/>
        <w:keepNext w:val="0"/>
        <w:rPr>
          <w:lang w:val="sq-AL"/>
        </w:rPr>
      </w:pPr>
      <w:r w:rsidRPr="003F0F54">
        <w:rPr>
          <w:lang w:val="sq-AL"/>
        </w:rPr>
        <w:t>Nr. 585/1, datë 5.12.2013</w:t>
      </w:r>
    </w:p>
    <w:p w:rsidR="008F5839" w:rsidRPr="004F4FF8" w:rsidRDefault="008F5839" w:rsidP="008F5839">
      <w:pPr>
        <w:pStyle w:val="Paragrafi"/>
        <w:rPr>
          <w:lang w:val="sq-AL"/>
        </w:rPr>
      </w:pPr>
    </w:p>
    <w:p w:rsidR="008F5839" w:rsidRPr="003F0F54" w:rsidRDefault="008F5839" w:rsidP="008F5839">
      <w:pPr>
        <w:pStyle w:val="Titulli"/>
        <w:keepNext w:val="0"/>
        <w:rPr>
          <w:lang w:val="sq-AL"/>
        </w:rPr>
      </w:pPr>
      <w:r w:rsidRPr="003F0F54">
        <w:rPr>
          <w:lang w:val="sq-AL"/>
        </w:rPr>
        <w:t>Për disa ndryshime në udhëzimin nr. 2, datë 15.1.2013 “Mbi procedurat e prodhimit, kodimit, stampimit, shpërndarjes dhe monitorimit të pullave të kontrolLit të barnave”, i ndryshuar</w:t>
      </w:r>
    </w:p>
    <w:p w:rsidR="008F5839" w:rsidRPr="004F4FF8" w:rsidRDefault="008F5839" w:rsidP="008F5839">
      <w:pPr>
        <w:pStyle w:val="Paragrafi"/>
        <w:rPr>
          <w:lang w:val="sq-AL"/>
        </w:rPr>
      </w:pP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Në zbatim të ligjit nr. 10 381, datë 24.2.2011 “Për miratimin e kontratës së koncesionit ndërmjet Ministrisë së Financave si autoritet kontraktues dhe shoqërive “Sicpa Security Solutions S.A.” e “Scipa Security Solutions Albania sh.p.k.”, për projektimin, finnacimin, dizenjimin, prodhimin dhe ngritjen e një sistemi për emetimin, shpërndarjen, gjetjen dhe monitorimin e pullave fiskale e të pullave të kontrollit të barnave”, si dhe ligjit nr. 9323, datë 25.11.2004 “Për barnat dhe shërbimin farmaceutik”, të ndryshuar, neni 20, pika 9, ministri i Shëndetësisë dhe Ministri i Financave</w:t>
      </w:r>
    </w:p>
    <w:p w:rsidR="008F5839" w:rsidRPr="004F4FF8" w:rsidRDefault="008F5839" w:rsidP="008F5839">
      <w:pPr>
        <w:pStyle w:val="Paragrafi"/>
        <w:rPr>
          <w:lang w:val="sq-AL"/>
        </w:rPr>
      </w:pPr>
    </w:p>
    <w:p w:rsidR="008F5839" w:rsidRPr="003F0F54" w:rsidRDefault="008F5839" w:rsidP="008F5839">
      <w:pPr>
        <w:pStyle w:val="VENDOSI"/>
        <w:keepNext w:val="0"/>
        <w:rPr>
          <w:lang w:val="sq-AL"/>
        </w:rPr>
      </w:pPr>
      <w:r w:rsidRPr="003F0F54">
        <w:rPr>
          <w:lang w:val="sq-AL"/>
        </w:rPr>
        <w:t>Udhëzojnë:</w:t>
      </w:r>
    </w:p>
    <w:p w:rsidR="008F5839" w:rsidRPr="004F4FF8" w:rsidRDefault="008F5839" w:rsidP="008F5839">
      <w:pPr>
        <w:pStyle w:val="Paragrafi"/>
        <w:rPr>
          <w:lang w:val="sq-AL"/>
        </w:rPr>
      </w:pP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Në udhëzimin nr. 2, datë 15.1.2013 “Mbi procedurat e prodhimit, kodimit, stampimit, shpërndarjes dhe monitorimit të pullave të kontrollit të barnave”, bëhen këto ndryshime:</w:t>
      </w: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1. Pika 16.1 ndryshohet si më poshtë:</w:t>
      </w: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16.1 Për të gjitha subjektet farmaceutike zbatimi i udhëzimit do të fillojë nga data 1 prill 2014. Pas datës 1 prill 2014, nuk do të lejohen të importohen barna, si dhe nuk do të lejohen të hidhen në treg brana të prodhuara në vend pa pullën e vetme të kontrollit të barnave të prodhuar nga koncesionari.</w:t>
      </w: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2. Pika 16.2 ndryshohet si më poshtë:</w:t>
      </w: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16.2 Pas datës 1 prill 2014, me hyrjen në fuqi të këtij udhëzimi, inspektimet nga autoriteti përkatës në lidhje me zbatimin e këtij udhëzimi, do të kryhen në të gjithë territorin e vendit. Për shkeljen e dispozitave të këtij udhëzimi do të zbatohen sanksionet e përcaktuara në ligjin nr. 9323, datë 25.11.2004 “Për barnat dhe shërbimin farmaceutik”, të ndryshuar.</w:t>
      </w:r>
    </w:p>
    <w:p w:rsidR="008F5839" w:rsidRPr="003F0F54" w:rsidRDefault="008F5839" w:rsidP="008F5839">
      <w:pPr>
        <w:pStyle w:val="Paragrafi"/>
        <w:rPr>
          <w:lang w:val="sq-AL"/>
        </w:rPr>
      </w:pPr>
      <w:r w:rsidRPr="003F0F54">
        <w:rPr>
          <w:lang w:val="sq-AL"/>
        </w:rPr>
        <w:t>Ky udhëzim hyn në fuqi menjëherë dhe botohet në Fletoren Zyrtare.</w:t>
      </w:r>
    </w:p>
    <w:p w:rsidR="008F5839" w:rsidRPr="003F0F54" w:rsidRDefault="008F5839" w:rsidP="008F5839">
      <w:pPr>
        <w:pStyle w:val="Paragrafi"/>
        <w:rPr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F5839" w:rsidRPr="003F0F54" w:rsidTr="0096339C">
        <w:tc>
          <w:tcPr>
            <w:tcW w:w="4643" w:type="dxa"/>
          </w:tcPr>
          <w:p w:rsidR="008F5839" w:rsidRPr="003F0F54" w:rsidRDefault="008F5839" w:rsidP="0096339C">
            <w:pPr>
              <w:pStyle w:val="Autoriteti"/>
              <w:keepNext w:val="0"/>
              <w:jc w:val="both"/>
              <w:rPr>
                <w:lang w:val="sq-AL"/>
              </w:rPr>
            </w:pPr>
            <w:r w:rsidRPr="003F0F54">
              <w:rPr>
                <w:lang w:val="sq-AL"/>
              </w:rPr>
              <w:t>Ministri i Shëndetësisë</w:t>
            </w:r>
          </w:p>
          <w:p w:rsidR="008F5839" w:rsidRPr="003F0F54" w:rsidRDefault="008F5839" w:rsidP="0096339C">
            <w:pPr>
              <w:pStyle w:val="AutoritetiEmer"/>
              <w:jc w:val="both"/>
              <w:rPr>
                <w:lang w:val="sq-AL"/>
              </w:rPr>
            </w:pPr>
            <w:r w:rsidRPr="003F0F54">
              <w:rPr>
                <w:lang w:val="sq-AL"/>
              </w:rPr>
              <w:t>Ilir Beqaj</w:t>
            </w:r>
          </w:p>
        </w:tc>
        <w:tc>
          <w:tcPr>
            <w:tcW w:w="4644" w:type="dxa"/>
          </w:tcPr>
          <w:p w:rsidR="008F5839" w:rsidRPr="003F0F54" w:rsidRDefault="008F5839" w:rsidP="0096339C">
            <w:pPr>
              <w:pStyle w:val="Autoriteti"/>
              <w:keepNext w:val="0"/>
              <w:rPr>
                <w:lang w:val="sq-AL"/>
              </w:rPr>
            </w:pPr>
            <w:r w:rsidRPr="003F0F54">
              <w:rPr>
                <w:lang w:val="sq-AL"/>
              </w:rPr>
              <w:t>Ministri i Financave</w:t>
            </w:r>
          </w:p>
          <w:p w:rsidR="008F5839" w:rsidRPr="003F0F54" w:rsidRDefault="008F5839" w:rsidP="0096339C">
            <w:pPr>
              <w:pStyle w:val="AutoritetiEmer"/>
              <w:rPr>
                <w:lang w:val="sq-AL"/>
              </w:rPr>
            </w:pPr>
            <w:r w:rsidRPr="003F0F54">
              <w:rPr>
                <w:lang w:val="sq-AL"/>
              </w:rPr>
              <w:t>Shkëlqim Cani</w:t>
            </w:r>
          </w:p>
        </w:tc>
      </w:tr>
    </w:tbl>
    <w:p w:rsidR="008F5839" w:rsidRPr="003F0F54" w:rsidRDefault="008F5839" w:rsidP="008F5839">
      <w:pPr>
        <w:widowControl w:val="0"/>
        <w:jc w:val="both"/>
        <w:rPr>
          <w:rFonts w:ascii="CG Times" w:hAnsi="CG Times"/>
          <w:sz w:val="22"/>
          <w:szCs w:val="22"/>
          <w:lang w:val="sq-AL"/>
        </w:rPr>
      </w:pPr>
    </w:p>
    <w:sectPr w:rsidR="008F5839" w:rsidRPr="003F0F5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839"/>
    <w:rsid w:val="008F5839"/>
    <w:rsid w:val="0096339C"/>
    <w:rsid w:val="00AF638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00CB91-4F8B-4268-9FC4-2B40813C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83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58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F583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F583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F58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58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583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F583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F583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F583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58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583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F58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F583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