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7226" w:rsidRPr="00F06FDF" w:rsidRDefault="005B7226" w:rsidP="005B7226">
      <w:pPr>
        <w:pStyle w:val="NeniTitull"/>
        <w:rPr>
          <w:lang w:val="sq-AL"/>
        </w:rPr>
      </w:pPr>
      <w:r w:rsidRPr="00F06FDF">
        <w:rPr>
          <w:lang w:val="sq-AL"/>
        </w:rPr>
        <w:t>UDHËZIM</w:t>
      </w:r>
    </w:p>
    <w:p w:rsidR="005B7226" w:rsidRPr="00F06FDF" w:rsidRDefault="005B7226" w:rsidP="005B7226">
      <w:pPr>
        <w:pStyle w:val="NumriData"/>
        <w:rPr>
          <w:lang w:val="sq-AL"/>
        </w:rPr>
      </w:pPr>
      <w:r w:rsidRPr="00F06FDF">
        <w:rPr>
          <w:lang w:val="sq-AL"/>
        </w:rPr>
        <w:t>Nr. 4, datë 25.1.2014</w:t>
      </w:r>
    </w:p>
    <w:p w:rsidR="005B7226" w:rsidRPr="001B2CFE" w:rsidRDefault="005B7226" w:rsidP="005B7226">
      <w:pPr>
        <w:pStyle w:val="Paragrafi"/>
        <w:rPr>
          <w:sz w:val="18"/>
          <w:szCs w:val="24"/>
          <w:lang w:val="sq-AL"/>
        </w:rPr>
      </w:pPr>
    </w:p>
    <w:p w:rsidR="005B7226" w:rsidRPr="00F06FDF" w:rsidRDefault="005B7226" w:rsidP="005B7226">
      <w:pPr>
        <w:pStyle w:val="Titulli"/>
        <w:rPr>
          <w:lang w:val="sq-AL"/>
        </w:rPr>
      </w:pPr>
      <w:r w:rsidRPr="00F06FDF">
        <w:rPr>
          <w:lang w:val="sq-AL"/>
        </w:rPr>
        <w:t>PËR DISA SHTESA DHE NDRYSHIME NË UDHËZIMIN NR. 24, DATË 2.9.2008 “PËR PROCEDURAT TATIMORE NË REPUBLIKËN E SHQIPËRISË, TË NDRYSHUAR”</w:t>
      </w:r>
    </w:p>
    <w:p w:rsidR="005B7226" w:rsidRPr="001B2CFE" w:rsidRDefault="005B7226" w:rsidP="005B7226">
      <w:pPr>
        <w:pStyle w:val="Paragrafi"/>
        <w:rPr>
          <w:rFonts w:eastAsia="Times New Roman"/>
          <w:b/>
          <w:bCs/>
          <w:sz w:val="16"/>
          <w:szCs w:val="24"/>
          <w:lang w:val="sq-AL"/>
        </w:rPr>
      </w:pPr>
    </w:p>
    <w:p w:rsidR="005B7226" w:rsidRPr="00F06FDF" w:rsidRDefault="005B7226" w:rsidP="005B7226">
      <w:pPr>
        <w:pStyle w:val="Paragrafi"/>
        <w:rPr>
          <w:lang w:val="sq-AL"/>
        </w:rPr>
      </w:pPr>
      <w:r w:rsidRPr="00F06FDF">
        <w:rPr>
          <w:lang w:val="sq-AL"/>
        </w:rPr>
        <w:t xml:space="preserve"> Në mbështetje të nenit 102, pika 4 të Kushtetutës së Republikës së Shqipërisë dhe në zbatim të nenit 10, pika 1 të ligjit nr. 9920, datë 19.5.2008 “Për procedurat tatimore në Republikën e Shqipërisë”, ministri i Financave</w:t>
      </w:r>
    </w:p>
    <w:p w:rsidR="005B7226" w:rsidRPr="001B2CFE" w:rsidRDefault="005B7226" w:rsidP="005B7226">
      <w:pPr>
        <w:pStyle w:val="Paragrafi"/>
        <w:rPr>
          <w:sz w:val="14"/>
          <w:lang w:val="sq-AL"/>
        </w:rPr>
      </w:pPr>
    </w:p>
    <w:p w:rsidR="005B7226" w:rsidRPr="00F06FDF" w:rsidRDefault="005B7226" w:rsidP="005B7226">
      <w:pPr>
        <w:pStyle w:val="VENDOSI"/>
        <w:rPr>
          <w:lang w:val="sq-AL"/>
        </w:rPr>
      </w:pPr>
      <w:r w:rsidRPr="00F06FDF">
        <w:rPr>
          <w:lang w:val="sq-AL"/>
        </w:rPr>
        <w:t>UDHËZON:</w:t>
      </w:r>
    </w:p>
    <w:p w:rsidR="005B7226" w:rsidRPr="001B2CFE" w:rsidRDefault="005B7226" w:rsidP="005B7226">
      <w:pPr>
        <w:pStyle w:val="Paragrafi"/>
        <w:rPr>
          <w:sz w:val="14"/>
          <w:lang w:val="sq-AL"/>
        </w:rPr>
      </w:pPr>
    </w:p>
    <w:p w:rsidR="005B7226" w:rsidRPr="00F06FDF" w:rsidRDefault="005B7226" w:rsidP="005B7226">
      <w:pPr>
        <w:pStyle w:val="Paragrafi"/>
        <w:rPr>
          <w:lang w:val="sq-AL"/>
        </w:rPr>
      </w:pPr>
      <w:r w:rsidRPr="00F06FDF">
        <w:rPr>
          <w:lang w:val="sq-AL"/>
        </w:rPr>
        <w:t>Në udhëzimin nr. 24, datë 2.9.2008 “Për procedurat tatimore në Republikën e Shqipërisë, të ndryshuar”, bëhen shtesat dhe ndryshimet e mëposhtme:</w:t>
      </w:r>
    </w:p>
    <w:p w:rsidR="005B7226" w:rsidRPr="00F06FDF" w:rsidRDefault="005B7226" w:rsidP="005B7226">
      <w:pPr>
        <w:pStyle w:val="Paragrafi"/>
        <w:rPr>
          <w:lang w:val="sq-AL"/>
        </w:rPr>
      </w:pPr>
      <w:r w:rsidRPr="00F06FDF">
        <w:rPr>
          <w:lang w:val="sq-AL"/>
        </w:rPr>
        <w:t>1. Pika 2.1, germa “ç” e udhëzimit ndryshohet si më poshtë:</w:t>
      </w:r>
    </w:p>
    <w:p w:rsidR="005B7226" w:rsidRPr="00F06FDF" w:rsidRDefault="005B7226" w:rsidP="005B7226">
      <w:pPr>
        <w:pStyle w:val="Paragrafi"/>
        <w:rPr>
          <w:lang w:val="sq-AL"/>
        </w:rPr>
      </w:pPr>
      <w:r w:rsidRPr="00F06FDF">
        <w:rPr>
          <w:lang w:val="sq-AL"/>
        </w:rPr>
        <w:t>“ç) sistemin e tatimeve, taksave dhe tarifave vendore për procedurat, të drejtat dhe përgjegjësitë tatimore, të cilat nuk rregullohen me ligjin nr. 9632, datë 30.10.2006 “Për sistemin e taksave vendore”, me ndryshimet që i janë bërë ose mund t’i bëhen atij ligji në të ardhmen.”</w:t>
      </w:r>
    </w:p>
    <w:p w:rsidR="005B7226" w:rsidRPr="00F06FDF" w:rsidRDefault="005B7226" w:rsidP="005B7226">
      <w:pPr>
        <w:pStyle w:val="Paragrafi"/>
        <w:rPr>
          <w:lang w:val="sq-AL"/>
        </w:rPr>
      </w:pPr>
      <w:r w:rsidRPr="00F06FDF">
        <w:rPr>
          <w:lang w:val="sq-AL"/>
        </w:rPr>
        <w:t xml:space="preserve">2. Pika 15 e udhëzimit ndryshon në përmbajtje si vijon: </w:t>
      </w:r>
    </w:p>
    <w:p w:rsidR="005B7226" w:rsidRPr="00F06FDF" w:rsidRDefault="005B7226" w:rsidP="005B7226">
      <w:pPr>
        <w:pStyle w:val="Paragrafi"/>
        <w:rPr>
          <w:lang w:val="sq-AL"/>
        </w:rPr>
      </w:pPr>
      <w:r w:rsidRPr="00F06FDF">
        <w:rPr>
          <w:lang w:val="sq-AL"/>
        </w:rPr>
        <w:t xml:space="preserve">“15. Zyrat tatimore të qeverisjes vendore funksionojnë dhe zbatojnë ligjin nr. 9632, datë 30.10.2006 “Për sistemin e taksave vendore” dhe administrojnë taksat, detyrimet tatimore dhe pagesat publike vendore me përjashtim të tatimit të thjeshtuar mbi fitimin për biznesin e vogël. Drejtoria e Përgjithshme e Tatimeve nëpërmjet drejtorive rajonale tatimore vlerëson, mbledh, kontrollon dhe arkëton tatimin e thjeshtuar mbi fitimin për biznesin e vogël.” </w:t>
      </w:r>
    </w:p>
    <w:p w:rsidR="005B7226" w:rsidRPr="00F06FDF" w:rsidRDefault="005B7226" w:rsidP="005B7226">
      <w:pPr>
        <w:pStyle w:val="Paragrafi"/>
        <w:rPr>
          <w:lang w:val="sq-AL"/>
        </w:rPr>
      </w:pPr>
      <w:r w:rsidRPr="00F06FDF">
        <w:rPr>
          <w:lang w:val="sq-AL"/>
        </w:rPr>
        <w:t xml:space="preserve">3. Pika 45.1.2 e udhëzimit ndryshon në përmbajtje si vijon: </w:t>
      </w:r>
    </w:p>
    <w:p w:rsidR="005B7226" w:rsidRPr="00F06FDF" w:rsidRDefault="005B7226" w:rsidP="005B7226">
      <w:pPr>
        <w:pStyle w:val="Paragrafi"/>
        <w:rPr>
          <w:lang w:val="sq-AL"/>
        </w:rPr>
      </w:pPr>
      <w:r w:rsidRPr="00F06FDF">
        <w:rPr>
          <w:lang w:val="sq-AL"/>
        </w:rPr>
        <w:t xml:space="preserve">“45.1.2 Drejtoria Rajonale e Tatimeve </w:t>
      </w:r>
      <w:r>
        <w:rPr>
          <w:lang w:val="sq-AL"/>
        </w:rPr>
        <w:t>e</w:t>
      </w:r>
      <w:r w:rsidRPr="00F06FDF">
        <w:rPr>
          <w:lang w:val="sq-AL"/>
        </w:rPr>
        <w:t xml:space="preserve"> juridiksionit përkatës, brenda 30 ditëve nga marrja e njoftimit nga QKR-ja për fillimin e procedurave të çregjistrimit, verifikon situatën tatimore të subjekteve deri në çastin e aplikimit për çregjistrim në QKR, për personat fizikë ose juridikë, ose deri në çastin e aplikimit për fillimin e procedurave të likuidimit në QKR ose në gjykatë për OJF-të, fondacionet dhe ente të tjera publike. Verifikimi përfshin të gjitha llojet e detyrimeve tatimore të personit të tatueshëm, përfshirë edhe kontributet e sigurimeve shoqërore e shëndetësore dhe gjobat e kamatëvonesat eventuale të lidhura me këto detyrime. Drejtoria Rajonale e Tatimeve, përveç verifikimit të situatës tatimore, kur është e nevojshme, ushtron kontroll në mjedisin ku ushtron veprimtarinë subjekti, sipas një analize risku.” </w:t>
      </w:r>
    </w:p>
    <w:p w:rsidR="005B7226" w:rsidRPr="00F06FDF" w:rsidRDefault="005B7226" w:rsidP="005B7226">
      <w:pPr>
        <w:pStyle w:val="Paragrafi"/>
        <w:rPr>
          <w:lang w:val="sq-AL"/>
        </w:rPr>
      </w:pPr>
      <w:r w:rsidRPr="00F06FDF">
        <w:rPr>
          <w:lang w:val="sq-AL"/>
        </w:rPr>
        <w:t>4. Fjalia e tretë dhe katërt në paragrafin 43.2.1 ndryshon si vijon:</w:t>
      </w:r>
    </w:p>
    <w:p w:rsidR="005B7226" w:rsidRPr="00F06FDF" w:rsidRDefault="005B7226" w:rsidP="005B7226">
      <w:pPr>
        <w:pStyle w:val="Paragrafi"/>
        <w:rPr>
          <w:lang w:val="sq-AL"/>
        </w:rPr>
      </w:pPr>
      <w:r w:rsidRPr="00F06FDF">
        <w:rPr>
          <w:lang w:val="sq-AL"/>
        </w:rPr>
        <w:t>“Rast i ndryshimit të përgjegjësisë tatimore mund të jetë, për shembull, tejkalimi i volumit të qarkullimit prej 8 milionë lekësh në vit kalendarik. Në këtë rast, përgjegjësia tatimore e personit të tatueshëm ndryshon, d</w:t>
      </w:r>
      <w:r>
        <w:rPr>
          <w:lang w:val="sq-AL"/>
        </w:rPr>
        <w:t>omethënë</w:t>
      </w:r>
      <w:r w:rsidRPr="00F06FDF">
        <w:rPr>
          <w:lang w:val="sq-AL"/>
        </w:rPr>
        <w:t xml:space="preserve"> nga person i tatueshëm i tatimit të thjeshtuar mbi fitimin e biznesit të vogël duhet të kalojë në tatimpagues i tatimit mbi fitimin.”</w:t>
      </w:r>
    </w:p>
    <w:p w:rsidR="005B7226" w:rsidRPr="00F06FDF" w:rsidRDefault="005B7226" w:rsidP="005B7226">
      <w:pPr>
        <w:pStyle w:val="Paragrafi"/>
        <w:rPr>
          <w:lang w:val="sq-AL"/>
        </w:rPr>
      </w:pPr>
      <w:r w:rsidRPr="00F06FDF">
        <w:rPr>
          <w:lang w:val="sq-AL"/>
        </w:rPr>
        <w:t>5. Në pikën 46.1.3, në fund të fjalisë, shtohet togfjalëshi “apo kur marrësi i furnizimit, edhe kur nuk është personi i tatueshëm, e kërkon faturën”.</w:t>
      </w:r>
    </w:p>
    <w:p w:rsidR="005B7226" w:rsidRPr="00F06FDF" w:rsidRDefault="005B7226" w:rsidP="005B7226">
      <w:pPr>
        <w:pStyle w:val="Paragrafi"/>
        <w:rPr>
          <w:lang w:val="sq-AL"/>
        </w:rPr>
      </w:pPr>
      <w:r w:rsidRPr="00F06FDF">
        <w:rPr>
          <w:lang w:val="sq-AL"/>
        </w:rPr>
        <w:t xml:space="preserve">6. Në pikat 43.2.3, 47.1.2, 47.1.3, 47.1.4, 47.1.5, 47.1.7, 54.5, 55, 58.1, 59.2.1, togfjalëshi “tatimpagues/subjekt i taksës vendore mbi biznesin e vogël dhe të tatimit mbi të ardhurat (personale)” ndryshohet me togfjalëshin “tatimpagues i tatimit të thjeshtuar mbi fitimin e biznesit të vogël”. </w:t>
      </w:r>
    </w:p>
    <w:p w:rsidR="005B7226" w:rsidRPr="00F06FDF" w:rsidRDefault="005B7226" w:rsidP="005B7226">
      <w:pPr>
        <w:pStyle w:val="Paragrafi"/>
        <w:rPr>
          <w:lang w:val="sq-AL"/>
        </w:rPr>
      </w:pPr>
      <w:r w:rsidRPr="00F06FDF">
        <w:rPr>
          <w:lang w:val="sq-AL"/>
        </w:rPr>
        <w:t xml:space="preserve">7. Në pikën 47.1.1, fjalia e parë ndryshon në përmbajtje si vijon: </w:t>
      </w:r>
    </w:p>
    <w:p w:rsidR="005B7226" w:rsidRPr="00F06FDF" w:rsidRDefault="005B7226" w:rsidP="005B7226">
      <w:pPr>
        <w:pStyle w:val="Paragrafi"/>
        <w:rPr>
          <w:lang w:val="sq-AL"/>
        </w:rPr>
      </w:pPr>
      <w:r w:rsidRPr="00F06FDF">
        <w:rPr>
          <w:lang w:val="sq-AL"/>
        </w:rPr>
        <w:t xml:space="preserve">“Personi i tatueshëm, subjekt i tatimit të thjeshtuar mbi fitimin e biznesit të vogël dhe i tatimit mbi të ardhurat, kur kryen një furnizim mallrash apo shërbimesh, në momentin e furnizimit, është i detyruar të lëshojë faturë të thjeshtë tatimore në lidhje me atë furnizim për çdo person të tatueshëm që merr furnizimin, përveç rasteve kur, në bazë të legjislacionit tatimor në fuqi, është person i tatueshëm i TVSH-së dhe është i detyruar të lëshojë faturë me TVSH. Forma dhe përmbajtja e faturës së thjeshtë </w:t>
      </w:r>
      <w:r w:rsidRPr="00F06FDF">
        <w:rPr>
          <w:lang w:val="sq-AL"/>
        </w:rPr>
        <w:lastRenderedPageBreak/>
        <w:t>tatimore është përcaktuar në ligjin “Për sistemin e taksave vendore”, i ndryshuar</w:t>
      </w:r>
      <w:r>
        <w:rPr>
          <w:lang w:val="sq-AL"/>
        </w:rPr>
        <w:t>,</w:t>
      </w:r>
      <w:r w:rsidRPr="00F06FDF">
        <w:rPr>
          <w:lang w:val="sq-AL"/>
        </w:rPr>
        <w:t xml:space="preserve"> dhe në udhëzimin në zbatim të këtij ligji “</w:t>
      </w:r>
      <w:r w:rsidRPr="00F06FDF">
        <w:rPr>
          <w:bCs/>
          <w:lang w:val="sq-AL"/>
        </w:rPr>
        <w:t>Për tatimin e thjeshtuar mbi fitimin e biznesit të vogël”</w:t>
      </w:r>
      <w:r w:rsidRPr="00F06FDF">
        <w:rPr>
          <w:lang w:val="sq-AL"/>
        </w:rPr>
        <w:t>. Për blerësin, person i tatueshëm, subjekt i çfarëdolloj tatimi, kjo faturë shërben si dokument justifikues për shpenzimet e zbritshme të biznesit.”</w:t>
      </w:r>
    </w:p>
    <w:p w:rsidR="005B7226" w:rsidRPr="00F06FDF" w:rsidRDefault="005B7226" w:rsidP="005B7226">
      <w:pPr>
        <w:pStyle w:val="Paragrafi"/>
        <w:rPr>
          <w:lang w:val="sq-AL"/>
        </w:rPr>
      </w:pPr>
      <w:r w:rsidRPr="00F06FDF">
        <w:rPr>
          <w:lang w:val="sq-AL"/>
        </w:rPr>
        <w:t xml:space="preserve">8. Në pikën 49.1, fjalia e parë ndryshon në përmbajtje si vijon: </w:t>
      </w:r>
    </w:p>
    <w:p w:rsidR="005B7226" w:rsidRPr="00F06FDF" w:rsidRDefault="005B7226" w:rsidP="005B7226">
      <w:pPr>
        <w:pStyle w:val="Paragrafi"/>
        <w:rPr>
          <w:lang w:val="sq-AL"/>
        </w:rPr>
      </w:pPr>
      <w:r w:rsidRPr="00F06FDF">
        <w:rPr>
          <w:lang w:val="sq-AL"/>
        </w:rPr>
        <w:t>“Faturë tatimore konsiderohet fatura me TVSH, e cila lëshohet nga personat e tatueshëm, subjekte të tatimit mbi vlerën e shtuar apo subjekte të tatimit mbi fitimin dhe fatura e thjeshtë tatimore, e cila lëshohet nga persona të tatueshëm, subjekte të tatimit të thjeshtuar mbi fitimin e biznesit të vogël, kur nuk janë subjekte të tatimit mbi vlerën e shtuar, si dhe nga organizatat jofitimprurëse, fondacionet, institucionet buxhetore etj.”</w:t>
      </w:r>
    </w:p>
    <w:p w:rsidR="005B7226" w:rsidRPr="00F06FDF" w:rsidRDefault="005B7226" w:rsidP="005B7226">
      <w:pPr>
        <w:pStyle w:val="Paragrafi"/>
        <w:rPr>
          <w:lang w:val="sq-AL"/>
        </w:rPr>
      </w:pPr>
      <w:r w:rsidRPr="00F06FDF">
        <w:rPr>
          <w:lang w:val="sq-AL"/>
        </w:rPr>
        <w:t>9. Në fjalinë e katërt të pikës 49.1, togfjalëshi “të tatimit mbi të ardhurat personale” zëvendësohet me togfjalëshin “të tatimit të thjeshtuar mbi fitimin të biznesit të vogël”.</w:t>
      </w:r>
    </w:p>
    <w:p w:rsidR="005B7226" w:rsidRPr="00F06FDF" w:rsidRDefault="005B7226" w:rsidP="005B7226">
      <w:pPr>
        <w:pStyle w:val="Paragrafi"/>
        <w:rPr>
          <w:lang w:val="sq-AL"/>
        </w:rPr>
      </w:pPr>
      <w:r w:rsidRPr="00F06FDF">
        <w:rPr>
          <w:lang w:val="sq-AL"/>
        </w:rPr>
        <w:t>10. Pika 57.5 ndryshon në përmbajtje si vijon:</w:t>
      </w:r>
    </w:p>
    <w:p w:rsidR="005B7226" w:rsidRPr="00F06FDF" w:rsidRDefault="005B7226" w:rsidP="005B7226">
      <w:pPr>
        <w:pStyle w:val="Paragrafi"/>
        <w:rPr>
          <w:lang w:val="sq-AL"/>
        </w:rPr>
      </w:pPr>
      <w:r w:rsidRPr="00F06FDF">
        <w:rPr>
          <w:lang w:val="sq-AL"/>
        </w:rPr>
        <w:t xml:space="preserve">“57.5 Tatimpaguesit, subjekte të tatimit të thjeshtuar mbi fitimin për biznesin e vogël, për përllogaritjen e detyrimit tatimor, janë të detyruar të mbajnë regjistra, libra dhe dokumente të tjera, si dhe të lëshojnë fatura tatimore, dëftesa tatimore dhe kuponë tatimorë, në përputhje me ligjin “Për sistemin e taksave vendore”, </w:t>
      </w:r>
      <w:r>
        <w:rPr>
          <w:lang w:val="sq-AL"/>
        </w:rPr>
        <w:t xml:space="preserve">i ndryshuar, </w:t>
      </w:r>
      <w:r w:rsidRPr="00F06FDF">
        <w:rPr>
          <w:lang w:val="sq-AL"/>
        </w:rPr>
        <w:t>dhe udhëzimin “Për tatimin e thjeshtuar mbi fitimin e biznesit të vogël”, në zbatim të tij. Këto regjistrime do të shërbejnë si bazë për vetëvlerësimin dhe vetëdeklarimin e detyrimeve tatimore të personave të tatueshëm apo, kur është rasti, për përcaktimin e detyrimit tatimor.</w:t>
      </w:r>
    </w:p>
    <w:p w:rsidR="005B7226" w:rsidRPr="00F06FDF" w:rsidRDefault="005B7226" w:rsidP="005B7226">
      <w:pPr>
        <w:pStyle w:val="Paragrafi"/>
        <w:rPr>
          <w:rFonts w:eastAsia="Calibri"/>
          <w:lang w:val="sq-AL"/>
        </w:rPr>
      </w:pPr>
      <w:r w:rsidRPr="00F06FDF">
        <w:rPr>
          <w:lang w:val="sq-AL"/>
        </w:rPr>
        <w:t>Për tatimpaguesit, subjekte të tatimit të thjeshtuar mbi fitimin për biznesin e vogël, që janë të regjistruar në TVSH, libri i shitjeve dhe libri i blerjeve</w:t>
      </w:r>
      <w:r>
        <w:rPr>
          <w:lang w:val="sq-AL"/>
        </w:rPr>
        <w:t>,</w:t>
      </w:r>
      <w:r w:rsidRPr="00F06FDF">
        <w:rPr>
          <w:lang w:val="sq-AL"/>
        </w:rPr>
        <w:t xml:space="preserve"> të mbajtura për efekte të TVSH-së, shërbejnë si të tillë edhe për efekte të tatimit të thjeshtuar mbi fitimin e biznesit të vogël.”</w:t>
      </w:r>
    </w:p>
    <w:p w:rsidR="005B7226" w:rsidRPr="00F06FDF" w:rsidRDefault="005B7226" w:rsidP="005B7226">
      <w:pPr>
        <w:pStyle w:val="Paragrafi"/>
        <w:rPr>
          <w:lang w:val="sq-AL"/>
        </w:rPr>
      </w:pPr>
      <w:r w:rsidRPr="00F06FDF">
        <w:rPr>
          <w:lang w:val="sq-AL"/>
        </w:rPr>
        <w:t>11. Në fjalinë e parë të pikës 59.1.1, fjalët “300 mijë lekë” zëvendësohen me fjalët “150 mijë lekë”.</w:t>
      </w:r>
    </w:p>
    <w:p w:rsidR="005B7226" w:rsidRPr="00F06FDF" w:rsidRDefault="005B7226" w:rsidP="005B7226">
      <w:pPr>
        <w:pStyle w:val="Paragrafi"/>
        <w:rPr>
          <w:lang w:val="sq-AL"/>
        </w:rPr>
      </w:pPr>
      <w:r w:rsidRPr="00F06FDF">
        <w:rPr>
          <w:lang w:val="sq-AL"/>
        </w:rPr>
        <w:t>12. Në pikën 64.2.1, fjalia e fundit ndryshohet në përmbajtje si vijon:</w:t>
      </w:r>
    </w:p>
    <w:p w:rsidR="005B7226" w:rsidRPr="00F06FDF" w:rsidRDefault="005B7226" w:rsidP="005B7226">
      <w:pPr>
        <w:pStyle w:val="Paragrafi"/>
        <w:rPr>
          <w:lang w:val="sq-AL"/>
        </w:rPr>
      </w:pPr>
      <w:r>
        <w:rPr>
          <w:lang w:val="sq-AL"/>
        </w:rPr>
        <w:t>“</w:t>
      </w:r>
      <w:r w:rsidRPr="00F06FDF">
        <w:rPr>
          <w:lang w:val="sq-AL"/>
        </w:rPr>
        <w:t>Kurse për personat e tatueshëm, subjekte të tatimit mbi fitimin e biznesit të vogël, periudhat tatimore për llogaritjen, deklarimin dhe pagesat e tatimit janë sipas ligjit “Për sistemin e taksave vendore” dhe udhëzimin në zbatim të tij “Për tatimin e thjeshtuar mbi fitimin e biznesit të vogël”, si dhe janë periudha tremujore për llogaritjen, deklarimin dhe pagesën e kontributeve të sigurimeve shoqërore dhe shëndetësore dhe tatimin mbi të ardhurat nga punësimi.</w:t>
      </w:r>
      <w:r>
        <w:rPr>
          <w:lang w:val="sq-AL"/>
        </w:rPr>
        <w:t>”</w:t>
      </w:r>
    </w:p>
    <w:p w:rsidR="005B7226" w:rsidRPr="00F06FDF" w:rsidRDefault="005B7226" w:rsidP="005B7226">
      <w:pPr>
        <w:pStyle w:val="Paragrafi"/>
        <w:rPr>
          <w:lang w:val="sq-AL"/>
        </w:rPr>
      </w:pPr>
      <w:r w:rsidRPr="00F06FDF">
        <w:rPr>
          <w:lang w:val="sq-AL"/>
        </w:rPr>
        <w:t>13. Në pikën 68.2.1, fjalia e fundit ndryshon në përmbajtje si vijon:</w:t>
      </w:r>
    </w:p>
    <w:p w:rsidR="005B7226" w:rsidRPr="00F06FDF" w:rsidRDefault="005B7226" w:rsidP="005B7226">
      <w:pPr>
        <w:pStyle w:val="Paragrafi"/>
        <w:rPr>
          <w:lang w:val="sq-AL"/>
        </w:rPr>
      </w:pPr>
      <w:r w:rsidRPr="00F06FDF">
        <w:rPr>
          <w:lang w:val="sq-AL"/>
        </w:rPr>
        <w:t>“Të tilla janë deklarimet e tatimit mbi vlerën e shtuar, të tatimit mbi fitimin, kontributet për sigurimet shoqërore dhe shëndetësore, tatimi mbi të ardhurat nga punësimi, tatimi i thjeshtuar mbi fitimin e biznesit të vogël etj.”</w:t>
      </w:r>
    </w:p>
    <w:p w:rsidR="005B7226" w:rsidRPr="00F06FDF" w:rsidRDefault="005B7226" w:rsidP="005B7226">
      <w:pPr>
        <w:pStyle w:val="Paragrafi"/>
        <w:rPr>
          <w:lang w:val="sq-AL"/>
        </w:rPr>
      </w:pPr>
      <w:r w:rsidRPr="00F06FDF">
        <w:rPr>
          <w:lang w:val="sq-AL"/>
        </w:rPr>
        <w:t xml:space="preserve">14. Pika 68.2.3 ndryshon në përmbajtje si vijon: </w:t>
      </w:r>
    </w:p>
    <w:p w:rsidR="005B7226" w:rsidRPr="00F06FDF" w:rsidRDefault="005B7226" w:rsidP="005B7226">
      <w:pPr>
        <w:pStyle w:val="Paragrafi"/>
        <w:rPr>
          <w:lang w:val="sq-AL"/>
        </w:rPr>
      </w:pPr>
      <w:r w:rsidRPr="00F06FDF">
        <w:rPr>
          <w:lang w:val="sq-AL"/>
        </w:rPr>
        <w:t xml:space="preserve">“68.2.3 Parapagimi i detyrimit tatimor, i cili përdoret në rastin e parapagimit të tatimit mbi fitimin gjatë vitit ushtrimor dhe të tatimit të thjeshtuar mbi fitimin e biznesit të vogël, është, gjithashtu, vetëvlerësim tatimor. </w:t>
      </w:r>
    </w:p>
    <w:p w:rsidR="005B7226" w:rsidRPr="00F06FDF" w:rsidRDefault="005B7226" w:rsidP="005B7226">
      <w:pPr>
        <w:pStyle w:val="Paragrafi"/>
        <w:rPr>
          <w:lang w:val="sq-AL"/>
        </w:rPr>
      </w:pPr>
      <w:r w:rsidRPr="00F06FDF">
        <w:rPr>
          <w:lang w:val="sq-AL"/>
        </w:rPr>
        <w:t xml:space="preserve">Llogaritja e kësteve të parapagimit të tatimit mbi fitimin dhe pagesa e tyre bazohet në mënyrën dhe afatet e parashikuara në ligjin “Për tatimin mbi të ardhurat”. Vetëvlerësimi përfundimtar i detyrimit tatimor bëhet në momentin e paraqitjes së deklaratës vjetore të të ardhurave të tatueshme (të fitimit/humbjes). </w:t>
      </w:r>
    </w:p>
    <w:p w:rsidR="005B7226" w:rsidRPr="00F06FDF" w:rsidRDefault="005B7226" w:rsidP="005B7226">
      <w:pPr>
        <w:pStyle w:val="Paragrafi"/>
        <w:rPr>
          <w:lang w:val="sq-AL"/>
        </w:rPr>
      </w:pPr>
      <w:r w:rsidRPr="00F06FDF">
        <w:rPr>
          <w:lang w:val="sq-AL"/>
        </w:rPr>
        <w:t>Llogaritja e kësteve të parapagimit të tatimit të thjeshtuar mbi fitimin të biznesit të vogël apo pagesa e detyrimit të tatimit të thjeshtuar mbi fitimin e biznesit të vogël bazohet në mënyrën e parashikuar në ligjin “Për sistemin e taksave vendore” dhe udhëzimit në zbatim të tij “Për tatimin e thjeshtuar mbi fitimin e biznesit të vogël”. Vlerësimi përfundimtar i detyrimit tatimor të biznesit të vogël, për subjektet</w:t>
      </w:r>
      <w:r>
        <w:rPr>
          <w:lang w:val="sq-AL"/>
        </w:rPr>
        <w:t>,</w:t>
      </w:r>
      <w:r w:rsidRPr="00F06FDF">
        <w:rPr>
          <w:lang w:val="sq-AL"/>
        </w:rPr>
        <w:t xml:space="preserve"> të cilat kanë detyrim për të deklaruar, bëhet në momentin e paraqitjes së deklaratës vjetore (formularit të deklarimit dhe pagesës së tatimit të thjeshtuar mbi fitimin), siç përcaktohet në </w:t>
      </w:r>
      <w:r w:rsidRPr="00F06FDF">
        <w:rPr>
          <w:lang w:val="sq-AL"/>
        </w:rPr>
        <w:lastRenderedPageBreak/>
        <w:t xml:space="preserve">ligjin “Për sistemin e taksave vendore” dhe udhëzimin në zbatim të tij.” </w:t>
      </w:r>
    </w:p>
    <w:p w:rsidR="005B7226" w:rsidRPr="00F06FDF" w:rsidRDefault="005B7226" w:rsidP="005B7226">
      <w:pPr>
        <w:pStyle w:val="Paragrafi"/>
        <w:rPr>
          <w:lang w:val="sq-AL"/>
        </w:rPr>
      </w:pPr>
      <w:r w:rsidRPr="00F06FDF">
        <w:rPr>
          <w:lang w:val="sq-AL"/>
        </w:rPr>
        <w:t>15. Pikat 69.1 dhe 69.4 ndryshojnë në përmbajtje si vijon:</w:t>
      </w:r>
    </w:p>
    <w:p w:rsidR="005B7226" w:rsidRPr="00F06FDF" w:rsidRDefault="005B7226" w:rsidP="005B7226">
      <w:pPr>
        <w:pStyle w:val="Paragrafi"/>
        <w:rPr>
          <w:lang w:val="sq-AL"/>
        </w:rPr>
      </w:pPr>
      <w:r w:rsidRPr="00F06FDF">
        <w:rPr>
          <w:lang w:val="sq-AL"/>
        </w:rPr>
        <w:t>“69.1 Njoftimi i vlerësimit tatimor</w:t>
      </w:r>
      <w:r>
        <w:rPr>
          <w:lang w:val="sq-AL"/>
        </w:rPr>
        <w:t>,</w:t>
      </w:r>
      <w:r w:rsidRPr="00F06FDF">
        <w:rPr>
          <w:lang w:val="sq-AL"/>
        </w:rPr>
        <w:t xml:space="preserve"> i bërë nga administrata tatimore për personin e tatueshëm, duhet t’i dërgohet personit me postë rekomande, brenda 10 ditëve nga data e lëshimit të tij. Data e lëshimit të njoftimit të vlerësimit tatimor, konsiderohet data e plotësimit të tij, e cila shënohet në rubrikën përkatëse të formularit të njoftimit të vlerësimit. Njoftimi i vlerësimit tatimor</w:t>
      </w:r>
      <w:r>
        <w:rPr>
          <w:lang w:val="sq-AL"/>
        </w:rPr>
        <w:t>,</w:t>
      </w:r>
      <w:r w:rsidRPr="00F06FDF">
        <w:rPr>
          <w:lang w:val="sq-AL"/>
        </w:rPr>
        <w:t xml:space="preserve"> i dërguar me postë rekomande në adresën e personit të tatueshëm, merret ose konsiderohet se është marrë nga ky i fundit, 10 ditë nga data e nisjes me postë. Me hyrjen në fuqi të njoftimit të vlerësimit tatimor</w:t>
      </w:r>
      <w:r>
        <w:rPr>
          <w:lang w:val="sq-AL"/>
        </w:rPr>
        <w:t>,</w:t>
      </w:r>
      <w:r w:rsidRPr="00F06FDF">
        <w:rPr>
          <w:lang w:val="sq-AL"/>
        </w:rPr>
        <w:t xml:space="preserve"> siç përcaktohet në pikën 68.3.2 të këtij udhëzimi, lind detyrimi për të paguar detyrimin tatimor të përcaktuar në njoftimin e vlerësimit tatimor.”</w:t>
      </w:r>
    </w:p>
    <w:p w:rsidR="005B7226" w:rsidRPr="00F06FDF" w:rsidRDefault="005B7226" w:rsidP="005B7226">
      <w:pPr>
        <w:pStyle w:val="Paragrafi"/>
        <w:rPr>
          <w:lang w:val="sq-AL"/>
        </w:rPr>
      </w:pPr>
      <w:r w:rsidRPr="00F06FDF">
        <w:rPr>
          <w:lang w:val="sq-AL"/>
        </w:rPr>
        <w:t>“69.4 Personi i tatueshëm, që nuk është dakord me njoftimin e vlerësimit tatimor, ka të drejtë ta ankimojë atë brenda 30 ditëve kalendarike nga data e marrjes së njoftimit të vlerësimit në përputhje me procedurat e parashikuara në kreun XIII të ligjit. Në rastet kur nuk mund të provohet e saktë data e marrjes së vlerësimit të detyrimit tatimor, konsiderohet të jetë marrë 10 (dhjetë) ditë nga data e nisjes me postë.”</w:t>
      </w:r>
    </w:p>
    <w:p w:rsidR="005B7226" w:rsidRPr="00F06FDF" w:rsidRDefault="005B7226" w:rsidP="005B7226">
      <w:pPr>
        <w:pStyle w:val="Paragrafi"/>
        <w:rPr>
          <w:lang w:val="sq-AL"/>
        </w:rPr>
      </w:pPr>
      <w:r w:rsidRPr="00F06FDF">
        <w:rPr>
          <w:lang w:val="sq-AL"/>
        </w:rPr>
        <w:t xml:space="preserve">16. Pika 70.3 ndryshohet në përmbajtje si vijon: </w:t>
      </w:r>
    </w:p>
    <w:p w:rsidR="005B7226" w:rsidRPr="00F06FDF" w:rsidRDefault="005B7226" w:rsidP="005B7226">
      <w:pPr>
        <w:pStyle w:val="Paragrafi"/>
        <w:rPr>
          <w:lang w:val="sq-AL"/>
        </w:rPr>
      </w:pPr>
      <w:r w:rsidRPr="00F06FDF">
        <w:rPr>
          <w:lang w:val="sq-AL"/>
        </w:rPr>
        <w:t>“70.3 Zyra tatimore e qeverisjes vendore ka të drejtë të nxjerrë njoftimin e vlerësimit tatimor për llojet e taksave që administron, për të gjithë personat e tatueshëm, subjekte të taksave vendore, përfshirë edhe tatimpaguesit që klasifikohen si biznes i vogël.</w:t>
      </w:r>
    </w:p>
    <w:p w:rsidR="005B7226" w:rsidRPr="00F06FDF" w:rsidRDefault="005B7226" w:rsidP="005B7226">
      <w:pPr>
        <w:pStyle w:val="Paragrafi"/>
        <w:rPr>
          <w:lang w:val="sq-AL"/>
        </w:rPr>
      </w:pPr>
      <w:r w:rsidRPr="00F06FDF">
        <w:rPr>
          <w:lang w:val="sq-AL"/>
        </w:rPr>
        <w:t>Për detyrimet tatimore</w:t>
      </w:r>
      <w:r>
        <w:rPr>
          <w:lang w:val="sq-AL"/>
        </w:rPr>
        <w:t>,</w:t>
      </w:r>
      <w:r w:rsidRPr="00F06FDF">
        <w:rPr>
          <w:lang w:val="sq-AL"/>
        </w:rPr>
        <w:t xml:space="preserve"> të lidhura me tatimin e thjeshtuar mbi fitimin e biznesit të vogël, njoftimi i vlerësimit tatimor nxirret nga Drejtoria Rajonale Tatimore përkatëse.”</w:t>
      </w:r>
    </w:p>
    <w:p w:rsidR="005B7226" w:rsidRPr="00F06FDF" w:rsidRDefault="005B7226" w:rsidP="005B7226">
      <w:pPr>
        <w:pStyle w:val="Paragrafi"/>
        <w:rPr>
          <w:lang w:val="sq-AL"/>
        </w:rPr>
      </w:pPr>
      <w:r w:rsidRPr="00F06FDF">
        <w:rPr>
          <w:lang w:val="sq-AL"/>
        </w:rPr>
        <w:t>17. Në pikën 71, shkronja “e”, fjalët “300 mijë lekë” zëvendësohen me fjalët “150 mijë lekë”.</w:t>
      </w:r>
    </w:p>
    <w:p w:rsidR="005B7226" w:rsidRPr="00F06FDF" w:rsidRDefault="005B7226" w:rsidP="005B7226">
      <w:pPr>
        <w:pStyle w:val="Paragrafi"/>
        <w:rPr>
          <w:bCs/>
          <w:lang w:val="sq-AL"/>
        </w:rPr>
      </w:pPr>
      <w:r w:rsidRPr="00F06FDF">
        <w:rPr>
          <w:lang w:val="sq-AL"/>
        </w:rPr>
        <w:t>18. Pika 75/1.2, fjalia e parë ndryshohet si më poshtë:</w:t>
      </w:r>
    </w:p>
    <w:p w:rsidR="005B7226" w:rsidRPr="00F06FDF" w:rsidRDefault="005B7226" w:rsidP="005B7226">
      <w:pPr>
        <w:pStyle w:val="Paragrafi"/>
        <w:rPr>
          <w:lang w:val="sq-AL"/>
        </w:rPr>
      </w:pPr>
      <w:r w:rsidRPr="00F06FDF">
        <w:rPr>
          <w:lang w:val="sq-AL"/>
        </w:rPr>
        <w:t>“Me administrimin e kësaj kërkese, drejtoria rajonale tatimore, brenda një periudhe 60-ditore nga data e regjistrimit të saj në protokollin e organit tatimor, duhet të verifikojë pretendimin e tatimpaguesit.”</w:t>
      </w:r>
    </w:p>
    <w:p w:rsidR="005B7226" w:rsidRPr="00F06FDF" w:rsidRDefault="005B7226" w:rsidP="005B7226">
      <w:pPr>
        <w:pStyle w:val="Paragrafi"/>
        <w:rPr>
          <w:lang w:val="sq-AL"/>
        </w:rPr>
      </w:pPr>
      <w:r w:rsidRPr="00F06FDF">
        <w:rPr>
          <w:lang w:val="sq-AL"/>
        </w:rPr>
        <w:t>19. Pika 83.4 ndryshohet në përmbajtje si më poshtë:</w:t>
      </w:r>
    </w:p>
    <w:p w:rsidR="005B7226" w:rsidRPr="00F06FDF" w:rsidRDefault="005B7226" w:rsidP="005B7226">
      <w:pPr>
        <w:pStyle w:val="Paragrafi"/>
        <w:rPr>
          <w:lang w:val="sq-AL"/>
        </w:rPr>
      </w:pPr>
      <w:r w:rsidRPr="00F06FDF">
        <w:rPr>
          <w:lang w:val="sq-AL"/>
        </w:rPr>
        <w:t>“83.4 Personi i tatueshëm i kontrolluar ka të drejtë të kundërshtojë rezultatet e kontrollit tatimor brenda 15 (pesëmbëdhjetë) ditëve kalendarike pas datës, kur vlerësohet se raporti është marrë nga tatimpaguesi.”</w:t>
      </w:r>
    </w:p>
    <w:p w:rsidR="005B7226" w:rsidRPr="00F06FDF" w:rsidRDefault="005B7226" w:rsidP="005B7226">
      <w:pPr>
        <w:pStyle w:val="Paragrafi"/>
        <w:rPr>
          <w:lang w:val="sq-AL"/>
        </w:rPr>
      </w:pPr>
      <w:r w:rsidRPr="00F06FDF">
        <w:rPr>
          <w:lang w:val="sq-AL"/>
        </w:rPr>
        <w:t>20. Në pikën 90.2, togfjalëshi “ekzekutohet i pari” zëvendësohet me togfjalëshin “ekzekutohet sipas radhës së përcaktuar në nenin 605 të ligjit nr. 7850, datë 29.7.1994 “Kodi Civil i Republikës së Shqipërisë”, të ndryshuar.”</w:t>
      </w:r>
    </w:p>
    <w:p w:rsidR="005B7226" w:rsidRPr="00F06FDF" w:rsidRDefault="005B7226" w:rsidP="005B7226">
      <w:pPr>
        <w:pStyle w:val="Paragrafi"/>
        <w:rPr>
          <w:lang w:val="sq-AL"/>
        </w:rPr>
      </w:pPr>
      <w:r w:rsidRPr="00F06FDF">
        <w:rPr>
          <w:lang w:val="sq-AL"/>
        </w:rPr>
        <w:t>21. Pika 92.3 ndryshon në përmbajtje si vijon:</w:t>
      </w:r>
    </w:p>
    <w:p w:rsidR="005B7226" w:rsidRPr="00F06FDF" w:rsidRDefault="005B7226" w:rsidP="005B7226">
      <w:pPr>
        <w:pStyle w:val="Paragrafi"/>
        <w:rPr>
          <w:lang w:val="sq-AL"/>
        </w:rPr>
      </w:pPr>
      <w:r w:rsidRPr="00F06FDF">
        <w:rPr>
          <w:lang w:val="sq-AL"/>
        </w:rPr>
        <w:t>“92.3 Në qoftë se drejtori i drejtorisë rajonale tatimore apo titullari i njësisë së ngjashme me të nuk miraton kërkesën e tatimpaguesit, tatimpaguesi mund ta ankimojë këtë vendim brenda afateve dhe në formën, mënyrën e kërkuar nga kreu XIII i ligjit dhe sipas procedurave të përcaktuara në këtë udhëzim për ankimet tatimore.”</w:t>
      </w:r>
    </w:p>
    <w:p w:rsidR="005B7226" w:rsidRPr="00F06FDF" w:rsidRDefault="005B7226" w:rsidP="005B7226">
      <w:pPr>
        <w:pStyle w:val="Paragrafi"/>
        <w:rPr>
          <w:lang w:val="sq-AL"/>
        </w:rPr>
      </w:pPr>
      <w:r w:rsidRPr="00F06FDF">
        <w:rPr>
          <w:lang w:val="sq-AL"/>
        </w:rPr>
        <w:t>22. Pika 106.1.8, paragrafi i parë, fjalia e parë ndryshon në përmbajtje si vijon:</w:t>
      </w:r>
    </w:p>
    <w:p w:rsidR="005B7226" w:rsidRPr="00F06FDF" w:rsidRDefault="005B7226" w:rsidP="005B7226">
      <w:pPr>
        <w:pStyle w:val="Paragrafi"/>
        <w:rPr>
          <w:lang w:val="sq-AL"/>
        </w:rPr>
      </w:pPr>
      <w:r w:rsidRPr="00F06FDF">
        <w:rPr>
          <w:lang w:val="sq-AL"/>
        </w:rPr>
        <w:t>“Me përjashtim të ankimimit të ushtruar nga tatimpaguesi</w:t>
      </w:r>
      <w:r>
        <w:rPr>
          <w:lang w:val="sq-AL"/>
        </w:rPr>
        <w:t>,</w:t>
      </w:r>
      <w:r w:rsidRPr="00F06FDF">
        <w:rPr>
          <w:lang w:val="sq-AL"/>
        </w:rPr>
        <w:t xml:space="preserve"> në përputhje me parashikimin e nenit 92, kreu XI të ligjit, masat administrative të parashikuara sipas këtij kreu dhe në kapituj të tjerë të këtij ligji, që kanë të bëjnë me masat e mbledhjes me forcë, nuk janë objekt apelimi administrativ pranë Drejtorisë së Apelimit Tatimor.”</w:t>
      </w:r>
    </w:p>
    <w:p w:rsidR="005B7226" w:rsidRPr="00F06FDF" w:rsidRDefault="005B7226" w:rsidP="005B7226">
      <w:pPr>
        <w:pStyle w:val="Paragrafi"/>
        <w:rPr>
          <w:lang w:val="sq-AL"/>
        </w:rPr>
      </w:pPr>
      <w:r w:rsidRPr="00F06FDF">
        <w:rPr>
          <w:lang w:val="sq-AL"/>
        </w:rPr>
        <w:t>23. Në pikën 107, fjala “interesa” zëvendësohet me fjalën “kamatëvonesa”.</w:t>
      </w:r>
    </w:p>
    <w:p w:rsidR="005B7226" w:rsidRPr="00F06FDF" w:rsidRDefault="005B7226" w:rsidP="005B7226">
      <w:pPr>
        <w:pStyle w:val="Paragrafi"/>
        <w:rPr>
          <w:lang w:val="sq-AL"/>
        </w:rPr>
      </w:pPr>
      <w:r>
        <w:rPr>
          <w:lang w:val="sq-AL"/>
        </w:rPr>
        <w:t>24. Pika 107.1</w:t>
      </w:r>
      <w:r w:rsidRPr="00F06FDF">
        <w:rPr>
          <w:lang w:val="sq-AL"/>
        </w:rPr>
        <w:t xml:space="preserve"> ndryshohet në përmbajtje si vijon:</w:t>
      </w:r>
    </w:p>
    <w:p w:rsidR="005B7226" w:rsidRPr="00F06FDF" w:rsidRDefault="005B7226" w:rsidP="005B7226">
      <w:pPr>
        <w:pStyle w:val="Paragrafi"/>
        <w:rPr>
          <w:lang w:val="sq-AL"/>
        </w:rPr>
      </w:pPr>
      <w:r w:rsidRPr="00F06FDF">
        <w:rPr>
          <w:lang w:val="sq-AL"/>
        </w:rPr>
        <w:t xml:space="preserve">“107.1 Kur një detyrim tatimor është objekt ankimi, ankimi pranohet vetëm në qoftë se ankimuesi, në përputhje me nenin 107 (1) të ligjit: </w:t>
      </w:r>
    </w:p>
    <w:p w:rsidR="005B7226" w:rsidRPr="00F06FDF" w:rsidRDefault="005B7226" w:rsidP="005B7226">
      <w:pPr>
        <w:pStyle w:val="Paragrafi"/>
        <w:rPr>
          <w:lang w:val="sq-AL"/>
        </w:rPr>
      </w:pPr>
      <w:r w:rsidRPr="00F06FDF">
        <w:rPr>
          <w:lang w:val="sq-AL"/>
        </w:rPr>
        <w:t>a) paguan shumën e plotë të detyrimit tatimor, objekt ankimi</w:t>
      </w:r>
      <w:r>
        <w:rPr>
          <w:lang w:val="sq-AL"/>
        </w:rPr>
        <w:t>,</w:t>
      </w:r>
      <w:r w:rsidRPr="00F06FDF">
        <w:rPr>
          <w:lang w:val="sq-AL"/>
        </w:rPr>
        <w:t xml:space="preserve"> të përcaktuar në aktin administrativ që ankimohet ose vendos garanci bankare për këtë shumë; </w:t>
      </w:r>
    </w:p>
    <w:p w:rsidR="005B7226" w:rsidRPr="00F06FDF" w:rsidRDefault="005B7226" w:rsidP="005B7226">
      <w:pPr>
        <w:pStyle w:val="Paragrafi"/>
        <w:rPr>
          <w:lang w:val="sq-AL"/>
        </w:rPr>
      </w:pPr>
      <w:r w:rsidRPr="00F06FDF">
        <w:rPr>
          <w:lang w:val="sq-AL"/>
        </w:rPr>
        <w:lastRenderedPageBreak/>
        <w:t>b) vërteton pagesën ose garancinë, duke paraqitur një kopje të dokumentit të pagesës së detyrimit tatimor objekt ankimi ose të garancisë bankare. Si vërtetimi i pagesës, dhe ai i garancisë, janë kërkesa të detyrueshme.”</w:t>
      </w:r>
    </w:p>
    <w:p w:rsidR="005B7226" w:rsidRPr="00F06FDF" w:rsidRDefault="005B7226" w:rsidP="005B7226">
      <w:pPr>
        <w:pStyle w:val="Paragrafi"/>
        <w:rPr>
          <w:lang w:val="sq-AL"/>
        </w:rPr>
      </w:pPr>
      <w:r w:rsidRPr="00F06FDF">
        <w:rPr>
          <w:lang w:val="sq-AL"/>
        </w:rPr>
        <w:t>25. Pika 107.2.1 ndryshohet në përmbajtje si vijon:</w:t>
      </w:r>
    </w:p>
    <w:p w:rsidR="005B7226" w:rsidRPr="00F06FDF" w:rsidRDefault="005B7226" w:rsidP="005B7226">
      <w:pPr>
        <w:pStyle w:val="Paragrafi"/>
        <w:rPr>
          <w:lang w:val="sq-AL"/>
        </w:rPr>
      </w:pPr>
      <w:r w:rsidRPr="00F06FDF">
        <w:rPr>
          <w:lang w:val="sq-AL"/>
        </w:rPr>
        <w:t>“107.2.1 Shuma e pagueshme ose shuma e vënë si garanci bankare, në përputhje me pikën 1 të nenit 107 të ligjit, përjashton gjobat e përfshira në vlerësimin tatimor të ankimuar.”</w:t>
      </w:r>
    </w:p>
    <w:p w:rsidR="005B7226" w:rsidRPr="00F06FDF" w:rsidRDefault="005B7226" w:rsidP="005B7226">
      <w:pPr>
        <w:pStyle w:val="Paragrafi"/>
        <w:rPr>
          <w:lang w:val="sq-AL"/>
        </w:rPr>
      </w:pPr>
      <w:r w:rsidRPr="00F06FDF">
        <w:rPr>
          <w:lang w:val="sq-AL"/>
        </w:rPr>
        <w:t>26. Pika 107.3.1 ndryshohet në përmbajtje si vijon:</w:t>
      </w:r>
    </w:p>
    <w:p w:rsidR="005B7226" w:rsidRPr="00F06FDF" w:rsidRDefault="005B7226" w:rsidP="005B7226">
      <w:pPr>
        <w:pStyle w:val="Paragrafi"/>
        <w:rPr>
          <w:lang w:val="sq-AL"/>
        </w:rPr>
      </w:pPr>
      <w:r w:rsidRPr="00F06FDF">
        <w:rPr>
          <w:lang w:val="sq-AL"/>
        </w:rPr>
        <w:t>“107.3.1 Në qoftë se tatimpaguesi nuk paguan shumën e caktuar para skadimit të afatit të ankimit, ose nuk vendos garancinë bankare, ankimi konsiderohet i papranueshëm dhe refuzohet. Pra, nëse tatimpaguesi ka paraqitur ankimin, dhe pas këtij momenti, por para skadimit të afatit të apelimit, ka paguar tatimin dhe kamatëvonesat përkatëse ose ka vendosur garancinë bankare, Drejtoria e Apelimit Tatimor (DAT) duhet ta shqyrtojë ankimin. Drejtoria e Apelimit Tatimor nuk është e detyruar që para refuzimit të apelimit, ta informojë tatimpaguesin që ankimi i tij është i papranueshëm.”</w:t>
      </w:r>
    </w:p>
    <w:p w:rsidR="005B7226" w:rsidRPr="00F06FDF" w:rsidRDefault="005B7226" w:rsidP="005B7226">
      <w:pPr>
        <w:pStyle w:val="Paragrafi"/>
        <w:rPr>
          <w:lang w:val="sq-AL"/>
        </w:rPr>
      </w:pPr>
      <w:r w:rsidRPr="00F06FDF">
        <w:rPr>
          <w:lang w:val="sq-AL"/>
        </w:rPr>
        <w:t xml:space="preserve">27. Në fund të paragrafit 109.1 shtohet fjalia: </w:t>
      </w:r>
    </w:p>
    <w:p w:rsidR="005B7226" w:rsidRPr="00F06FDF" w:rsidRDefault="005B7226" w:rsidP="005B7226">
      <w:pPr>
        <w:pStyle w:val="Paragrafi"/>
        <w:rPr>
          <w:lang w:val="sq-AL"/>
        </w:rPr>
      </w:pPr>
      <w:r w:rsidRPr="00F06FDF">
        <w:rPr>
          <w:lang w:val="sq-AL"/>
        </w:rPr>
        <w:t xml:space="preserve">“Drejtoria e Apelimit Tatimor merr masat për publikimin e qëndrimeve të mbajtura në vendimet e marra prej saj në </w:t>
      </w:r>
      <w:r w:rsidRPr="00F06FDF">
        <w:rPr>
          <w:i/>
          <w:lang w:val="sq-AL"/>
        </w:rPr>
        <w:t>website</w:t>
      </w:r>
      <w:r w:rsidRPr="00F06FDF">
        <w:rPr>
          <w:lang w:val="sq-AL"/>
        </w:rPr>
        <w:t>-in e Drejtorisë së Përgjithshme të Tatimeve.”</w:t>
      </w:r>
    </w:p>
    <w:p w:rsidR="005B7226" w:rsidRPr="00F06FDF" w:rsidRDefault="005B7226" w:rsidP="005B7226">
      <w:pPr>
        <w:pStyle w:val="Paragrafi"/>
        <w:rPr>
          <w:lang w:val="sq-AL"/>
        </w:rPr>
      </w:pPr>
      <w:r w:rsidRPr="00F06FDF">
        <w:rPr>
          <w:lang w:val="sq-AL"/>
        </w:rPr>
        <w:t>28. Në fund të pikës 110.1 shtohet paragrafi me përmbajtje:</w:t>
      </w:r>
    </w:p>
    <w:p w:rsidR="005B7226" w:rsidRPr="00F06FDF" w:rsidRDefault="005B7226" w:rsidP="005B7226">
      <w:pPr>
        <w:pStyle w:val="Paragrafi"/>
        <w:rPr>
          <w:lang w:val="sq-AL"/>
        </w:rPr>
      </w:pPr>
      <w:r w:rsidRPr="00F06FDF">
        <w:rPr>
          <w:lang w:val="sq-AL"/>
        </w:rPr>
        <w:t xml:space="preserve">“Nëse tatimpaguesi ka paraqitur garanci për pagesën e detyrimit, kjo çlirohet tërësisht apo pjesërisht sipas vendimit të Drejtorisë së Apelimit, brenda 30 ditëve kalendarike nga data kur është marrë apo vlerësohet të jetë marrë vendimi.” </w:t>
      </w:r>
    </w:p>
    <w:p w:rsidR="005B7226" w:rsidRPr="00F06FDF" w:rsidRDefault="005B7226" w:rsidP="005B7226">
      <w:pPr>
        <w:pStyle w:val="Paragrafi"/>
        <w:rPr>
          <w:lang w:val="sq-AL"/>
        </w:rPr>
      </w:pPr>
      <w:r w:rsidRPr="00F06FDF">
        <w:rPr>
          <w:lang w:val="sq-AL"/>
        </w:rPr>
        <w:t>29. Pika 114.3 e udhëzimit shfuqizohet.</w:t>
      </w:r>
    </w:p>
    <w:p w:rsidR="005B7226" w:rsidRPr="00F06FDF" w:rsidRDefault="005B7226" w:rsidP="005B7226">
      <w:pPr>
        <w:pStyle w:val="Paragrafi"/>
        <w:rPr>
          <w:lang w:val="sq-AL"/>
        </w:rPr>
      </w:pPr>
      <w:r w:rsidRPr="00F06FDF">
        <w:rPr>
          <w:lang w:val="sq-AL"/>
        </w:rPr>
        <w:t>30. Pika 117 ndryshon si më poshtë:</w:t>
      </w:r>
    </w:p>
    <w:p w:rsidR="005B7226" w:rsidRPr="00F06FDF" w:rsidRDefault="005B7226" w:rsidP="005B7226">
      <w:pPr>
        <w:pStyle w:val="Paragrafi"/>
        <w:rPr>
          <w:lang w:val="sq-AL"/>
        </w:rPr>
      </w:pPr>
      <w:r w:rsidRPr="00F06FDF">
        <w:rPr>
          <w:lang w:val="sq-AL"/>
        </w:rPr>
        <w:t xml:space="preserve"> “117. Agjenti i mbajtjes së tatimit në burim, agjenti i taksave apo tarifave, që nuk arrin të mbajë, të llogarisë, të raportojë dhe të transferojë në buxhetin e shtetit, tatimin në burim apo tatimet, taksat dhe tarifat e mbledhura, apo i shmanget mbledhjes së tyre, detyrohet të paguajë gjobë të barabartë me 50 për qind të shumës së plotë të tatimit, taksës apo tarifës së pambledhur apo të shmangur.”</w:t>
      </w:r>
    </w:p>
    <w:p w:rsidR="005B7226" w:rsidRPr="00F06FDF" w:rsidRDefault="005B7226" w:rsidP="005B7226">
      <w:pPr>
        <w:pStyle w:val="Paragrafi"/>
        <w:rPr>
          <w:lang w:val="sq-AL"/>
        </w:rPr>
      </w:pPr>
      <w:r w:rsidRPr="00F06FDF">
        <w:rPr>
          <w:lang w:val="sq-AL"/>
        </w:rPr>
        <w:t xml:space="preserve">31. Pika 120 ndryshon me përmbajtjen e mëposhtme: </w:t>
      </w:r>
    </w:p>
    <w:p w:rsidR="005B7226" w:rsidRPr="00F06FDF" w:rsidRDefault="005B7226" w:rsidP="005B7226">
      <w:pPr>
        <w:pStyle w:val="Paragrafi"/>
        <w:rPr>
          <w:lang w:val="sq-AL"/>
        </w:rPr>
      </w:pPr>
      <w:r w:rsidRPr="00F06FDF">
        <w:rPr>
          <w:lang w:val="sq-AL"/>
        </w:rPr>
        <w:t xml:space="preserve">“120. Pagesat ose arkëtimet me para në dorë mbi 150.000 lekë. </w:t>
      </w:r>
    </w:p>
    <w:p w:rsidR="005B7226" w:rsidRPr="00F06FDF" w:rsidRDefault="005B7226" w:rsidP="005B7226">
      <w:pPr>
        <w:pStyle w:val="Paragrafi"/>
        <w:rPr>
          <w:lang w:val="sq-AL"/>
        </w:rPr>
      </w:pPr>
      <w:r w:rsidRPr="00F06FDF">
        <w:rPr>
          <w:lang w:val="sq-AL"/>
        </w:rPr>
        <w:t xml:space="preserve">Tatimpaguesit, persona fizikë apo juridikë, tregtarë, që kryejnë ndërmjet tyre transaksione shitjeje ose blerjeje me para në dorë, kur vlera e transaksionit është më e madhe se 150 000 lekë, dënohen me gjobë në masën 10 për qind të vlerës së secilit transaksion. </w:t>
      </w:r>
    </w:p>
    <w:p w:rsidR="005B7226" w:rsidRPr="00F06FDF" w:rsidRDefault="005B7226" w:rsidP="005B7226">
      <w:pPr>
        <w:pStyle w:val="Paragrafi"/>
        <w:rPr>
          <w:lang w:val="sq-AL"/>
        </w:rPr>
      </w:pPr>
      <w:r w:rsidRPr="00F06FDF">
        <w:rPr>
          <w:lang w:val="sq-AL"/>
        </w:rPr>
        <w:t xml:space="preserve">Ky dënim do të zbatohet si për blerësin, edhe për shitësin, nëse të dy janë persona juridikë dhe/ose fizikë tregtarë, dhe blerësi ka paguar direkt shitësin me para në dorë. Në rast se blerësi ka paguar me para në dorë në llogarinë bankare të shitësit, dënimi zbatohet vetëm ndaj blerësit. Ashtu sikurse, nëse shitësi i autorizuar nga blerësi, për likuidimin e transaksionit ka tërhequr me para në dorë nga llogaria bankare e blerësit, dënimi zbatohet ndaj shitësit.” </w:t>
      </w:r>
    </w:p>
    <w:p w:rsidR="005B7226" w:rsidRPr="00F06FDF" w:rsidRDefault="005B7226" w:rsidP="005B7226">
      <w:pPr>
        <w:pStyle w:val="Paragrafi"/>
        <w:rPr>
          <w:lang w:val="sq-AL"/>
        </w:rPr>
      </w:pPr>
      <w:r w:rsidRPr="00F06FDF">
        <w:rPr>
          <w:lang w:val="sq-AL"/>
        </w:rPr>
        <w:t>32. Në pikën 127.2 të udhëzimit, hiqet fjalia e dytë e paragrafit me përmbajtjen:</w:t>
      </w:r>
    </w:p>
    <w:p w:rsidR="005B7226" w:rsidRPr="00F06FDF" w:rsidRDefault="005B7226" w:rsidP="005B7226">
      <w:pPr>
        <w:pStyle w:val="Paragrafi"/>
        <w:rPr>
          <w:lang w:val="sq-AL"/>
        </w:rPr>
      </w:pPr>
      <w:r w:rsidRPr="00F06FDF">
        <w:rPr>
          <w:lang w:val="sq-AL"/>
        </w:rPr>
        <w:t xml:space="preserve"> “Për tatimpaguesit e klasifikuar si biznes i vogël, kjo e drejtë i takon titullarit të zyrës së tatim-taksave të qeverisjes vendore”. </w:t>
      </w:r>
    </w:p>
    <w:p w:rsidR="005B7226" w:rsidRPr="00F06FDF" w:rsidRDefault="005B7226" w:rsidP="005B7226">
      <w:pPr>
        <w:pStyle w:val="Paragrafi"/>
        <w:rPr>
          <w:lang w:val="sq-AL"/>
        </w:rPr>
      </w:pPr>
      <w:r w:rsidRPr="00F06FDF">
        <w:rPr>
          <w:lang w:val="sq-AL"/>
        </w:rPr>
        <w:t>Ky udhëzim hyn fuqi me botimin në Fletoren Zyrtare.</w:t>
      </w:r>
    </w:p>
    <w:p w:rsidR="005B7226" w:rsidRPr="00F06FDF" w:rsidRDefault="005B7226" w:rsidP="005B7226">
      <w:pPr>
        <w:pStyle w:val="Autoriteti"/>
        <w:rPr>
          <w:lang w:val="sq-AL"/>
        </w:rPr>
      </w:pPr>
      <w:r w:rsidRPr="00F06FDF">
        <w:rPr>
          <w:lang w:val="sq-AL"/>
        </w:rPr>
        <w:t xml:space="preserve">Ministri I Financave </w:t>
      </w:r>
    </w:p>
    <w:p w:rsidR="005B7226" w:rsidRDefault="005B7226" w:rsidP="005B7226">
      <w:pPr>
        <w:pStyle w:val="AutoritetiEmer"/>
        <w:rPr>
          <w:lang w:val="sq-AL"/>
        </w:rPr>
      </w:pPr>
      <w:r w:rsidRPr="00F06FDF">
        <w:rPr>
          <w:lang w:val="sq-AL"/>
        </w:rPr>
        <w:t xml:space="preserve">Shkëlqim Cani </w:t>
      </w:r>
    </w:p>
    <w:p w:rsidR="005B7226" w:rsidRDefault="005B7226" w:rsidP="005B7226">
      <w:pPr>
        <w:pStyle w:val="AutoritetiEmer"/>
        <w:rPr>
          <w:lang w:val="sq-AL"/>
        </w:rPr>
      </w:pPr>
    </w:p>
    <w:p w:rsidR="002145EB" w:rsidRDefault="002145EB"/>
    <w:sectPr w:rsidR="002145EB" w:rsidSect="002145E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89"/>
  <w:proofState w:spelling="clean" w:grammar="clean"/>
  <w:defaultTabStop w:val="720"/>
  <w:characterSpacingControl w:val="doNotCompress"/>
  <w:compat/>
  <w:rsids>
    <w:rsidRoot w:val="005B7226"/>
    <w:rsid w:val="002145EB"/>
    <w:rsid w:val="005B722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45E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oriteti">
    <w:name w:val="Autoriteti"/>
    <w:next w:val="Normal"/>
    <w:link w:val="AutoritetiChar"/>
    <w:rsid w:val="005B7226"/>
    <w:pPr>
      <w:keepNext/>
      <w:widowControl w:val="0"/>
      <w:spacing w:after="0" w:line="240" w:lineRule="auto"/>
      <w:jc w:val="right"/>
    </w:pPr>
    <w:rPr>
      <w:rFonts w:ascii="CG Times" w:eastAsia="MS Mincho" w:hAnsi="CG Times" w:cs="CG Times"/>
      <w:caps/>
      <w:lang w:val="en-GB"/>
    </w:rPr>
  </w:style>
  <w:style w:type="paragraph" w:customStyle="1" w:styleId="AutoritetiEmer">
    <w:name w:val="Autoriteti_Emer"/>
    <w:next w:val="Normal"/>
    <w:link w:val="AutoritetiEmerChar"/>
    <w:rsid w:val="005B7226"/>
    <w:pPr>
      <w:widowControl w:val="0"/>
      <w:spacing w:after="0" w:line="240" w:lineRule="auto"/>
      <w:jc w:val="right"/>
    </w:pPr>
    <w:rPr>
      <w:rFonts w:ascii="CG Times" w:eastAsia="MS Mincho" w:hAnsi="CG Times" w:cs="Times New Roman"/>
      <w:b/>
      <w:bCs/>
      <w:lang w:val="en-GB"/>
    </w:rPr>
  </w:style>
  <w:style w:type="paragraph" w:customStyle="1" w:styleId="NeniTitull">
    <w:name w:val="Neni_Titull"/>
    <w:next w:val="Normal"/>
    <w:rsid w:val="005B7226"/>
    <w:pPr>
      <w:keepNext/>
      <w:widowControl w:val="0"/>
      <w:spacing w:after="0" w:line="240" w:lineRule="auto"/>
      <w:jc w:val="center"/>
      <w:outlineLvl w:val="2"/>
    </w:pPr>
    <w:rPr>
      <w:rFonts w:ascii="CG Times" w:eastAsia="MS Mincho" w:hAnsi="CG Times" w:cs="CG Times"/>
      <w:b/>
      <w:bCs/>
      <w:lang w:val="en-GB"/>
    </w:rPr>
  </w:style>
  <w:style w:type="paragraph" w:customStyle="1" w:styleId="NumriData">
    <w:name w:val="Numri_Data"/>
    <w:next w:val="Normal"/>
    <w:link w:val="NumriDataChar"/>
    <w:rsid w:val="005B7226"/>
    <w:pPr>
      <w:keepNext/>
      <w:widowControl w:val="0"/>
      <w:spacing w:after="0" w:line="240" w:lineRule="auto"/>
      <w:jc w:val="center"/>
      <w:outlineLvl w:val="0"/>
    </w:pPr>
    <w:rPr>
      <w:rFonts w:ascii="CG Times" w:eastAsia="MS Mincho" w:hAnsi="CG Times" w:cs="CG Times"/>
      <w:b/>
      <w:bCs/>
      <w:lang w:val="en-GB"/>
    </w:rPr>
  </w:style>
  <w:style w:type="character" w:customStyle="1" w:styleId="NumriDataChar">
    <w:name w:val="Numri_Data Char"/>
    <w:basedOn w:val="DefaultParagraphFont"/>
    <w:link w:val="NumriData"/>
    <w:locked/>
    <w:rsid w:val="005B7226"/>
    <w:rPr>
      <w:rFonts w:ascii="CG Times" w:eastAsia="MS Mincho" w:hAnsi="CG Times" w:cs="CG Times"/>
      <w:b/>
      <w:bCs/>
      <w:lang w:val="en-GB"/>
    </w:rPr>
  </w:style>
  <w:style w:type="paragraph" w:customStyle="1" w:styleId="Paragrafi">
    <w:name w:val="Paragrafi"/>
    <w:link w:val="ParagrafiChar"/>
    <w:rsid w:val="005B7226"/>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5B7226"/>
    <w:rPr>
      <w:rFonts w:ascii="CG Times" w:eastAsia="MS Mincho" w:hAnsi="CG Times" w:cs="CG Times"/>
    </w:rPr>
  </w:style>
  <w:style w:type="paragraph" w:customStyle="1" w:styleId="Titulli">
    <w:name w:val="Titulli"/>
    <w:next w:val="Normal"/>
    <w:link w:val="TitulliChar"/>
    <w:rsid w:val="005B7226"/>
    <w:pPr>
      <w:keepNext/>
      <w:widowControl w:val="0"/>
      <w:spacing w:after="0" w:line="240" w:lineRule="auto"/>
      <w:jc w:val="center"/>
      <w:outlineLvl w:val="1"/>
    </w:pPr>
    <w:rPr>
      <w:rFonts w:ascii="CG Times" w:eastAsia="MS Mincho" w:hAnsi="CG Times" w:cs="CG Times"/>
      <w:b/>
      <w:bCs/>
      <w:caps/>
      <w:lang w:val="en-GB"/>
    </w:rPr>
  </w:style>
  <w:style w:type="paragraph" w:customStyle="1" w:styleId="VENDOSI">
    <w:name w:val="VENDOSI"/>
    <w:next w:val="Normal"/>
    <w:link w:val="VENDOSIChar"/>
    <w:rsid w:val="005B7226"/>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locked/>
    <w:rsid w:val="005B7226"/>
    <w:rPr>
      <w:rFonts w:ascii="CG Times" w:eastAsia="MS Mincho" w:hAnsi="CG Times" w:cs="CG Times"/>
      <w:caps/>
      <w:lang w:val="en-GB"/>
    </w:rPr>
  </w:style>
  <w:style w:type="character" w:customStyle="1" w:styleId="TitulliChar">
    <w:name w:val="Titulli Char"/>
    <w:basedOn w:val="DefaultParagraphFont"/>
    <w:link w:val="Titulli"/>
    <w:rsid w:val="005B7226"/>
    <w:rPr>
      <w:rFonts w:ascii="CG Times" w:eastAsia="MS Mincho" w:hAnsi="CG Times" w:cs="CG Times"/>
      <w:b/>
      <w:bCs/>
      <w:caps/>
      <w:lang w:val="en-GB"/>
    </w:rPr>
  </w:style>
  <w:style w:type="character" w:customStyle="1" w:styleId="AutoritetiChar">
    <w:name w:val="Autoriteti Char"/>
    <w:basedOn w:val="DefaultParagraphFont"/>
    <w:link w:val="Autoriteti"/>
    <w:locked/>
    <w:rsid w:val="005B7226"/>
    <w:rPr>
      <w:rFonts w:ascii="CG Times" w:eastAsia="MS Mincho" w:hAnsi="CG Times" w:cs="CG Times"/>
      <w:caps/>
      <w:lang w:val="en-GB"/>
    </w:rPr>
  </w:style>
  <w:style w:type="character" w:customStyle="1" w:styleId="AutoritetiEmerChar">
    <w:name w:val="Autoriteti_Emer Char"/>
    <w:link w:val="AutoritetiEmer"/>
    <w:locked/>
    <w:rsid w:val="005B7226"/>
    <w:rPr>
      <w:rFonts w:ascii="CG Times" w:eastAsia="MS Mincho" w:hAnsi="CG Times" w:cs="Times New Roman"/>
      <w:b/>
      <w:bCs/>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2231</Words>
  <Characters>12719</Characters>
  <Application>Microsoft Office Word</Application>
  <DocSecurity>0</DocSecurity>
  <Lines>105</Lines>
  <Paragraphs>29</Paragraphs>
  <ScaleCrop>false</ScaleCrop>
  <Company>Hewlett-Packard Company</Company>
  <LinksUpToDate>false</LinksUpToDate>
  <CharactersWithSpaces>14921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dc:description/>
  <cp:lastModifiedBy>nisida.fagu</cp:lastModifiedBy>
  <cp:revision>2</cp:revision>
  <dcterms:created xsi:type="dcterms:W3CDTF">2014-07-08T08:36:00Z</dcterms:created>
  <dcterms:modified xsi:type="dcterms:W3CDTF">2014-07-08T08:36:00Z</dcterms:modified>
</cp:coreProperties>
</file>