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3F7" w:rsidRPr="00A21747" w:rsidRDefault="005863F7" w:rsidP="005863F7">
      <w:pPr>
        <w:pStyle w:val="KapitulliNr"/>
        <w:rPr>
          <w:b/>
          <w:lang w:val="sq-AL"/>
        </w:rPr>
      </w:pPr>
      <w:r w:rsidRPr="00A21747">
        <w:rPr>
          <w:b/>
          <w:lang w:val="sq-AL"/>
        </w:rPr>
        <w:t>UDHËZIM I PËRBASHKËT</w:t>
      </w:r>
    </w:p>
    <w:p w:rsidR="005863F7" w:rsidRPr="00A21747" w:rsidRDefault="005863F7" w:rsidP="005863F7">
      <w:pPr>
        <w:pStyle w:val="KapitulliNr"/>
        <w:rPr>
          <w:b/>
          <w:lang w:val="sq-AL"/>
        </w:rPr>
      </w:pPr>
      <w:r w:rsidRPr="00A21747">
        <w:rPr>
          <w:b/>
          <w:lang w:val="sq-AL"/>
        </w:rPr>
        <w:t xml:space="preserve">Nr. 673/2, </w:t>
      </w:r>
      <w:r w:rsidRPr="00A21747">
        <w:rPr>
          <w:b/>
          <w:caps w:val="0"/>
          <w:lang w:val="sq-AL"/>
        </w:rPr>
        <w:t xml:space="preserve">datë </w:t>
      </w:r>
      <w:r w:rsidRPr="00A21747">
        <w:rPr>
          <w:b/>
          <w:lang w:val="sq-AL"/>
        </w:rPr>
        <w:t>28.1.2014</w:t>
      </w:r>
    </w:p>
    <w:p w:rsidR="005863F7" w:rsidRPr="00A21747" w:rsidRDefault="005863F7" w:rsidP="005863F7">
      <w:pPr>
        <w:pStyle w:val="KapitulliNr"/>
        <w:rPr>
          <w:b/>
          <w:lang w:val="sq-AL"/>
        </w:rPr>
      </w:pPr>
    </w:p>
    <w:p w:rsidR="005863F7" w:rsidRPr="00A21747" w:rsidRDefault="005863F7" w:rsidP="005863F7">
      <w:pPr>
        <w:pStyle w:val="KapitulliNr"/>
        <w:rPr>
          <w:b/>
          <w:lang w:val="sq-AL"/>
        </w:rPr>
      </w:pPr>
      <w:r w:rsidRPr="00A21747">
        <w:rPr>
          <w:b/>
          <w:lang w:val="sq-AL"/>
        </w:rPr>
        <w:t>PËR PËRCAKTIMIN E LISTËS SË MALLRAVE DHE SHËRBIMEVE QË PËRDOREN NË REALIZIMIN E FAZËS SË KËRKIMIT TË OPERACIONEVE HIDROKARBURE NGA SHOQËRITË E KËRKIMIT TË HIDROKARBUREVE, TË CILAT PËRJASHTOHEN NGA PAGESA E TVSH-</w:t>
      </w:r>
      <w:r w:rsidRPr="00A21747">
        <w:rPr>
          <w:b/>
          <w:caps w:val="0"/>
          <w:lang w:val="sq-AL"/>
        </w:rPr>
        <w:t>së</w:t>
      </w:r>
      <w:r w:rsidRPr="00A21747">
        <w:rPr>
          <w:b/>
          <w:lang w:val="sq-AL"/>
        </w:rPr>
        <w:t xml:space="preserve">, SI DHE PROCEDURAT E PËRJASHTIMIT </w:t>
      </w:r>
    </w:p>
    <w:p w:rsidR="005863F7" w:rsidRPr="00A21747" w:rsidRDefault="005863F7" w:rsidP="005863F7">
      <w:pPr>
        <w:pStyle w:val="Paragrafi"/>
        <w:rPr>
          <w:lang w:val="sq-AL"/>
        </w:rPr>
      </w:pP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Në mbështetje të nenit 102, pika 4 të Kushtetutës së Republikës së Shqipërisë dhe në zbatim të neneve 25/1 dhe nenit 26/1 (ç) të ligjit nr. 7928, datë 27.4.1995 “Për TVSH-në”, të ndryshuar, ministri i Financave dhe ministri i Energjisë dhe Industrisë përcaktojnë dhe udhëzojnë: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1. Janë të përjashtuara nga tatimi mbi vlerën e shtuar: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a) Furnizimi i shërbimeve të fazës së kërkimit të hidrokarbureve që kryhen nga shoqëritë e kërkimit të hidrokarbureve (kontraktorët) dhe nënkontraktorët e tyre, të cilët në bazë të një marrëveshjeje hidrokarbure kryejnë operacione kërkimi të hidrokarbureve për vendburime të reja të naftës dhe të gazit.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 xml:space="preserve">b) Importimi i mallrave dhe i shërbimeve të përfshira në vlerën e mallit që u nënshtrohen procedurave doganore, për realizimin e operacioneve të fazës së kërkimit të operacioneve hidrokarbure, të kryera nga kontraktorët ose nënkontraktorët e tyre që kryejnë këto operacione. 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c) Furnizimi i mallrave për realizimin e operacioneve të fazës së kërkimit që bëjnë kontraktorët për njëri-tjetrin ose nënkontraktorët për kontraktorët e tyre, të importuara si të përjashtuara nga TVSH -ja, në zbatim të nenit 26/1(ç) të ligjit.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Për qëllime të këtij udhëzimi</w:t>
      </w:r>
      <w:r>
        <w:rPr>
          <w:lang w:val="sq-AL"/>
        </w:rPr>
        <w:t>,</w:t>
      </w:r>
      <w:r w:rsidRPr="00A21747">
        <w:rPr>
          <w:lang w:val="sq-AL"/>
        </w:rPr>
        <w:t xml:space="preserve"> “Kërkim” ka të njëjtin kuptim si në ligjin nr. 7746, datë 28.7.1993 “Për hidrokarburet”, sipas të cilit do të thotë kërkimi për hidrokarbure me mjete gjeologjike, gjeofizike e të tjera, dhe përfshin shpimin e puseve të kërkimit dhe të vlerësimit.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Furnizimet që përfitohen nga përjashtimi për TVSH-në, janë vetëm furnizimet specifike të përmendura në përcaktimin “Kërkim” të ligjit nr. 7746, datë 28.7.1993 “Për hidrokarburet”.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2. Lista e mallrave dhe e shërbimeve për operacionet e kërkimit të hidrokarbureve, në zbatim të pikës 1 të këtij udhëzimi, përcaktohen si më poshtë: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a) Studime gjeologjike dhe gjeofizike: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i) hartografime dhe punime rilevimi në terren;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ii) analiza laboratorike e kampioneve dhe të dhënave;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iii) përpunimi dhe interpretimi i të dhënave gjeologo-gjeofizike.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b) Punime gjeofizike me metoda të ndryshme</w:t>
      </w:r>
      <w:r>
        <w:rPr>
          <w:lang w:val="sq-AL"/>
        </w:rPr>
        <w:t>: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i) transportimi i pajisjeve teknike dhe teknologjike dhe ndërtimi i infrastrukturës për punimet fushore tokësore dhe detare, si dhe laboratorike;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ii) regjistrimi i të dhënave fushore tokësore dhe detare;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iii) përpunimi i të dhënave dhe regjistrimeve fushore tokësore dhe detare;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iv) interpretimi gjeologo-gjeofizik i të dhënave të përpunuara.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 xml:space="preserve">c) Shpimi i puseve të kërkimit për naftë dhe gaz: 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i) ndërtimi i rrugëve për arritjen në bazamentin e shpimit të pusit;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ii) ndërtimi i bazamentit të pusit;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iii) tërësia e shërbimeve të nevojshme për të mbështetur shpimin e pusit;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iv) transportimi dhe montimi i sondës dhe shpimi i pusit;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v) matjet gjeofizike në pus;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vi) përvetësimi i pusit për identifikimin e naftës dhe të gazit;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vii) analizat e kampionaturës së përftuar gjatë shpimit;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 xml:space="preserve">viii) ndërtimi i linjave teknologjike dhe depozitave për transportimin dhe magazinimin </w:t>
      </w:r>
      <w:r>
        <w:rPr>
          <w:lang w:val="sq-AL"/>
        </w:rPr>
        <w:t xml:space="preserve">e </w:t>
      </w:r>
      <w:r w:rsidRPr="00A21747">
        <w:rPr>
          <w:lang w:val="sq-AL"/>
        </w:rPr>
        <w:t>hidrokarbureve që mund të prodhohen gjatë fazës së kërkimit;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lastRenderedPageBreak/>
        <w:t>ix) matjet për orientimin e shpimit të pusit;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x) furnizimi me kimikate dhe bazë materiale për përgatitjen e lëngut larës;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xi) transportimi dhe montimi i platformës detare të shpimit;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xii) pozicionimi i platformës detare sipas koordinatave të projektit;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xiii) transportimi i punonjësve të operacioneve me helikopter ose anije;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xiv) furnizimi i platformës detare me bazë materiale dhe ushqime;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xv) transporti për evadimin e mbetjeve të krijuara nga procesi</w:t>
      </w:r>
      <w:r>
        <w:rPr>
          <w:lang w:val="sq-AL"/>
        </w:rPr>
        <w:t xml:space="preserve"> i</w:t>
      </w:r>
      <w:r w:rsidRPr="00A21747">
        <w:rPr>
          <w:lang w:val="sq-AL"/>
        </w:rPr>
        <w:t xml:space="preserve"> operacioneve të shpimit të pusit.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d) Projektet dhe studimet teknike dhe teknologjike për: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i) projektet ndërtimore për sheshet e shpimit të puseve, rrugëve lidhëse, infrastrukturës mbështetëse;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ii) projektet teknologjike për shpimin e puseve dhe kryerjen e matjeve dhe analizave</w:t>
      </w:r>
      <w:r>
        <w:rPr>
          <w:lang w:val="sq-AL"/>
        </w:rPr>
        <w:t>,</w:t>
      </w:r>
      <w:r w:rsidRPr="00A21747">
        <w:rPr>
          <w:lang w:val="sq-AL"/>
        </w:rPr>
        <w:t xml:space="preserve"> përfshirë edhe përvetësimin e pusit;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iii) projektet ndërtimore dhe teknologjike për linjat lidhëse dhe depozitat e hidrokarbureve gjatë fazës së kërkimit.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 xml:space="preserve"> 3. Nuk e përfitojnë këtë përjashtim furnizimet e mallrave dhe të shërbimeve që nuk lidhen në mënyrë të drejtpërdrejtë me operacionet e kërkimit në kuptim të përcaktimit “Kërkim”, të tilla si p.sh.: shërbime interneti, telefonike, akomodimi, konsulencë juridike dhe ekonomike, financiare, ndërtimi i zyrave, transporti, shërbime sigurimi, shërbime të ruajtjes dhe sigurisë fizike, por pa u kufizuar vetëm në to. 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4. “Kontraktori”</w:t>
      </w:r>
      <w:r>
        <w:rPr>
          <w:lang w:val="sq-AL"/>
        </w:rPr>
        <w:t>,</w:t>
      </w:r>
      <w:r w:rsidRPr="00A21747">
        <w:rPr>
          <w:lang w:val="sq-AL"/>
        </w:rPr>
        <w:t xml:space="preserve"> në kuptim të ligjit “Për hidrokarburet”</w:t>
      </w:r>
      <w:r>
        <w:rPr>
          <w:lang w:val="sq-AL"/>
        </w:rPr>
        <w:t>,</w:t>
      </w:r>
      <w:r w:rsidRPr="00A21747">
        <w:rPr>
          <w:lang w:val="sq-AL"/>
        </w:rPr>
        <w:t xml:space="preserve"> është çdo person apo persona me të cilët autoriteti kompetent shqiptar ka hyrë në një marrëveshje hidrokarbure, marrëveshje e cila autorizon kontraktorin të kryejë operacione kërkimi në zonën e kontratës. Nënkontraktori/ nënkontraktorët e kontraktuar nga kontraktori duhet të kryejnë pjesërisht apo plotësisht vetëm operacionet e kërkimit në zonën e kontratës. Personat fizikë apo juridikë të tjerë, të cilët hyjnë në transaksione me kontraktorin, por nuk kryejnë operacione të kërkimit në zonën e kontratës, nuk konsiderohen nënkontraktor në kuptim të nenit 25/1 dhe 26/1 (ç) të ligjit nr. 7928, datë 27.4.1995 “Për TVSH-në”, të</w:t>
      </w:r>
      <w:r>
        <w:rPr>
          <w:lang w:val="sq-AL"/>
        </w:rPr>
        <w:t xml:space="preserve"> ndryshuar</w:t>
      </w:r>
      <w:r w:rsidRPr="00A21747">
        <w:rPr>
          <w:lang w:val="sq-AL"/>
        </w:rPr>
        <w:t xml:space="preserve">. </w:t>
      </w:r>
    </w:p>
    <w:p w:rsidR="005863F7" w:rsidRPr="00A21747" w:rsidRDefault="005863F7" w:rsidP="005863F7">
      <w:pPr>
        <w:pStyle w:val="Paragrafi"/>
        <w:rPr>
          <w:lang w:val="sq-AL"/>
        </w:rPr>
      </w:pPr>
      <w:r>
        <w:rPr>
          <w:lang w:val="sq-AL"/>
        </w:rPr>
        <w:t>4.1</w:t>
      </w:r>
      <w:r w:rsidRPr="00A21747">
        <w:rPr>
          <w:lang w:val="sq-AL"/>
        </w:rPr>
        <w:t xml:space="preserve"> Përfitojnë nga përjashtimet sipas nenit 25/1 dhe 26/1 (ç) të ligjit, furnizimet që kryen nënkontraktori për kontraktorin, furnizimet që kryejnë kontraktorët midis tyre, si dhe importimet e mallrave nga kontraktori ose nënkontraktori. 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 xml:space="preserve">4.2 AKBN-ja vërteton çdo furnizim ose furnizimet e kryera brenda së njëjtës periudhë tatimore, për çdo kontraktor/nënkontraktor të tij veçmas, duke pasur parasysh momentin e lëshimit të faturës tatimore nga kontraktori apo nënkontraktori për furnizimin e kryer, si dhe periudhën tatimore, e cila për TVSH-në është muaji kalendarik. 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Bazuar në nenin 13, 26 dhe 38 të ligjit nr</w:t>
      </w:r>
      <w:r>
        <w:rPr>
          <w:lang w:val="sq-AL"/>
        </w:rPr>
        <w:t>. 7928, datë</w:t>
      </w:r>
      <w:r w:rsidRPr="00A21747">
        <w:rPr>
          <w:lang w:val="sq-AL"/>
        </w:rPr>
        <w:t xml:space="preserve"> 27.4.1995 “Për TVSH-në”, të ndryshuar, sipas të cilit, në momentin kur kryhet faturimi përcaktohet edhe tatueshmëria e furnizimit të mallit apo shërbimit:</w:t>
      </w:r>
    </w:p>
    <w:p w:rsidR="005863F7" w:rsidRPr="00A21747" w:rsidRDefault="005863F7" w:rsidP="005863F7">
      <w:pPr>
        <w:pStyle w:val="Paragrafi"/>
        <w:rPr>
          <w:lang w:val="sq-AL"/>
        </w:rPr>
      </w:pPr>
      <w:r>
        <w:rPr>
          <w:lang w:val="sq-AL"/>
        </w:rPr>
        <w:t>-</w:t>
      </w:r>
      <w:r w:rsidRPr="00A21747">
        <w:rPr>
          <w:lang w:val="sq-AL"/>
        </w:rPr>
        <w:t>AKBN-ja lëshon vërtetimin brenda së njëjtës periudhë tatimore, në të cilën kontraktori/nënkontraktori kryen furnizimin (faturimin).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-AKBN-ja lëshon vërtetimin në momentin e kryerjes së importit nga kontraktori/nënkontraktori.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 xml:space="preserve"> Nëse në momentin e lëshimit të faturës tatimore nga kontraktori apo nënkontraktori për shërbimin e kryer apo për livrimin e mallit, apo në momentin e kryerjes së importit, nuk disponohet vërtetimi nga AKBN-ja, faturimi do të kryhet me TVSH. 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4.3. Nëse sasia e mallrave dhe/ose e shërbimeve, e përjashtuar nga TVSH-ja, nuk shfrytëzohet brenda periudhës kohore të përcaktuar nga kontraktori (brenda fazës së kërkimit) ose nuk shfrytëzohet në funksion të aktiviteteve të përcaktuara në pikën 1, pjesa e pashfrytëzuar në rast se nuk rieksportohet ose pjesa e shfrytëzuar për aktivitete të tjera të ndryshme nga ato të përcaktuara në pikën 1, i nënshtrohet pagesës së TVSH-së,</w:t>
      </w:r>
      <w:r>
        <w:rPr>
          <w:lang w:val="sq-AL"/>
        </w:rPr>
        <w:t xml:space="preserve"> </w:t>
      </w:r>
      <w:r w:rsidRPr="00A21747">
        <w:rPr>
          <w:lang w:val="sq-AL"/>
        </w:rPr>
        <w:t>për qëllim të përdorimit në tregun e brendshëm.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lastRenderedPageBreak/>
        <w:t>Drejtoria e Përgjithshme e Doganave, nëpërmjet degëve të tyre, pajisin kontraktorin dhe/ose nënkontraktorin me dokumentacionin përkatës, ku vërtetohet rieksportimi i mallrave, si dhe sasia e tyre.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5. Për qëllime të këtij udhëzimi, kontraktori ose nënkontraktori paraqet: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5.1 Në Drejtorinë Rajonale Tatimore në të cilën është i regjistruar: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- Vërtetimin (origjinal ose kopje të noterizuar), të lëshuar në emër të tij nga Agjencia Kombëtare e Burimeve Natyrore (AKBN), në përputhje me sa më sipër;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- Kopje të marrëveshjes së hidrokarbureve të lidhur ndërmjet kontraktorit dhe qeverisë shqiptare, kur operacionet e kërkimit kryhen nga kontraktori;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- Kopje të kontratës së lidhur midis kontraktorit të operacioneve hidrokarbure dhe nënkontraktorit të tij në rastin kur operacionet e kërkimit kryhen nga nënkontraktori.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5.2 Në rastin e importimit të mallrave dhe të shërbimeve të përfshira në vlerën e mallit që u nënshtrohen procedurave doganore, për realizimin e operacioneve të kërkimit të hidrokarbureve, të kryera nga kontraktorët ose nënkontraktorët që kryejnë/realizojnë këto operacione, për të përfituar përjashtimin nga TVSH-ja në import, subjektet duhet të paraqesin pranë organit doganor vërtetimin e lëshuar nga Agjencia Kombëtare e Burimeve Natyrore për kontraktorët dhe nënkontraktorët, së bashku me listën e mallrave për t’u importuar për operacionet e kërkimit të hidrokarbureve. Brenda datës 15 të çdo muaji, administrata doganore i përcjell administratës tatimore listën e detajuar të mallrave të importuara nga kontraktorët dhe nënkontraktorët në muajin paraardhës.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 xml:space="preserve">6. Në rast se gjatë kontrollit konstatohet se kontraktorët ose nënkontraktorët e tyre nuk kanë aplikuar përjashtimet nga TVSH-ja për furnizimet e shërbimeve dhe të mallrave, në përputhje me dispozitat e këtij udhëzimi, administrata tatimore përveçse njofton sipas rastit AKBN-në, autoritetin doganor, i cili është autoriteti kompetent për përjashtimin në import, ka të drejtë të kryejë vlerësim tatimor në përputhje me ligjin për procedurat tatimore. 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7. Në përputhje me zhvillimet teknologjike të industrisë të naftës, Ministria e Energjisë dhe Industrisë</w:t>
      </w:r>
      <w:r>
        <w:rPr>
          <w:lang w:val="sq-AL"/>
        </w:rPr>
        <w:t>,</w:t>
      </w:r>
      <w:r w:rsidRPr="00A21747">
        <w:rPr>
          <w:lang w:val="sq-AL"/>
        </w:rPr>
        <w:t xml:space="preserve"> mbi bazën e propozimit të AKBN-së, mund të bëjë propozime për të shtuar punime, mallra dhe shërbimet që përdoren në realizimin e fazës së kërkimit të operacioneve hidrokarbure. </w:t>
      </w:r>
    </w:p>
    <w:p w:rsidR="005863F7" w:rsidRPr="00A2174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>8. Administrata tatimore, administrata doganore dhe AKBN-ja ngarkohen për zbatimin e dispozitave të këtij udhëzimi.</w:t>
      </w:r>
    </w:p>
    <w:p w:rsidR="005863F7" w:rsidRDefault="005863F7" w:rsidP="005863F7">
      <w:pPr>
        <w:pStyle w:val="Paragrafi"/>
        <w:rPr>
          <w:lang w:val="sq-AL"/>
        </w:rPr>
      </w:pPr>
      <w:r w:rsidRPr="00A21747">
        <w:rPr>
          <w:lang w:val="sq-AL"/>
        </w:rPr>
        <w:t xml:space="preserve">Ky udhëzim hyn në fuqi me botimin në Fletoren Zyrtare. </w:t>
      </w:r>
    </w:p>
    <w:tbl>
      <w:tblPr>
        <w:tblW w:w="0" w:type="auto"/>
        <w:tblLook w:val="04A0"/>
      </w:tblPr>
      <w:tblGrid>
        <w:gridCol w:w="4643"/>
        <w:gridCol w:w="4644"/>
      </w:tblGrid>
      <w:tr w:rsidR="005863F7" w:rsidRPr="00C83E2E" w:rsidTr="00D064EF">
        <w:tc>
          <w:tcPr>
            <w:tcW w:w="4643" w:type="dxa"/>
          </w:tcPr>
          <w:p w:rsidR="005863F7" w:rsidRDefault="005863F7" w:rsidP="00D064EF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5863F7" w:rsidRPr="00C83E2E" w:rsidRDefault="005863F7" w:rsidP="00D064EF">
            <w:pPr>
              <w:pStyle w:val="Paragrafi"/>
              <w:ind w:firstLine="0"/>
              <w:jc w:val="center"/>
              <w:rPr>
                <w:lang w:val="sq-AL"/>
              </w:rPr>
            </w:pPr>
            <w:r w:rsidRPr="00C83E2E">
              <w:rPr>
                <w:lang w:val="sq-AL"/>
              </w:rPr>
              <w:t>MINISTRI I FINANCAVE</w:t>
            </w:r>
          </w:p>
          <w:p w:rsidR="005863F7" w:rsidRPr="00C83E2E" w:rsidRDefault="005863F7" w:rsidP="00D064EF">
            <w:pPr>
              <w:pStyle w:val="Paragrafi"/>
              <w:ind w:firstLine="0"/>
              <w:jc w:val="center"/>
              <w:rPr>
                <w:lang w:val="sq-AL"/>
              </w:rPr>
            </w:pPr>
            <w:r w:rsidRPr="00C83E2E">
              <w:rPr>
                <w:b/>
                <w:lang w:val="sq-AL"/>
              </w:rPr>
              <w:t>Shkëlqim Cani</w:t>
            </w:r>
          </w:p>
        </w:tc>
        <w:tc>
          <w:tcPr>
            <w:tcW w:w="4644" w:type="dxa"/>
          </w:tcPr>
          <w:p w:rsidR="005863F7" w:rsidRDefault="005863F7" w:rsidP="00D064EF">
            <w:pPr>
              <w:pStyle w:val="Paragrafi"/>
              <w:ind w:firstLine="0"/>
              <w:rPr>
                <w:lang w:val="sq-AL"/>
              </w:rPr>
            </w:pPr>
          </w:p>
          <w:p w:rsidR="005863F7" w:rsidRPr="00C83E2E" w:rsidRDefault="005863F7" w:rsidP="00D064EF">
            <w:pPr>
              <w:pStyle w:val="Paragrafi"/>
              <w:ind w:firstLine="0"/>
              <w:rPr>
                <w:lang w:val="sq-AL"/>
              </w:rPr>
            </w:pPr>
            <w:r w:rsidRPr="00C83E2E">
              <w:rPr>
                <w:lang w:val="sq-AL"/>
              </w:rPr>
              <w:t>MINISTRI I ENERGJISË DHE INDUSTRISË</w:t>
            </w:r>
          </w:p>
          <w:p w:rsidR="005863F7" w:rsidRPr="00C83E2E" w:rsidRDefault="005863F7" w:rsidP="00D064EF">
            <w:pPr>
              <w:jc w:val="center"/>
              <w:rPr>
                <w:rFonts w:ascii="CG Times" w:hAnsi="CG Times"/>
                <w:sz w:val="22"/>
                <w:szCs w:val="22"/>
                <w:lang w:val="sq-AL"/>
              </w:rPr>
            </w:pPr>
            <w:r w:rsidRPr="00C83E2E">
              <w:rPr>
                <w:rFonts w:ascii="CG Times" w:hAnsi="CG Times"/>
                <w:b/>
                <w:sz w:val="22"/>
                <w:szCs w:val="22"/>
                <w:lang w:val="sq-AL"/>
              </w:rPr>
              <w:t>Damian Gjiknuri</w:t>
            </w:r>
          </w:p>
        </w:tc>
      </w:tr>
    </w:tbl>
    <w:p w:rsidR="005863F7" w:rsidRPr="00A21747" w:rsidRDefault="005863F7" w:rsidP="005863F7">
      <w:pPr>
        <w:pStyle w:val="Paragrafi"/>
        <w:rPr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5863F7"/>
    <w:rsid w:val="002145EB"/>
    <w:rsid w:val="00586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3F7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qFormat/>
    <w:rsid w:val="005863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5863F7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5863F7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863F7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5863F7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5863F7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5863F7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5863F7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863F7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 Char Char1,Heading 1 Char1 Char Char,Heading 1 Char Char Char Char"/>
    <w:basedOn w:val="DefaultParagraphFont"/>
    <w:link w:val="Heading1"/>
    <w:rsid w:val="005863F7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863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863F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863F7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863F7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5863F7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5863F7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5863F7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863F7"/>
    <w:rPr>
      <w:rFonts w:ascii="Cambria" w:eastAsia="MS Mincho" w:hAnsi="Cambria" w:cs="Cambria"/>
      <w:i/>
      <w:iCs/>
      <w:spacing w:val="5"/>
      <w:sz w:val="20"/>
      <w:szCs w:val="20"/>
    </w:rPr>
  </w:style>
  <w:style w:type="character" w:customStyle="1" w:styleId="Heading2Char1">
    <w:name w:val="Heading 2 Char1"/>
    <w:basedOn w:val="DefaultParagraphFont"/>
    <w:link w:val="Heading2"/>
    <w:locked/>
    <w:rsid w:val="005863F7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locked/>
    <w:rsid w:val="005863F7"/>
    <w:rPr>
      <w:rFonts w:ascii="Cambria" w:eastAsia="MS Mincho" w:hAnsi="Cambria" w:cs="Cambria"/>
      <w:b/>
      <w:bCs/>
      <w:sz w:val="24"/>
      <w:szCs w:val="24"/>
    </w:rPr>
  </w:style>
  <w:style w:type="character" w:customStyle="1" w:styleId="mediumtext1">
    <w:name w:val="medium_text1"/>
    <w:basedOn w:val="DefaultParagraphFont"/>
    <w:uiPriority w:val="99"/>
    <w:rsid w:val="005863F7"/>
    <w:rPr>
      <w:sz w:val="17"/>
      <w:szCs w:val="17"/>
    </w:rPr>
  </w:style>
  <w:style w:type="paragraph" w:customStyle="1" w:styleId="ADDRESS">
    <w:name w:val="ADDRESS"/>
    <w:basedOn w:val="Normal"/>
    <w:rsid w:val="005863F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5863F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neksi">
    <w:name w:val="Aneksi"/>
    <w:next w:val="Normal"/>
    <w:rsid w:val="005863F7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AneksiNr">
    <w:name w:val="Aneksi_Nr"/>
    <w:next w:val="Normal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AneksiTitull">
    <w:name w:val="Aneksi_Titull"/>
    <w:next w:val="Normal"/>
    <w:rsid w:val="005863F7"/>
    <w:pPr>
      <w:spacing w:after="0" w:line="240" w:lineRule="auto"/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5863F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5863F7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AutoritetiEmerCharChar">
    <w:name w:val="Autoriteti_Emer Char Char"/>
    <w:basedOn w:val="DefaultParagraphFont"/>
    <w:rsid w:val="005863F7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5863F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color w:val="000000"/>
      <w:lang w:val="en-GB"/>
    </w:rPr>
  </w:style>
  <w:style w:type="paragraph" w:customStyle="1" w:styleId="bcpara">
    <w:name w:val="bc para"/>
    <w:basedOn w:val="Normal"/>
    <w:rsid w:val="005863F7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863F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863F7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863F7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5863F7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BoxText">
    <w:name w:val="Box Text"/>
    <w:basedOn w:val="Normal"/>
    <w:rsid w:val="005863F7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863F7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5863F7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5863F7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5863F7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5863F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5863F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5863F7"/>
    <w:pPr>
      <w:widowControl w:val="0"/>
      <w:spacing w:after="0" w:line="240" w:lineRule="auto"/>
      <w:outlineLvl w:val="2"/>
    </w:pPr>
    <w:rPr>
      <w:rFonts w:ascii="CG Times" w:eastAsia="MS Mincho" w:hAnsi="CG Times" w:cs="CG Times"/>
    </w:rPr>
  </w:style>
  <w:style w:type="paragraph" w:customStyle="1" w:styleId="footnote">
    <w:name w:val="footnote"/>
    <w:basedOn w:val="Normal"/>
    <w:rsid w:val="005863F7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5863F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863F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5863F7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5863F7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akufund">
    <w:name w:val="Kapaku_fund"/>
    <w:next w:val="Normal"/>
    <w:rsid w:val="005863F7"/>
    <w:pPr>
      <w:pageBreakBefore/>
      <w:spacing w:after="0" w:line="240" w:lineRule="auto"/>
    </w:pPr>
    <w:rPr>
      <w:rFonts w:ascii="CG Times" w:eastAsia="MS Mincho" w:hAnsi="CG Times" w:cs="CG Times"/>
      <w:b/>
      <w:bCs/>
    </w:rPr>
  </w:style>
  <w:style w:type="paragraph" w:customStyle="1" w:styleId="KapitulliNr">
    <w:name w:val="Kapitulli_Nr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itulliTitull">
    <w:name w:val="Kapitulli_Titull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reuNr">
    <w:name w:val="Kreu_Nr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KreuTitull">
    <w:name w:val="Kreu_Titull"/>
    <w:next w:val="KapitulliTitull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Level11">
    <w:name w:val="Level 1.1"/>
    <w:basedOn w:val="Normal"/>
    <w:rsid w:val="005863F7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5863F7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5863F7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5863F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5863F7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5863F7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5863F7"/>
  </w:style>
  <w:style w:type="paragraph" w:customStyle="1" w:styleId="MediumGrid1-Accent21">
    <w:name w:val="Medium Grid 1 - Accent 21"/>
    <w:basedOn w:val="Normal"/>
    <w:uiPriority w:val="99"/>
    <w:rsid w:val="005863F7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</w:rPr>
  </w:style>
  <w:style w:type="paragraph" w:customStyle="1" w:styleId="NeniNr">
    <w:name w:val="Neni_Nr"/>
    <w:next w:val="Normal"/>
    <w:link w:val="NeniNrChar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eniTitull">
    <w:name w:val="Neni_Titull"/>
    <w:next w:val="Normal"/>
    <w:rsid w:val="005863F7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NenkreuNr">
    <w:name w:val="Nenkreu_Nr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rsid w:val="005863F7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pika">
    <w:name w:val="Nenpika"/>
    <w:next w:val="Normal"/>
    <w:autoRedefine/>
    <w:rsid w:val="005863F7"/>
    <w:pPr>
      <w:spacing w:after="0" w:line="240" w:lineRule="auto"/>
      <w:ind w:firstLine="720"/>
    </w:pPr>
    <w:rPr>
      <w:rFonts w:ascii="CG Times" w:eastAsia="MS Mincho" w:hAnsi="CG Times" w:cs="CG Times"/>
    </w:rPr>
  </w:style>
  <w:style w:type="paragraph" w:customStyle="1" w:styleId="NormaleBookmanOldStyle">
    <w:name w:val="Normale + Bookman Old Style"/>
    <w:aliases w:val="Giustificato,Dopo:  6 pt"/>
    <w:basedOn w:val="Normal"/>
    <w:rsid w:val="005863F7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5863F7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NumriData">
    <w:name w:val="Numri_Data"/>
    <w:next w:val="Normal"/>
    <w:link w:val="NumriDataChar"/>
    <w:rsid w:val="005863F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863F7"/>
    <w:rPr>
      <w:rFonts w:ascii="CG Times" w:eastAsia="MS Mincho" w:hAnsi="CG Times" w:cs="CG Times"/>
      <w:b/>
      <w:bCs/>
      <w:lang w:val="en-GB"/>
    </w:rPr>
  </w:style>
  <w:style w:type="paragraph" w:customStyle="1" w:styleId="para">
    <w:name w:val="para"/>
    <w:basedOn w:val="Normal"/>
    <w:rsid w:val="005863F7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5863F7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5863F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5863F7"/>
    <w:rPr>
      <w:rFonts w:ascii="CG Times" w:eastAsia="MS Mincho" w:hAnsi="CG Times" w:cs="CG Times"/>
    </w:rPr>
  </w:style>
  <w:style w:type="paragraph" w:customStyle="1" w:styleId="ParagraphNumbering">
    <w:name w:val="Paragraph Numbering"/>
    <w:basedOn w:val="Normal"/>
    <w:rsid w:val="005863F7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5863F7"/>
    <w:pPr>
      <w:ind w:left="720"/>
    </w:pPr>
  </w:style>
  <w:style w:type="paragraph" w:customStyle="1" w:styleId="Pas">
    <w:name w:val="Pas"/>
    <w:basedOn w:val="Normal"/>
    <w:rsid w:val="005863F7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5863F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paragraph" w:customStyle="1" w:styleId="PikeKreu">
    <w:name w:val="Pike_Kreu"/>
    <w:basedOn w:val="Heading1"/>
    <w:rsid w:val="005863F7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PjesaTitull">
    <w:name w:val="Pjesa_Titull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Section">
    <w:name w:val="Section"/>
    <w:rsid w:val="005863F7"/>
    <w:pPr>
      <w:spacing w:after="0" w:line="240" w:lineRule="auto"/>
    </w:pPr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5863F7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5863F7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lang w:val="sq-AL"/>
    </w:rPr>
  </w:style>
  <w:style w:type="paragraph" w:customStyle="1" w:styleId="Style">
    <w:name w:val="Style"/>
    <w:rsid w:val="005863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tyleCaption">
    <w:name w:val="Style Caption"/>
    <w:basedOn w:val="Normal"/>
    <w:rsid w:val="005863F7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5863F7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5863F7"/>
    <w:pPr>
      <w:spacing w:before="60" w:after="120" w:line="240" w:lineRule="auto"/>
    </w:pPr>
    <w:rPr>
      <w:rFonts w:ascii="Arial" w:eastAsia="MS Mincho" w:hAnsi="Arial" w:cs="Arial"/>
    </w:rPr>
  </w:style>
  <w:style w:type="paragraph" w:customStyle="1" w:styleId="tabela">
    <w:name w:val="tabela"/>
    <w:basedOn w:val="Normal"/>
    <w:rsid w:val="005863F7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5863F7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Table">
    <w:name w:val="Table"/>
    <w:basedOn w:val="Normal"/>
    <w:next w:val="BodyText"/>
    <w:autoRedefine/>
    <w:rsid w:val="005863F7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5863F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863F7"/>
    <w:rPr>
      <w:rFonts w:ascii="Times New Roman" w:eastAsia="MS Mincho" w:hAnsi="Times New Roman" w:cs="Times New Roman"/>
      <w:sz w:val="24"/>
      <w:szCs w:val="24"/>
    </w:rPr>
  </w:style>
  <w:style w:type="paragraph" w:customStyle="1" w:styleId="TableFootnote">
    <w:name w:val="Table Footnote"/>
    <w:basedOn w:val="Normal"/>
    <w:rsid w:val="005863F7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5863F7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5863F7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5863F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Char">
    <w:name w:val="Titulli Char Char"/>
    <w:basedOn w:val="DefaultParagraphFont"/>
    <w:rsid w:val="005863F7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TitulliTitull">
    <w:name w:val="Titulli_Titull"/>
    <w:link w:val="TitulliTitullChar"/>
    <w:rsid w:val="005863F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5863F7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863F7"/>
    <w:rPr>
      <w:rFonts w:ascii="CG Times" w:eastAsia="MS Mincho" w:hAnsi="CG Times" w:cs="CG Times"/>
      <w:caps/>
      <w:lang w:val="en-GB"/>
    </w:rPr>
  </w:style>
  <w:style w:type="paragraph" w:customStyle="1" w:styleId="xl22">
    <w:name w:val="xl22"/>
    <w:basedOn w:val="Normal"/>
    <w:uiPriority w:val="99"/>
    <w:rsid w:val="005863F7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5863F7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5863F7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5863F7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5863F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5863F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5863F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5863F7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5863F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5863F7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5863F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5863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5863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5863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5863F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5863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5863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5863F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5863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5863F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5863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5863F7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5863F7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5863F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5863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63F7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863F7"/>
  </w:style>
  <w:style w:type="paragraph" w:customStyle="1" w:styleId="msolistparagraphcxsplast">
    <w:name w:val="msolistparagraphcxsplast"/>
    <w:basedOn w:val="Normal"/>
    <w:uiPriority w:val="99"/>
    <w:rsid w:val="005863F7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5863F7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5863F7"/>
    <w:rPr>
      <w:rFonts w:ascii="Cambria" w:eastAsia="MS Mincho" w:hAnsi="Cambria" w:cs="Cambria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3F7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5863F7"/>
    <w:rPr>
      <w:rFonts w:ascii="Cambria" w:eastAsia="MS Mincho" w:hAnsi="Cambria" w:cs="Cambria"/>
      <w:i/>
      <w:iCs/>
      <w:spacing w:val="13"/>
      <w:sz w:val="24"/>
      <w:szCs w:val="24"/>
    </w:rPr>
  </w:style>
  <w:style w:type="character" w:styleId="Strong">
    <w:name w:val="Strong"/>
    <w:basedOn w:val="DefaultParagraphFont"/>
    <w:uiPriority w:val="22"/>
    <w:qFormat/>
    <w:rsid w:val="005863F7"/>
    <w:rPr>
      <w:b/>
      <w:bCs/>
    </w:rPr>
  </w:style>
  <w:style w:type="character" w:styleId="Emphasis">
    <w:name w:val="Emphasis"/>
    <w:basedOn w:val="DefaultParagraphFont"/>
    <w:uiPriority w:val="20"/>
    <w:qFormat/>
    <w:rsid w:val="005863F7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5863F7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5863F7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5863F7"/>
    <w:rPr>
      <w:rFonts w:ascii="Times New Roman" w:eastAsia="MS Mincho" w:hAnsi="Times New Roman" w:cs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5863F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5863F7"/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5863F7"/>
    <w:rPr>
      <w:i/>
      <w:iCs/>
    </w:rPr>
  </w:style>
  <w:style w:type="character" w:customStyle="1" w:styleId="IntenseEmphasis1">
    <w:name w:val="Intense Emphasis1"/>
    <w:uiPriority w:val="99"/>
    <w:rsid w:val="005863F7"/>
    <w:rPr>
      <w:b/>
      <w:bCs/>
    </w:rPr>
  </w:style>
  <w:style w:type="character" w:customStyle="1" w:styleId="SubtleReference1">
    <w:name w:val="Subtle Reference1"/>
    <w:uiPriority w:val="99"/>
    <w:rsid w:val="005863F7"/>
    <w:rPr>
      <w:smallCaps/>
    </w:rPr>
  </w:style>
  <w:style w:type="character" w:customStyle="1" w:styleId="IntenseReference1">
    <w:name w:val="Intense Reference1"/>
    <w:uiPriority w:val="99"/>
    <w:rsid w:val="005863F7"/>
    <w:rPr>
      <w:smallCaps/>
      <w:spacing w:val="5"/>
      <w:u w:val="single"/>
    </w:rPr>
  </w:style>
  <w:style w:type="character" w:customStyle="1" w:styleId="BookTitle1">
    <w:name w:val="Book Title1"/>
    <w:uiPriority w:val="99"/>
    <w:rsid w:val="005863F7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5863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63F7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5863F7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5863F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5863F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5863F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5863F7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5863F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5863F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5863F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5863F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5863F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5863F7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5863F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5863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586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5863F7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5863F7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5863F7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rsid w:val="005863F7"/>
  </w:style>
  <w:style w:type="character" w:customStyle="1" w:styleId="longtext">
    <w:name w:val="long_text"/>
    <w:basedOn w:val="DefaultParagraphFont"/>
    <w:uiPriority w:val="99"/>
    <w:rsid w:val="005863F7"/>
  </w:style>
  <w:style w:type="paragraph" w:styleId="FootnoteText">
    <w:name w:val="footnote text"/>
    <w:basedOn w:val="Normal"/>
    <w:link w:val="FootnoteTextChar"/>
    <w:semiHidden/>
    <w:rsid w:val="005863F7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5863F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5863F7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5863F7"/>
  </w:style>
  <w:style w:type="character" w:customStyle="1" w:styleId="apple-converted-space">
    <w:name w:val="apple-converted-space"/>
    <w:basedOn w:val="DefaultParagraphFont"/>
    <w:rsid w:val="005863F7"/>
  </w:style>
  <w:style w:type="paragraph" w:styleId="BalloonText">
    <w:name w:val="Balloon Text"/>
    <w:basedOn w:val="Normal"/>
    <w:link w:val="BalloonTextChar"/>
    <w:uiPriority w:val="99"/>
    <w:rsid w:val="005863F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863F7"/>
    <w:rPr>
      <w:rFonts w:ascii="Lucida Grande" w:eastAsia="MS Mincho" w:hAnsi="Lucida Grande" w:cs="Lucida Grande"/>
      <w:sz w:val="18"/>
      <w:szCs w:val="18"/>
    </w:rPr>
  </w:style>
  <w:style w:type="paragraph" w:customStyle="1" w:styleId="Char">
    <w:name w:val="Char"/>
    <w:basedOn w:val="Normal"/>
    <w:rsid w:val="005863F7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5863F7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/>
    </w:rPr>
  </w:style>
  <w:style w:type="character" w:customStyle="1" w:styleId="TableTitleChar">
    <w:name w:val="Table Title Char"/>
    <w:link w:val="TableTitle"/>
    <w:uiPriority w:val="99"/>
    <w:locked/>
    <w:rsid w:val="005863F7"/>
    <w:rPr>
      <w:rFonts w:ascii="Times New Roman" w:eastAsia="MS Mincho" w:hAnsi="Times New Roman" w:cs="Times New Roman"/>
      <w:b/>
      <w:bCs/>
      <w:sz w:val="21"/>
      <w:szCs w:val="21"/>
      <w:lang w:val="en-GB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5863F7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5863F7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5863F7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uiPriority w:val="1"/>
    <w:qFormat/>
    <w:rsid w:val="005863F7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TitulliChar">
    <w:name w:val="Titulli Char"/>
    <w:basedOn w:val="DefaultParagraphFont"/>
    <w:link w:val="Titulli"/>
    <w:rsid w:val="005863F7"/>
    <w:rPr>
      <w:rFonts w:ascii="CG Times" w:eastAsia="MS Mincho" w:hAnsi="CG Times" w:cs="CG Times"/>
      <w:b/>
      <w:bCs/>
      <w:caps/>
      <w:lang w:val="en-GB"/>
    </w:rPr>
  </w:style>
  <w:style w:type="character" w:customStyle="1" w:styleId="f11">
    <w:name w:val="f11"/>
    <w:basedOn w:val="DefaultParagraphFont"/>
    <w:rsid w:val="005863F7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5863F7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5863F7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5863F7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nhideWhenUsed/>
    <w:rsid w:val="005863F7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5863F7"/>
    <w:rPr>
      <w:rFonts w:ascii="CG Times" w:eastAsia="MS Mincho" w:hAnsi="CG Times" w:cs="CG Times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5863F7"/>
    <w:rPr>
      <w:rFonts w:ascii="CG Times" w:eastAsia="MS Mincho" w:hAnsi="CG Times" w:cs="CG Times"/>
      <w:caps/>
      <w:lang w:val="en-GB"/>
    </w:rPr>
  </w:style>
  <w:style w:type="paragraph" w:customStyle="1" w:styleId="ecxyiv2026995msonormal">
    <w:name w:val="ecxyiv2026995msonormal"/>
    <w:basedOn w:val="Normal"/>
    <w:rsid w:val="005863F7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5863F7"/>
  </w:style>
  <w:style w:type="character" w:customStyle="1" w:styleId="atn">
    <w:name w:val="atn"/>
    <w:basedOn w:val="DefaultParagraphFont"/>
    <w:rsid w:val="005863F7"/>
  </w:style>
  <w:style w:type="character" w:customStyle="1" w:styleId="gt-icon-text1">
    <w:name w:val="gt-icon-text1"/>
    <w:basedOn w:val="DefaultParagraphFont"/>
    <w:rsid w:val="005863F7"/>
  </w:style>
  <w:style w:type="paragraph" w:customStyle="1" w:styleId="CM4">
    <w:name w:val="CM4"/>
    <w:basedOn w:val="Normal"/>
    <w:next w:val="Normal"/>
    <w:rsid w:val="005863F7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5863F7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5863F7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5863F7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character" w:customStyle="1" w:styleId="BodyText2Char">
    <w:name w:val="Body Text 2 Char"/>
    <w:basedOn w:val="DefaultParagraphFont"/>
    <w:link w:val="BodyText2"/>
    <w:rsid w:val="005863F7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5863F7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5863F7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5863F7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5863F7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5863F7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5863F7"/>
  </w:style>
  <w:style w:type="paragraph" w:customStyle="1" w:styleId="akti0">
    <w:name w:val="akti"/>
    <w:basedOn w:val="Normal"/>
    <w:rsid w:val="005863F7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5863F7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5863F7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5863F7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5863F7"/>
  </w:style>
  <w:style w:type="paragraph" w:customStyle="1" w:styleId="betreff">
    <w:name w:val="betreff"/>
    <w:basedOn w:val="Normal"/>
    <w:next w:val="anrede"/>
    <w:rsid w:val="005863F7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,Normal + 11 pt,Left:  1.27 cm"/>
    <w:basedOn w:val="Normal"/>
    <w:rsid w:val="005863F7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/>
    </w:rPr>
  </w:style>
  <w:style w:type="paragraph" w:customStyle="1" w:styleId="bodytext0">
    <w:name w:val="bodytext"/>
    <w:basedOn w:val="Normal"/>
    <w:rsid w:val="005863F7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rsid w:val="005863F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5863F7"/>
    <w:rPr>
      <w:i/>
      <w:iCs/>
      <w:smallCaps/>
      <w:spacing w:val="5"/>
    </w:rPr>
  </w:style>
  <w:style w:type="paragraph" w:customStyle="1" w:styleId="briefkopf">
    <w:name w:val="briefkopf"/>
    <w:basedOn w:val="Normal"/>
    <w:rsid w:val="005863F7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basedOn w:val="DefaultParagraphFont"/>
    <w:locked/>
    <w:rsid w:val="005863F7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5863F7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5863F7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5863F7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basedOn w:val="DefaultParagraphFont"/>
    <w:rsid w:val="005863F7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5863F7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5863F7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5863F7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5863F7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5863F7"/>
    <w:rPr>
      <w:sz w:val="20"/>
      <w:szCs w:val="20"/>
    </w:rPr>
  </w:style>
  <w:style w:type="paragraph" w:customStyle="1" w:styleId="ecxmsonormal">
    <w:name w:val="ecxmsonormal"/>
    <w:basedOn w:val="Normal"/>
    <w:rsid w:val="005863F7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5863F7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5863F7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5863F7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5863F7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5863F7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5863F7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basedOn w:val="DefaultParagraphFont"/>
    <w:rsid w:val="005863F7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5863F7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5863F7"/>
    <w:pPr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n-GB"/>
    </w:rPr>
  </w:style>
  <w:style w:type="character" w:styleId="IntenseEmphasis">
    <w:name w:val="Intense Emphasis"/>
    <w:uiPriority w:val="21"/>
    <w:qFormat/>
    <w:rsid w:val="005863F7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3F7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3F7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uiPriority w:val="32"/>
    <w:qFormat/>
    <w:rsid w:val="005863F7"/>
    <w:rPr>
      <w:smallCaps/>
      <w:spacing w:val="5"/>
      <w:u w:val="single"/>
    </w:rPr>
  </w:style>
  <w:style w:type="paragraph" w:customStyle="1" w:styleId="JuPara">
    <w:name w:val="Ju_Para"/>
    <w:basedOn w:val="Normal"/>
    <w:rsid w:val="005863F7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5863F7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5863F7"/>
  </w:style>
  <w:style w:type="character" w:customStyle="1" w:styleId="ju--005fpara----char--char">
    <w:name w:val="ju--005fpara----char--char"/>
    <w:basedOn w:val="DefaultParagraphFont"/>
    <w:rsid w:val="005863F7"/>
  </w:style>
  <w:style w:type="character" w:customStyle="1" w:styleId="longtext1">
    <w:name w:val="long_text1"/>
    <w:basedOn w:val="DefaultParagraphFont"/>
    <w:rsid w:val="005863F7"/>
    <w:rPr>
      <w:sz w:val="20"/>
      <w:szCs w:val="20"/>
    </w:rPr>
  </w:style>
  <w:style w:type="character" w:customStyle="1" w:styleId="mediumtext">
    <w:name w:val="medium_text"/>
    <w:basedOn w:val="DefaultParagraphFont"/>
    <w:rsid w:val="005863F7"/>
  </w:style>
  <w:style w:type="paragraph" w:customStyle="1" w:styleId="neninr0">
    <w:name w:val="neninr"/>
    <w:basedOn w:val="Normal"/>
    <w:rsid w:val="005863F7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5863F7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5863F7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5863F7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5863F7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5863F7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586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5863F7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5863F7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29"/>
    <w:rsid w:val="005863F7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5863F7"/>
  </w:style>
  <w:style w:type="paragraph" w:customStyle="1" w:styleId="Standard1">
    <w:name w:val="Standard1"/>
    <w:basedOn w:val="Normal"/>
    <w:rsid w:val="005863F7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5863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Style4">
    <w:name w:val="Style 4"/>
    <w:rsid w:val="005863F7"/>
    <w:pPr>
      <w:widowControl w:val="0"/>
      <w:autoSpaceDE w:val="0"/>
      <w:autoSpaceDN w:val="0"/>
      <w:spacing w:before="108" w:after="0" w:line="240" w:lineRule="auto"/>
      <w:ind w:left="288" w:hanging="288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8">
    <w:name w:val="Style 8"/>
    <w:rsid w:val="005863F7"/>
    <w:pPr>
      <w:widowControl w:val="0"/>
      <w:autoSpaceDE w:val="0"/>
      <w:autoSpaceDN w:val="0"/>
      <w:spacing w:before="72" w:after="0" w:line="307" w:lineRule="auto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5863F7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uiPriority w:val="19"/>
    <w:qFormat/>
    <w:rsid w:val="005863F7"/>
    <w:rPr>
      <w:i/>
      <w:iCs/>
    </w:rPr>
  </w:style>
  <w:style w:type="character" w:styleId="SubtleReference">
    <w:name w:val="Subtle Reference"/>
    <w:uiPriority w:val="31"/>
    <w:qFormat/>
    <w:rsid w:val="005863F7"/>
    <w:rPr>
      <w:smallCaps/>
    </w:rPr>
  </w:style>
  <w:style w:type="paragraph" w:customStyle="1" w:styleId="Tabellenberschrift">
    <w:name w:val="Tabellenüberschrift"/>
    <w:basedOn w:val="Normal"/>
    <w:rsid w:val="005863F7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5863F7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5863F7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5863F7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5863F7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5863F7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5863F7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5863F7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uiPriority w:val="99"/>
    <w:semiHidden/>
    <w:unhideWhenUsed/>
    <w:rsid w:val="005863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63F7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63F7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63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3F7"/>
    <w:rPr>
      <w:b/>
      <w:bCs/>
    </w:rPr>
  </w:style>
  <w:style w:type="paragraph" w:customStyle="1" w:styleId="Corpodeltesto">
    <w:name w:val="Corpo del testo"/>
    <w:basedOn w:val="Default"/>
    <w:next w:val="Default"/>
    <w:rsid w:val="005863F7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5863F7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5863F7"/>
  </w:style>
  <w:style w:type="paragraph" w:customStyle="1" w:styleId="Normale">
    <w:name w:val="Normale"/>
    <w:basedOn w:val="Default"/>
    <w:next w:val="Default"/>
    <w:rsid w:val="005863F7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5863F7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5863F7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5863F7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5863F7"/>
  </w:style>
  <w:style w:type="character" w:customStyle="1" w:styleId="subtitle0">
    <w:name w:val="subtitle"/>
    <w:basedOn w:val="DefaultParagraphFont"/>
    <w:rsid w:val="005863F7"/>
  </w:style>
  <w:style w:type="paragraph" w:customStyle="1" w:styleId="Titolo1">
    <w:name w:val="Titolo 1"/>
    <w:basedOn w:val="Default"/>
    <w:next w:val="Default"/>
    <w:rsid w:val="005863F7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5863F7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5863F7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5863F7"/>
    <w:rPr>
      <w:rFonts w:eastAsia="Times New Roman"/>
      <w:color w:val="auto"/>
    </w:rPr>
  </w:style>
  <w:style w:type="character" w:customStyle="1" w:styleId="vi">
    <w:name w:val="vi"/>
    <w:basedOn w:val="DefaultParagraphFont"/>
    <w:rsid w:val="005863F7"/>
  </w:style>
  <w:style w:type="character" w:customStyle="1" w:styleId="actsnumber">
    <w:name w:val="actsnumber"/>
    <w:basedOn w:val="DefaultParagraphFont"/>
    <w:rsid w:val="005863F7"/>
  </w:style>
  <w:style w:type="character" w:customStyle="1" w:styleId="actscontent">
    <w:name w:val="actscontent"/>
    <w:basedOn w:val="DefaultParagraphFont"/>
    <w:rsid w:val="005863F7"/>
  </w:style>
  <w:style w:type="character" w:styleId="FollowedHyperlink">
    <w:name w:val="FollowedHyperlink"/>
    <w:basedOn w:val="DefaultParagraphFont"/>
    <w:uiPriority w:val="99"/>
    <w:rsid w:val="005863F7"/>
    <w:rPr>
      <w:color w:val="800080"/>
      <w:u w:val="single"/>
    </w:rPr>
  </w:style>
  <w:style w:type="paragraph" w:customStyle="1" w:styleId="Char0">
    <w:name w:val=" Char"/>
    <w:basedOn w:val="Normal"/>
    <w:rsid w:val="005863F7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5863F7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863F7"/>
    <w:rPr>
      <w:rFonts w:ascii="Tahoma" w:eastAsia="Times New Roman" w:hAnsi="Tahoma"/>
      <w:sz w:val="20"/>
      <w:szCs w:val="20"/>
      <w:lang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63F7"/>
    <w:rPr>
      <w:rFonts w:ascii="Tahoma" w:eastAsia="Times New Roman" w:hAnsi="Tahoma" w:cs="Times New Roman"/>
      <w:sz w:val="20"/>
      <w:szCs w:val="20"/>
      <w:lang/>
    </w:rPr>
  </w:style>
  <w:style w:type="character" w:styleId="EndnoteReference">
    <w:name w:val="endnote reference"/>
    <w:uiPriority w:val="99"/>
    <w:semiHidden/>
    <w:unhideWhenUsed/>
    <w:rsid w:val="005863F7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5863F7"/>
    <w:rPr>
      <w:rFonts w:ascii="CG Times" w:eastAsia="MS Mincho" w:hAnsi="CG Times" w:cs="CG Times"/>
      <w:caps/>
      <w:lang w:val="en-GB"/>
    </w:rPr>
  </w:style>
  <w:style w:type="paragraph" w:customStyle="1" w:styleId="xl63">
    <w:name w:val="xl63"/>
    <w:basedOn w:val="Normal"/>
    <w:rsid w:val="005863F7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5863F7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5863F7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5863F7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5863F7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5863F7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5863F7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5863F7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5863F7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5863F7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5863F7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5863F7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5863F7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5863F7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5863F7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5863F7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5863F7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5863F7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5863F7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5863F7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5863F7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5863F7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5863F7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5863F7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rsid w:val="005863F7"/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font5">
    <w:name w:val="font5"/>
    <w:basedOn w:val="Normal"/>
    <w:rsid w:val="005863F7"/>
    <w:pPr>
      <w:spacing w:before="100" w:beforeAutospacing="1" w:after="100" w:afterAutospacing="1"/>
    </w:pPr>
    <w:rPr>
      <w:rFonts w:ascii="Arial Narrow" w:eastAsia="Times New Roman" w:hAnsi="Arial Narrow"/>
      <w:b/>
      <w:bCs/>
      <w:color w:val="000000"/>
      <w:sz w:val="14"/>
      <w:szCs w:val="14"/>
      <w:lang w:val="sq-AL" w:eastAsia="sq-AL"/>
    </w:rPr>
  </w:style>
  <w:style w:type="paragraph" w:customStyle="1" w:styleId="font6">
    <w:name w:val="font6"/>
    <w:basedOn w:val="Normal"/>
    <w:rsid w:val="005863F7"/>
    <w:pPr>
      <w:spacing w:before="100" w:beforeAutospacing="1" w:after="100" w:afterAutospacing="1"/>
    </w:pPr>
    <w:rPr>
      <w:rFonts w:ascii="Calibri" w:eastAsia="Times New Roman" w:hAnsi="Calibri"/>
      <w:b/>
      <w:bCs/>
      <w:color w:val="000000"/>
      <w:sz w:val="14"/>
      <w:szCs w:val="14"/>
      <w:lang w:val="sq-AL" w:eastAsia="sq-AL"/>
    </w:rPr>
  </w:style>
  <w:style w:type="paragraph" w:customStyle="1" w:styleId="xl128">
    <w:name w:val="xl128"/>
    <w:basedOn w:val="Normal"/>
    <w:rsid w:val="005863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29">
    <w:name w:val="xl129"/>
    <w:basedOn w:val="Normal"/>
    <w:rsid w:val="005863F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0">
    <w:name w:val="xl130"/>
    <w:basedOn w:val="Normal"/>
    <w:rsid w:val="005863F7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1">
    <w:name w:val="xl131"/>
    <w:basedOn w:val="Normal"/>
    <w:rsid w:val="005863F7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2">
    <w:name w:val="xl132"/>
    <w:basedOn w:val="Normal"/>
    <w:rsid w:val="005863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3">
    <w:name w:val="xl133"/>
    <w:basedOn w:val="Normal"/>
    <w:rsid w:val="005863F7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4">
    <w:name w:val="xl134"/>
    <w:basedOn w:val="Normal"/>
    <w:rsid w:val="005863F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35">
    <w:name w:val="xl135"/>
    <w:basedOn w:val="Normal"/>
    <w:rsid w:val="005863F7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6">
    <w:name w:val="xl136"/>
    <w:basedOn w:val="Normal"/>
    <w:rsid w:val="005863F7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7">
    <w:name w:val="xl137"/>
    <w:basedOn w:val="Normal"/>
    <w:rsid w:val="005863F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8">
    <w:name w:val="xl138"/>
    <w:basedOn w:val="Normal"/>
    <w:rsid w:val="005863F7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9">
    <w:name w:val="xl139"/>
    <w:basedOn w:val="Normal"/>
    <w:rsid w:val="005863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BodyText21">
    <w:name w:val="Body Text 21"/>
    <w:basedOn w:val="Normal"/>
    <w:rsid w:val="005863F7"/>
    <w:pPr>
      <w:jc w:val="both"/>
    </w:pPr>
    <w:rPr>
      <w:rFonts w:eastAsia="Times New Roman"/>
      <w:lang w:eastAsia="bg-BG"/>
    </w:rPr>
  </w:style>
  <w:style w:type="paragraph" w:styleId="Revision">
    <w:name w:val="Revision"/>
    <w:hidden/>
    <w:uiPriority w:val="99"/>
    <w:semiHidden/>
    <w:rsid w:val="005863F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azligjpropozues0">
    <w:name w:val="bazligjpropozues"/>
    <w:basedOn w:val="Normal"/>
    <w:rsid w:val="005863F7"/>
    <w:pPr>
      <w:spacing w:before="100" w:beforeAutospacing="1" w:after="100" w:afterAutospacing="1"/>
    </w:pPr>
    <w:rPr>
      <w:rFonts w:eastAsia="Times New Roman"/>
    </w:rPr>
  </w:style>
  <w:style w:type="paragraph" w:customStyle="1" w:styleId="Pa32">
    <w:name w:val="Pa32"/>
    <w:basedOn w:val="Normal"/>
    <w:next w:val="Normal"/>
    <w:rsid w:val="005863F7"/>
    <w:pPr>
      <w:autoSpaceDE w:val="0"/>
      <w:autoSpaceDN w:val="0"/>
      <w:adjustRightInd w:val="0"/>
      <w:spacing w:line="241" w:lineRule="atLeast"/>
    </w:pPr>
    <w:rPr>
      <w:rFonts w:ascii="Calibri" w:eastAsia="Times New Roman" w:hAnsi="Calibri"/>
    </w:rPr>
  </w:style>
  <w:style w:type="paragraph" w:customStyle="1" w:styleId="Pa33">
    <w:name w:val="Pa33"/>
    <w:basedOn w:val="Normal"/>
    <w:next w:val="Normal"/>
    <w:rsid w:val="005863F7"/>
    <w:pPr>
      <w:autoSpaceDE w:val="0"/>
      <w:autoSpaceDN w:val="0"/>
      <w:adjustRightInd w:val="0"/>
      <w:spacing w:line="211" w:lineRule="atLeast"/>
    </w:pPr>
    <w:rPr>
      <w:rFonts w:ascii="Calibri" w:eastAsia="Times New Roman" w:hAnsi="Calibri"/>
    </w:rPr>
  </w:style>
  <w:style w:type="paragraph" w:styleId="PlainText">
    <w:name w:val="Plain Text"/>
    <w:basedOn w:val="Normal"/>
    <w:link w:val="PlainTextChar1"/>
    <w:semiHidden/>
    <w:unhideWhenUsed/>
    <w:rsid w:val="005863F7"/>
    <w:pPr>
      <w:jc w:val="both"/>
    </w:pPr>
    <w:rPr>
      <w:rFonts w:ascii="Courier New" w:eastAsia="Times New Roman" w:hAnsi="Courier New"/>
      <w:sz w:val="20"/>
      <w:szCs w:val="20"/>
      <w:lang w:val="sk-SK" w:eastAsia="cs-CZ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63F7"/>
    <w:rPr>
      <w:rFonts w:ascii="Consolas" w:eastAsia="MS Mincho" w:hAnsi="Consolas" w:cs="Times New Roman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semiHidden/>
    <w:locked/>
    <w:rsid w:val="005863F7"/>
    <w:rPr>
      <w:rFonts w:ascii="Courier New" w:eastAsia="Times New Roman" w:hAnsi="Courier New" w:cs="Times New Roman"/>
      <w:sz w:val="20"/>
      <w:szCs w:val="20"/>
      <w:lang w:val="sk-SK" w:eastAsia="cs-CZ"/>
    </w:rPr>
  </w:style>
  <w:style w:type="character" w:customStyle="1" w:styleId="DeltaViewInsertion">
    <w:name w:val="DeltaView Insertion"/>
    <w:rsid w:val="005863F7"/>
    <w:rPr>
      <w:color w:val="0000FF"/>
      <w:spacing w:val="0"/>
      <w:u w:val="double"/>
    </w:rPr>
  </w:style>
  <w:style w:type="paragraph" w:styleId="DocumentMap">
    <w:name w:val="Document Map"/>
    <w:basedOn w:val="Normal"/>
    <w:link w:val="DocumentMapChar"/>
    <w:semiHidden/>
    <w:rsid w:val="005863F7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5863F7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customStyle="1" w:styleId="CM1">
    <w:name w:val="CM1"/>
    <w:basedOn w:val="Normal"/>
    <w:next w:val="Normal"/>
    <w:uiPriority w:val="99"/>
    <w:rsid w:val="005863F7"/>
    <w:pPr>
      <w:autoSpaceDE w:val="0"/>
      <w:autoSpaceDN w:val="0"/>
      <w:adjustRightInd w:val="0"/>
    </w:pPr>
    <w:rPr>
      <w:rFonts w:ascii="EUAlbertina" w:eastAsia="Calibri" w:hAnsi="EUAlbertina"/>
    </w:rPr>
  </w:style>
  <w:style w:type="paragraph" w:customStyle="1" w:styleId="CM3">
    <w:name w:val="CM3"/>
    <w:basedOn w:val="Normal"/>
    <w:next w:val="Normal"/>
    <w:uiPriority w:val="99"/>
    <w:rsid w:val="005863F7"/>
    <w:pPr>
      <w:autoSpaceDE w:val="0"/>
      <w:autoSpaceDN w:val="0"/>
      <w:adjustRightInd w:val="0"/>
    </w:pPr>
    <w:rPr>
      <w:rFonts w:ascii="EUAlbertina" w:eastAsia="Calibri" w:hAnsi="EUAlbertina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5863F7"/>
    <w:pPr>
      <w:ind w:left="720"/>
    </w:pPr>
  </w:style>
  <w:style w:type="paragraph" w:styleId="NormalIndent">
    <w:name w:val="Normal Indent"/>
    <w:basedOn w:val="Normal"/>
    <w:rsid w:val="005863F7"/>
    <w:pPr>
      <w:tabs>
        <w:tab w:val="left" w:pos="-720"/>
      </w:tabs>
      <w:suppressAutoHyphens/>
      <w:spacing w:before="120" w:after="120"/>
      <w:ind w:left="720"/>
      <w:jc w:val="both"/>
    </w:pPr>
    <w:rPr>
      <w:rFonts w:eastAsia="Calibri"/>
      <w:spacing w:val="-3"/>
      <w:szCs w:val="20"/>
      <w:lang w:val="en-GB"/>
    </w:rPr>
  </w:style>
  <w:style w:type="paragraph" w:customStyle="1" w:styleId="StyleNormalIndentHanging05">
    <w:name w:val="Style Normal Indent + Hanging:  0.5&quot;"/>
    <w:basedOn w:val="NormalIndent"/>
    <w:rsid w:val="005863F7"/>
    <w:pPr>
      <w:ind w:hanging="720"/>
    </w:pPr>
    <w:rPr>
      <w:sz w:val="22"/>
    </w:rPr>
  </w:style>
  <w:style w:type="paragraph" w:customStyle="1" w:styleId="xmsolistparagraph">
    <w:name w:val="x_msolistparagraph"/>
    <w:basedOn w:val="Normal"/>
    <w:rsid w:val="005863F7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1427</Words>
  <Characters>8134</Characters>
  <Application>Microsoft Office Word</Application>
  <DocSecurity>0</DocSecurity>
  <Lines>67</Lines>
  <Paragraphs>19</Paragraphs>
  <ScaleCrop>false</ScaleCrop>
  <Company>Hewlett-Packard Company</Company>
  <LinksUpToDate>false</LinksUpToDate>
  <CharactersWithSpaces>9542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2014-07-08T09:58:00Z</dcterms:created>
  <dcterms:modified xsi:type="dcterms:W3CDTF">2014-07-08T09:58:00Z</dcterms:modified>
</cp:coreProperties>
</file>