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C92" w:rsidRPr="005F0B1B" w:rsidRDefault="00E27C92" w:rsidP="00E27C92">
      <w:pPr>
        <w:pStyle w:val="Akti"/>
        <w:rPr>
          <w:lang w:val="sq-AL"/>
        </w:rPr>
      </w:pPr>
      <w:r w:rsidRPr="005F0B1B">
        <w:rPr>
          <w:lang w:val="sq-AL"/>
        </w:rPr>
        <w:t>Udhëzim</w:t>
      </w:r>
    </w:p>
    <w:p w:rsidR="00E27C92" w:rsidRPr="005F0B1B" w:rsidRDefault="00E27C92" w:rsidP="00E27C92">
      <w:pPr>
        <w:pStyle w:val="NumriData"/>
        <w:rPr>
          <w:lang w:val="sq-AL"/>
        </w:rPr>
      </w:pPr>
      <w:r w:rsidRPr="005F0B1B">
        <w:rPr>
          <w:lang w:val="sq-AL"/>
        </w:rPr>
        <w:t>Nr. 4/1, datë 23.5.2014</w:t>
      </w:r>
    </w:p>
    <w:p w:rsidR="00E27C92" w:rsidRPr="005179C0" w:rsidRDefault="00E27C92" w:rsidP="00E27C92">
      <w:pPr>
        <w:pStyle w:val="Paragrafi"/>
        <w:rPr>
          <w:sz w:val="14"/>
          <w:szCs w:val="21"/>
          <w:lang w:val="sq-AL"/>
        </w:rPr>
      </w:pPr>
    </w:p>
    <w:p w:rsidR="00E27C92" w:rsidRPr="005F0B1B" w:rsidRDefault="00E27C92" w:rsidP="00E27C92">
      <w:pPr>
        <w:pStyle w:val="Titulli"/>
        <w:rPr>
          <w:lang w:val="sq-AL"/>
        </w:rPr>
      </w:pPr>
      <w:r w:rsidRPr="005F0B1B">
        <w:rPr>
          <w:lang w:val="sq-AL"/>
        </w:rPr>
        <w:t>Për një shtesë në udhëzimin nr. 24, datë 2.9.2008</w:t>
      </w:r>
      <w:r>
        <w:rPr>
          <w:lang w:val="sq-AL"/>
        </w:rPr>
        <w:t>,</w:t>
      </w:r>
      <w:r w:rsidRPr="005F0B1B">
        <w:rPr>
          <w:lang w:val="sq-AL"/>
        </w:rPr>
        <w:t xml:space="preserve"> “Për procedurat tatimore në Republikën e Shqipërisë</w:t>
      </w:r>
      <w:r>
        <w:rPr>
          <w:lang w:val="sq-AL"/>
        </w:rPr>
        <w:t>”,</w:t>
      </w:r>
      <w:r w:rsidRPr="005F0B1B">
        <w:rPr>
          <w:lang w:val="sq-AL"/>
        </w:rPr>
        <w:t xml:space="preserve"> të ndryshuar</w:t>
      </w:r>
    </w:p>
    <w:p w:rsidR="00E27C92" w:rsidRPr="005179C0" w:rsidRDefault="00E27C92" w:rsidP="00E27C92">
      <w:pPr>
        <w:pStyle w:val="Paragrafi"/>
        <w:rPr>
          <w:sz w:val="14"/>
          <w:szCs w:val="21"/>
          <w:lang w:val="sq-AL"/>
        </w:rPr>
      </w:pPr>
    </w:p>
    <w:p w:rsidR="00E27C92" w:rsidRPr="005F0B1B" w:rsidRDefault="00E27C92" w:rsidP="00E27C92">
      <w:pPr>
        <w:pStyle w:val="Paragrafi"/>
        <w:rPr>
          <w:szCs w:val="21"/>
          <w:lang w:val="sq-AL"/>
        </w:rPr>
      </w:pPr>
      <w:r w:rsidRPr="005F0B1B">
        <w:rPr>
          <w:szCs w:val="21"/>
          <w:lang w:val="sq-AL"/>
        </w:rPr>
        <w:t>Në zbatim të nenit 102, pika 4</w:t>
      </w:r>
      <w:r>
        <w:rPr>
          <w:szCs w:val="21"/>
          <w:lang w:val="sq-AL"/>
        </w:rPr>
        <w:t>,</w:t>
      </w:r>
      <w:r w:rsidRPr="005F0B1B">
        <w:rPr>
          <w:szCs w:val="21"/>
          <w:lang w:val="sq-AL"/>
        </w:rPr>
        <w:t xml:space="preserve"> të Kushtetutës së Republikës së Shqipërisë dhe ligjit nr. 9920, datë 19.5.2008</w:t>
      </w:r>
      <w:r>
        <w:rPr>
          <w:szCs w:val="21"/>
          <w:lang w:val="sq-AL"/>
        </w:rPr>
        <w:t>,</w:t>
      </w:r>
      <w:r w:rsidRPr="005F0B1B">
        <w:rPr>
          <w:szCs w:val="21"/>
          <w:lang w:val="sq-AL"/>
        </w:rPr>
        <w:t xml:space="preserve"> “Për procedurat tatimore”</w:t>
      </w:r>
      <w:r>
        <w:rPr>
          <w:szCs w:val="21"/>
          <w:lang w:val="sq-AL"/>
        </w:rPr>
        <w:t>,</w:t>
      </w:r>
      <w:r w:rsidRPr="005F0B1B">
        <w:rPr>
          <w:szCs w:val="21"/>
          <w:lang w:val="sq-AL"/>
        </w:rPr>
        <w:t xml:space="preserve"> </w:t>
      </w:r>
      <w:r>
        <w:rPr>
          <w:szCs w:val="21"/>
          <w:lang w:val="sq-AL"/>
        </w:rPr>
        <w:t>të</w:t>
      </w:r>
      <w:r w:rsidRPr="005F0B1B">
        <w:rPr>
          <w:szCs w:val="21"/>
          <w:lang w:val="sq-AL"/>
        </w:rPr>
        <w:t xml:space="preserve"> ndryshuar, </w:t>
      </w:r>
      <w:r>
        <w:rPr>
          <w:szCs w:val="21"/>
          <w:lang w:val="sq-AL"/>
        </w:rPr>
        <w:t>m</w:t>
      </w:r>
      <w:r w:rsidRPr="005F0B1B">
        <w:rPr>
          <w:szCs w:val="21"/>
          <w:lang w:val="sq-AL"/>
        </w:rPr>
        <w:t>inistri i Financave</w:t>
      </w:r>
    </w:p>
    <w:p w:rsidR="00E27C92" w:rsidRPr="005179C0" w:rsidRDefault="00E27C92" w:rsidP="00E27C92">
      <w:pPr>
        <w:pStyle w:val="Paragrafi"/>
        <w:rPr>
          <w:sz w:val="14"/>
          <w:szCs w:val="21"/>
          <w:lang w:val="sq-AL"/>
        </w:rPr>
      </w:pPr>
    </w:p>
    <w:p w:rsidR="00E27C92" w:rsidRPr="005F0B1B" w:rsidRDefault="00E27C92" w:rsidP="00E27C92">
      <w:pPr>
        <w:pStyle w:val="VENDOSI"/>
        <w:rPr>
          <w:lang w:val="sq-AL"/>
        </w:rPr>
      </w:pPr>
      <w:r w:rsidRPr="005F0B1B">
        <w:rPr>
          <w:lang w:val="sq-AL"/>
        </w:rPr>
        <w:t>Udhëzon:</w:t>
      </w:r>
    </w:p>
    <w:p w:rsidR="00E27C92" w:rsidRPr="005179C0" w:rsidRDefault="00E27C92" w:rsidP="00E27C92">
      <w:pPr>
        <w:pStyle w:val="VENDOSI"/>
        <w:rPr>
          <w:sz w:val="14"/>
          <w:lang w:val="sq-AL"/>
        </w:rPr>
      </w:pPr>
    </w:p>
    <w:p w:rsidR="00E27C92" w:rsidRDefault="00E27C92" w:rsidP="00E27C92">
      <w:pPr>
        <w:pStyle w:val="Paragrafi"/>
        <w:rPr>
          <w:szCs w:val="21"/>
          <w:lang w:val="sq-AL"/>
        </w:rPr>
      </w:pPr>
      <w:r w:rsidRPr="005F0B1B">
        <w:rPr>
          <w:szCs w:val="21"/>
          <w:lang w:val="sq-AL"/>
        </w:rPr>
        <w:t>Në udhëzimin nr. 24, datë 2.9.2008 “Për procedurat tatimore në Republikën e Shqipërisë</w:t>
      </w:r>
      <w:r>
        <w:rPr>
          <w:szCs w:val="21"/>
          <w:lang w:val="sq-AL"/>
        </w:rPr>
        <w:t>”</w:t>
      </w:r>
      <w:r w:rsidRPr="005F0B1B">
        <w:rPr>
          <w:szCs w:val="21"/>
          <w:lang w:val="sq-AL"/>
        </w:rPr>
        <w:t>, bëhet shtesa e mëposhtme</w:t>
      </w:r>
      <w:r>
        <w:rPr>
          <w:szCs w:val="21"/>
          <w:lang w:val="sq-AL"/>
        </w:rPr>
        <w:t>:</w:t>
      </w:r>
    </w:p>
    <w:p w:rsidR="00E27C92" w:rsidRPr="005F0B1B" w:rsidRDefault="00E27C92" w:rsidP="00E27C92">
      <w:pPr>
        <w:pStyle w:val="Paragrafi"/>
        <w:rPr>
          <w:szCs w:val="21"/>
          <w:lang w:val="sq-AL"/>
        </w:rPr>
      </w:pPr>
      <w:r>
        <w:rPr>
          <w:szCs w:val="21"/>
          <w:lang w:val="sq-AL"/>
        </w:rPr>
        <w:t xml:space="preserve">1. </w:t>
      </w:r>
      <w:r w:rsidRPr="005F0B1B">
        <w:rPr>
          <w:szCs w:val="21"/>
          <w:lang w:val="sq-AL"/>
        </w:rPr>
        <w:t>Në pikën 75.1.1, germa “a” shtohet paragrafi me këtë përmbajtje:</w:t>
      </w:r>
    </w:p>
    <w:p w:rsidR="00E27C92" w:rsidRPr="005F0B1B" w:rsidRDefault="00E27C92" w:rsidP="00E27C92">
      <w:pPr>
        <w:pStyle w:val="Paragrafi"/>
        <w:rPr>
          <w:szCs w:val="21"/>
          <w:lang w:val="sq-AL"/>
        </w:rPr>
      </w:pPr>
      <w:r w:rsidRPr="005F0B1B">
        <w:rPr>
          <w:szCs w:val="21"/>
          <w:lang w:val="sq-AL"/>
        </w:rPr>
        <w:t xml:space="preserve">“Në zbatim të nenit 75, pika 1, germa “a”, drejtoritë rajonale tatimore procedojnë </w:t>
      </w:r>
      <w:r>
        <w:rPr>
          <w:szCs w:val="21"/>
          <w:lang w:val="sq-AL"/>
        </w:rPr>
        <w:t>me</w:t>
      </w:r>
      <w:r w:rsidRPr="005F0B1B">
        <w:rPr>
          <w:szCs w:val="21"/>
          <w:lang w:val="sq-AL"/>
        </w:rPr>
        <w:t xml:space="preserve"> kthimin e detyrimeve tatimore të paguara tepër, përfshirë edhe sigurimet shoqërore dhe shëndetësore, duke paraqitur në degën përkatëse të thesarit </w:t>
      </w:r>
      <w:r>
        <w:rPr>
          <w:szCs w:val="21"/>
          <w:lang w:val="sq-AL"/>
        </w:rPr>
        <w:t>urdhër</w:t>
      </w:r>
      <w:r w:rsidRPr="005F0B1B">
        <w:rPr>
          <w:szCs w:val="21"/>
          <w:lang w:val="sq-AL"/>
        </w:rPr>
        <w:t xml:space="preserve">pagesën për </w:t>
      </w:r>
      <w:proofErr w:type="spellStart"/>
      <w:r w:rsidRPr="005F0B1B">
        <w:rPr>
          <w:szCs w:val="21"/>
          <w:lang w:val="sq-AL"/>
        </w:rPr>
        <w:t>rimbursim</w:t>
      </w:r>
      <w:proofErr w:type="spellEnd"/>
      <w:r>
        <w:rPr>
          <w:szCs w:val="21"/>
          <w:lang w:val="sq-AL"/>
        </w:rPr>
        <w:t>,</w:t>
      </w:r>
      <w:r w:rsidRPr="005F0B1B">
        <w:rPr>
          <w:szCs w:val="21"/>
          <w:lang w:val="sq-AL"/>
        </w:rPr>
        <w:t xml:space="preserve"> sipas modelit nr. 1 bashkëlidhur këtij udhëzimi, të detajuar sipas klasifikimit ekonomik të </w:t>
      </w:r>
      <w:proofErr w:type="spellStart"/>
      <w:r w:rsidRPr="005F0B1B">
        <w:rPr>
          <w:szCs w:val="21"/>
          <w:lang w:val="sq-AL"/>
        </w:rPr>
        <w:t>të</w:t>
      </w:r>
      <w:proofErr w:type="spellEnd"/>
      <w:r w:rsidRPr="005F0B1B">
        <w:rPr>
          <w:szCs w:val="21"/>
          <w:lang w:val="sq-AL"/>
        </w:rPr>
        <w:t xml:space="preserve"> ardhurave tatimore, për të cilat bëhet kthimi i detyrimeve tatimore të paguara tepë</w:t>
      </w:r>
      <w:r>
        <w:rPr>
          <w:szCs w:val="21"/>
          <w:lang w:val="sq-AL"/>
        </w:rPr>
        <w:t>r</w:t>
      </w:r>
      <w:r w:rsidRPr="005F0B1B">
        <w:rPr>
          <w:szCs w:val="21"/>
          <w:lang w:val="sq-AL"/>
        </w:rPr>
        <w:t>.”</w:t>
      </w:r>
      <w:r>
        <w:rPr>
          <w:szCs w:val="21"/>
          <w:lang w:val="sq-AL"/>
        </w:rPr>
        <w:t>.</w:t>
      </w:r>
    </w:p>
    <w:p w:rsidR="00E27C92" w:rsidRPr="005F0B1B" w:rsidRDefault="00E27C92" w:rsidP="00E27C92">
      <w:pPr>
        <w:pStyle w:val="Paragrafi"/>
        <w:rPr>
          <w:szCs w:val="21"/>
          <w:lang w:val="sq-AL"/>
        </w:rPr>
      </w:pPr>
      <w:r w:rsidRPr="005F0B1B">
        <w:rPr>
          <w:szCs w:val="21"/>
          <w:lang w:val="sq-AL"/>
        </w:rPr>
        <w:t>Ky udhëzim hyn në fuqi me botimin në Fletoren Zyrtare.</w:t>
      </w:r>
    </w:p>
    <w:p w:rsidR="00E27C92" w:rsidRPr="005F0B1B" w:rsidRDefault="00E27C92" w:rsidP="00E27C92">
      <w:pPr>
        <w:pStyle w:val="Autoriteti"/>
        <w:rPr>
          <w:lang w:val="sq-AL"/>
        </w:rPr>
      </w:pPr>
      <w:r w:rsidRPr="005F0B1B">
        <w:rPr>
          <w:lang w:val="sq-AL"/>
        </w:rPr>
        <w:t>Ministri i Financave</w:t>
      </w:r>
    </w:p>
    <w:p w:rsidR="00E27C92" w:rsidRDefault="00E27C92" w:rsidP="00E27C92">
      <w:pPr>
        <w:pStyle w:val="AutoritetiEmer"/>
        <w:rPr>
          <w:lang w:val="sq-AL"/>
        </w:rPr>
      </w:pPr>
      <w:r w:rsidRPr="005F0B1B">
        <w:rPr>
          <w:lang w:val="sq-AL"/>
        </w:rPr>
        <w:t xml:space="preserve">Shkëlqim </w:t>
      </w:r>
      <w:proofErr w:type="spellStart"/>
      <w:r w:rsidRPr="005F0B1B">
        <w:rPr>
          <w:lang w:val="sq-AL"/>
        </w:rPr>
        <w:t>Cani</w:t>
      </w:r>
      <w:proofErr w:type="spellEnd"/>
    </w:p>
    <w:p w:rsidR="00E27C92" w:rsidRDefault="00E27C92" w:rsidP="00E27C92">
      <w:pPr>
        <w:rPr>
          <w:lang w:val="sq-AL"/>
        </w:rPr>
      </w:pPr>
    </w:p>
    <w:p w:rsidR="00E27C92" w:rsidRDefault="00E27C92" w:rsidP="00E27C92">
      <w:pPr>
        <w:rPr>
          <w:lang w:val="sq-AL"/>
        </w:rPr>
      </w:pPr>
    </w:p>
    <w:p w:rsidR="00E27C92" w:rsidRDefault="00E27C92" w:rsidP="00E27C92">
      <w:pPr>
        <w:rPr>
          <w:lang w:val="sq-AL"/>
        </w:rPr>
      </w:pPr>
    </w:p>
    <w:p w:rsidR="00E27C92" w:rsidRDefault="00E27C92" w:rsidP="00E27C92">
      <w:pPr>
        <w:rPr>
          <w:lang w:val="sq-AL"/>
        </w:rPr>
      </w:pPr>
    </w:p>
    <w:p w:rsidR="00E27C92" w:rsidRDefault="00E27C92" w:rsidP="00E27C92">
      <w:pPr>
        <w:rPr>
          <w:lang w:val="sq-AL"/>
        </w:rPr>
      </w:pPr>
    </w:p>
    <w:p w:rsidR="00E27C92" w:rsidRDefault="00E27C92" w:rsidP="00E27C92">
      <w:pPr>
        <w:rPr>
          <w:lang w:val="sq-AL"/>
        </w:rPr>
      </w:pPr>
    </w:p>
    <w:p w:rsidR="00E27C92" w:rsidRDefault="00E27C92" w:rsidP="00E27C92">
      <w:pPr>
        <w:rPr>
          <w:lang w:val="sq-AL"/>
        </w:rPr>
      </w:pPr>
    </w:p>
    <w:p w:rsidR="00E27C92" w:rsidRDefault="00E27C92" w:rsidP="00E27C92">
      <w:pPr>
        <w:rPr>
          <w:lang w:val="sq-AL"/>
        </w:rPr>
      </w:pPr>
    </w:p>
    <w:p w:rsidR="00E27C92" w:rsidRPr="00FE5C56" w:rsidRDefault="00E27C92" w:rsidP="00E27C92">
      <w:pPr>
        <w:rPr>
          <w:lang w:val="sq-AL"/>
        </w:rPr>
      </w:pPr>
    </w:p>
    <w:p w:rsidR="00E27C92" w:rsidRDefault="00E27C92" w:rsidP="00E27C92">
      <w:pPr>
        <w:pStyle w:val="Akti"/>
        <w:rPr>
          <w:lang w:val="sq-AL"/>
        </w:rPr>
        <w:sectPr w:rsidR="00E27C92" w:rsidSect="009C4536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2807"/>
          <w:cols w:num="2" w:space="454"/>
          <w:docGrid w:linePitch="360"/>
        </w:sectPr>
      </w:pPr>
    </w:p>
    <w:p w:rsidR="00000000" w:rsidRDefault="00E27C92" w:rsidP="00E27C92">
      <w:r>
        <w:rPr>
          <w:noProof/>
        </w:rPr>
        <w:lastRenderedPageBreak/>
        <w:drawing>
          <wp:inline distT="0" distB="0" distL="0" distR="0">
            <wp:extent cx="6780530" cy="5911215"/>
            <wp:effectExtent l="1905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530" cy="591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Pr="00DD2AC2" w:rsidRDefault="00E27C92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2808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Pr="00DD2AC2" w:rsidRDefault="00E27C92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2808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Default="00E27C92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</w:t>
    </w:r>
    <w:r w:rsidRPr="008A20B3">
      <w:rPr>
        <w:rFonts w:ascii="CG Times" w:hAnsi="CG Times"/>
        <w:sz w:val="20"/>
        <w:szCs w:val="20"/>
      </w:rPr>
      <w:t xml:space="preserve">8,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2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</w:t>
    </w:r>
    <w:r w:rsidRPr="008A20B3">
      <w:rPr>
        <w:rFonts w:ascii="CG Times" w:hAnsi="CG Times"/>
        <w:sz w:val="20"/>
        <w:szCs w:val="20"/>
      </w:rPr>
      <w:t>2014</w:t>
    </w:r>
  </w:p>
  <w:p w:rsidR="00EC2615" w:rsidRPr="00045422" w:rsidRDefault="00E27C92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Default="00E27C92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nr.78,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EC2615" w:rsidRPr="00D72D5C" w:rsidRDefault="00E27C92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E27C92"/>
    <w:rsid w:val="00E27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7C9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27C9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27C9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27C9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27C9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27C9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27C9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27C9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27C9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27C9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27C9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27C9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27C9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27C92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C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908</Characters>
  <Application>Microsoft Office Word</Application>
  <DocSecurity>0</DocSecurity>
  <Lines>7</Lines>
  <Paragraphs>2</Paragraphs>
  <ScaleCrop>false</ScaleCrop>
  <Company>Grizli777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2014-09-24T11:14:00Z</dcterms:created>
  <dcterms:modified xsi:type="dcterms:W3CDTF">2014-09-24T11:14:00Z</dcterms:modified>
</cp:coreProperties>
</file>