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F53" w:rsidRPr="00D4142F" w:rsidRDefault="003F0F53" w:rsidP="003F0F53">
      <w:pPr>
        <w:pStyle w:val="Akti"/>
        <w:keepNext w:val="0"/>
        <w:rPr>
          <w:lang w:val="sq-AL"/>
        </w:rPr>
      </w:pPr>
      <w:r w:rsidRPr="00D4142F">
        <w:rPr>
          <w:lang w:val="sq-AL"/>
        </w:rPr>
        <w:t>Udhëzim</w:t>
      </w:r>
    </w:p>
    <w:p w:rsidR="003F0F53" w:rsidRPr="00D4142F" w:rsidRDefault="003F0F53" w:rsidP="003F0F53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21, datë 17.11.2014</w:t>
      </w:r>
    </w:p>
    <w:p w:rsidR="003F0F53" w:rsidRPr="00D4142F" w:rsidRDefault="003F0F53" w:rsidP="003F0F53">
      <w:pPr>
        <w:pStyle w:val="Paragrafi"/>
        <w:rPr>
          <w:sz w:val="14"/>
          <w:lang w:val="sq-AL"/>
        </w:rPr>
      </w:pPr>
    </w:p>
    <w:p w:rsidR="003F0F53" w:rsidRPr="00D4142F" w:rsidRDefault="003F0F53" w:rsidP="003F0F53">
      <w:pPr>
        <w:pStyle w:val="Titulli"/>
        <w:keepNext w:val="0"/>
        <w:rPr>
          <w:lang w:val="sq-AL"/>
        </w:rPr>
      </w:pPr>
      <w:r w:rsidRPr="00D4142F">
        <w:rPr>
          <w:lang w:val="sq-AL"/>
        </w:rPr>
        <w:t>MBI PROCEDURËN E PAGESAVE TË DETYRIMEVE E DOGANORE TË PAGUARA TEPËR NGA DREJTORIA E PËRGJITHSHME E DOGANAVE</w:t>
      </w:r>
    </w:p>
    <w:p w:rsidR="003F0F53" w:rsidRPr="00D4142F" w:rsidRDefault="003F0F53" w:rsidP="003F0F53">
      <w:pPr>
        <w:pStyle w:val="Paragrafi"/>
        <w:rPr>
          <w:sz w:val="14"/>
          <w:lang w:val="sq-AL"/>
        </w:rPr>
      </w:pPr>
    </w:p>
    <w:p w:rsidR="003F0F53" w:rsidRPr="00BB12CA" w:rsidRDefault="003F0F53" w:rsidP="003F0F53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Në mbështetje të nenit 102, pika 4 të Kushtetutës së Republikës së Shqipërisë, në zbatim të neneve 248 – 255, të ligjit nr. 8449, datë 27.1.1999 “Kodi Doganor i Republikës së Shqipërisë”, i ndryshuar, të neneve 13 – 15 të ligjit nr. 61/2012 “Për akcizat në Republikën e Shqipërisë”, të ndryshuar dhe të nenit 38 të ligjit nr. 9936, datë 26.06.2008, “Për menaxhimin e sistemit buxhetor në Republikën e Shqipërisë”, të ndryshuar, Ministri i Financave</w:t>
      </w:r>
    </w:p>
    <w:p w:rsidR="003F0F53" w:rsidRPr="00BB12CA" w:rsidRDefault="003F0F53" w:rsidP="003F0F53">
      <w:pPr>
        <w:pStyle w:val="Titull-Titull"/>
        <w:rPr>
          <w:spacing w:val="-4"/>
          <w:sz w:val="10"/>
          <w:lang w:val="sq-AL"/>
        </w:rPr>
      </w:pPr>
    </w:p>
    <w:p w:rsidR="003F0F53" w:rsidRPr="00BB12CA" w:rsidRDefault="003F0F53" w:rsidP="003F0F53">
      <w:pPr>
        <w:pStyle w:val="Titull-Titull"/>
        <w:rPr>
          <w:spacing w:val="-4"/>
          <w:lang w:val="sq-AL"/>
        </w:rPr>
      </w:pPr>
      <w:r w:rsidRPr="00BB12CA">
        <w:rPr>
          <w:spacing w:val="-4"/>
          <w:lang w:val="sq-AL"/>
        </w:rPr>
        <w:t>Udhëzon:</w:t>
      </w:r>
    </w:p>
    <w:p w:rsidR="003F0F53" w:rsidRPr="00BB12CA" w:rsidRDefault="003F0F53" w:rsidP="003F0F53">
      <w:pPr>
        <w:pStyle w:val="Paragrafi"/>
        <w:rPr>
          <w:spacing w:val="-4"/>
          <w:sz w:val="12"/>
          <w:lang w:val="sq-AL"/>
        </w:rPr>
      </w:pPr>
    </w:p>
    <w:p w:rsidR="003F0F53" w:rsidRPr="00BB12CA" w:rsidRDefault="003F0F53" w:rsidP="003F0F53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1. Drejtoria e Përgjithshme e Doganave procedon me kthimin e detyrimeve doganore të paguara tepër, duke paraqitur në degën përkatëse të thesarit urdhërpagesën për rimbursim sipas modelit nr. 1 bashkëngjitur këtij udhëzimi, të detajuar sipas klasifikimit ekonomik të të ardhurave doganore, për të cilat bëhet kthimi i detyrimeve doganore të paguara tepër.</w:t>
      </w:r>
    </w:p>
    <w:p w:rsidR="003F0F53" w:rsidRPr="00BB12CA" w:rsidRDefault="003F0F53" w:rsidP="003F0F53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Ky udhëzim hyn në fuqi me botimin në Fletoren Zyrtare.</w:t>
      </w:r>
    </w:p>
    <w:p w:rsidR="003F0F53" w:rsidRPr="00D4142F" w:rsidRDefault="003F0F53" w:rsidP="003F0F53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MINISTRI I FINANCAVE</w:t>
      </w:r>
    </w:p>
    <w:p w:rsidR="003F0F53" w:rsidRDefault="003F0F53" w:rsidP="003F0F53">
      <w:pPr>
        <w:pStyle w:val="AutoritetiEmer"/>
        <w:rPr>
          <w:lang w:val="sq-AL"/>
        </w:rPr>
      </w:pPr>
      <w:r w:rsidRPr="00D4142F">
        <w:rPr>
          <w:lang w:val="sq-AL"/>
        </w:rPr>
        <w:t>Shkëlqim Cani</w:t>
      </w:r>
    </w:p>
    <w:p w:rsidR="003F0F53" w:rsidRDefault="003F0F53" w:rsidP="003F0F53">
      <w:pPr>
        <w:rPr>
          <w:lang w:val="sq-AL"/>
        </w:rPr>
      </w:pPr>
    </w:p>
    <w:p w:rsidR="003F0F53" w:rsidRDefault="003F0F53" w:rsidP="003F0F53">
      <w:pPr>
        <w:rPr>
          <w:lang w:val="sq-AL"/>
        </w:rPr>
      </w:pPr>
    </w:p>
    <w:p w:rsidR="003F0F53" w:rsidRDefault="003F0F53" w:rsidP="003F0F53">
      <w:pPr>
        <w:rPr>
          <w:lang w:val="sq-AL"/>
        </w:rPr>
      </w:pPr>
    </w:p>
    <w:p w:rsidR="003F0F53" w:rsidRDefault="003F0F53" w:rsidP="003F0F53">
      <w:pPr>
        <w:rPr>
          <w:lang w:val="sq-AL"/>
        </w:rPr>
      </w:pPr>
    </w:p>
    <w:p w:rsidR="003F0F53" w:rsidRPr="00F2471F" w:rsidRDefault="003F0F53" w:rsidP="003F0F53">
      <w:pPr>
        <w:rPr>
          <w:lang w:val="sq-AL"/>
        </w:rPr>
      </w:pPr>
    </w:p>
    <w:p w:rsidR="003F0F53" w:rsidRDefault="003F0F53" w:rsidP="003F0F53">
      <w:pPr>
        <w:widowControl w:val="0"/>
        <w:ind w:left="284" w:firstLine="0"/>
        <w:rPr>
          <w:lang w:val="sq-AL"/>
        </w:rPr>
        <w:sectPr w:rsidR="003F0F53" w:rsidSect="003F0F53">
          <w:pgSz w:w="11907" w:h="16840" w:code="9"/>
          <w:pgMar w:top="720" w:right="1134" w:bottom="720" w:left="1134" w:header="851" w:footer="851" w:gutter="0"/>
          <w:pgNumType w:start="9336"/>
          <w:cols w:num="2" w:space="454"/>
          <w:docGrid w:linePitch="360"/>
        </w:sectPr>
      </w:pPr>
    </w:p>
    <w:p w:rsidR="003F0F53" w:rsidRPr="00AE35ED" w:rsidRDefault="003F0F53" w:rsidP="003F0F53">
      <w:pPr>
        <w:widowControl w:val="0"/>
        <w:ind w:left="284" w:firstLine="0"/>
        <w:rPr>
          <w:lang w:val="sq-AL"/>
        </w:rPr>
      </w:pPr>
    </w:p>
    <w:p w:rsidR="003F0F53" w:rsidRPr="00AE35ED" w:rsidRDefault="003F0F53" w:rsidP="003F0F53">
      <w:pPr>
        <w:widowControl w:val="0"/>
        <w:spacing w:after="0" w:line="240" w:lineRule="auto"/>
        <w:ind w:firstLine="0"/>
        <w:jc w:val="center"/>
        <w:rPr>
          <w:lang w:val="sq-AL"/>
        </w:rPr>
      </w:pPr>
      <w:r w:rsidRPr="007B33AA">
        <w:rPr>
          <w:noProof/>
          <w:szCs w:val="24"/>
        </w:rPr>
        <w:drawing>
          <wp:inline distT="0" distB="0" distL="0" distR="0">
            <wp:extent cx="6052720" cy="5000625"/>
            <wp:effectExtent l="0" t="0" r="5715" b="0"/>
            <wp:docPr id="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30" cy="5009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F53" w:rsidRDefault="003F0F53" w:rsidP="003F0F53">
      <w:pPr>
        <w:pStyle w:val="Akti"/>
        <w:keepNext w:val="0"/>
        <w:rPr>
          <w:lang w:val="sq-AL"/>
        </w:rPr>
      </w:pPr>
    </w:p>
    <w:p w:rsidR="00FD57DC" w:rsidRDefault="003F0F5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F0F53"/>
    <w:rsid w:val="002E7553"/>
    <w:rsid w:val="00345DB8"/>
    <w:rsid w:val="003F0F53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5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0F5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0F5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0F5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0F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0F5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0F5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0F5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0F5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0F5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0F5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0F5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0F5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F0F53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F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Company>Grizli777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2014-12-17T14:09:00Z</dcterms:created>
  <dcterms:modified xsi:type="dcterms:W3CDTF">2014-12-17T14:09:00Z</dcterms:modified>
</cp:coreProperties>
</file>