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3F0" w:rsidRPr="00FD161E" w:rsidRDefault="00E903F0" w:rsidP="00E903F0">
      <w:pPr>
        <w:pStyle w:val="NeniTitull"/>
      </w:pPr>
      <w:r w:rsidRPr="00FD161E">
        <w:t>UDHËZIM</w:t>
      </w:r>
    </w:p>
    <w:p w:rsidR="00E903F0" w:rsidRDefault="00E903F0" w:rsidP="00E903F0">
      <w:pPr>
        <w:pStyle w:val="NeniTitull"/>
      </w:pPr>
      <w:r>
        <w:t>Nr. 6/8</w:t>
      </w:r>
      <w:r w:rsidRPr="00FD161E">
        <w:t xml:space="preserve">, </w:t>
      </w:r>
      <w:r>
        <w:t>datë 5.</w:t>
      </w:r>
      <w:r w:rsidRPr="00FD161E">
        <w:t>6.2015</w:t>
      </w:r>
    </w:p>
    <w:p w:rsidR="00E903F0" w:rsidRPr="009724FE" w:rsidRDefault="00E903F0" w:rsidP="00E903F0">
      <w:pPr>
        <w:pStyle w:val="Paragrafi"/>
        <w:rPr>
          <w:sz w:val="14"/>
        </w:rPr>
      </w:pPr>
    </w:p>
    <w:p w:rsidR="00E903F0" w:rsidRPr="00FD161E" w:rsidRDefault="00E903F0" w:rsidP="00E903F0">
      <w:pPr>
        <w:pStyle w:val="NeniTitull"/>
      </w:pPr>
      <w:r w:rsidRPr="00FD161E">
        <w:t>PËR DISA SHTESA DHE NDRYSHI</w:t>
      </w:r>
      <w:r>
        <w:t>ME NË UDHËZIMIN NR. 6, DATË 30.</w:t>
      </w:r>
      <w:r w:rsidRPr="00FD161E">
        <w:t>1.2015 “PËR TATIMIN MBI VLERËN E SHTUAR NË REPUBLIKËN E SHQIPËRISË”, TË NDRYSHUAR</w:t>
      </w:r>
    </w:p>
    <w:p w:rsidR="00E903F0" w:rsidRPr="009724FE" w:rsidRDefault="00E903F0" w:rsidP="00E903F0">
      <w:pPr>
        <w:pStyle w:val="Paragrafi"/>
        <w:rPr>
          <w:sz w:val="14"/>
        </w:rPr>
      </w:pPr>
    </w:p>
    <w:p w:rsidR="00E903F0" w:rsidRPr="00E254A1" w:rsidRDefault="00E903F0" w:rsidP="00E903F0">
      <w:pPr>
        <w:pStyle w:val="Paragrafi"/>
        <w:rPr>
          <w:spacing w:val="-4"/>
        </w:rPr>
      </w:pPr>
      <w:proofErr w:type="gramStart"/>
      <w:r w:rsidRPr="00E254A1">
        <w:rPr>
          <w:spacing w:val="-4"/>
        </w:rPr>
        <w:t>Në mbështetje të nenit 102, pika 4 të Kushtetutës së Republikës së Shqipërisë, të ligjit nr.</w:t>
      </w:r>
      <w:proofErr w:type="gramEnd"/>
      <w:r w:rsidRPr="00E254A1">
        <w:rPr>
          <w:spacing w:val="-4"/>
        </w:rPr>
        <w:t xml:space="preserve"> 92/2014, datë 24.7.2014 “Për tatimin mbi vlerën e shtuar në Republikën e Shqipërisë”, Ministri i Financave,  </w:t>
      </w:r>
    </w:p>
    <w:p w:rsidR="00E903F0" w:rsidRPr="0002523D" w:rsidRDefault="00E903F0" w:rsidP="00E903F0">
      <w:pPr>
        <w:pStyle w:val="Paragrafi"/>
        <w:rPr>
          <w:sz w:val="6"/>
        </w:rPr>
      </w:pPr>
    </w:p>
    <w:p w:rsidR="00E903F0" w:rsidRPr="00FD161E" w:rsidRDefault="00E903F0" w:rsidP="00E903F0">
      <w:pPr>
        <w:pStyle w:val="NeniNr"/>
      </w:pPr>
      <w:r w:rsidRPr="00FD161E">
        <w:t>UDHËZON:</w:t>
      </w:r>
    </w:p>
    <w:p w:rsidR="00E903F0" w:rsidRPr="000D3124" w:rsidRDefault="00E903F0" w:rsidP="00E903F0">
      <w:pPr>
        <w:pStyle w:val="Paragrafi"/>
        <w:rPr>
          <w:sz w:val="8"/>
        </w:rPr>
      </w:pPr>
    </w:p>
    <w:p w:rsidR="00E903F0" w:rsidRPr="00FD161E" w:rsidRDefault="00E903F0" w:rsidP="00E903F0">
      <w:pPr>
        <w:pStyle w:val="Paragrafi"/>
      </w:pPr>
      <w:proofErr w:type="gramStart"/>
      <w:r>
        <w:t>Në udhëzimin nr.</w:t>
      </w:r>
      <w:proofErr w:type="gramEnd"/>
      <w:r>
        <w:t xml:space="preserve"> 6, datë 30.</w:t>
      </w:r>
      <w:r w:rsidRPr="00FD161E">
        <w:t>1.2015, “Për tatimin mbi vlerën e shtuar në Republikën e Shqipërisë”, të ndryshuar, bëhen shtesat dhe ndryshimet si më poshtë:</w:t>
      </w:r>
    </w:p>
    <w:p w:rsidR="00E903F0" w:rsidRPr="00130F95" w:rsidRDefault="00E903F0" w:rsidP="00E903F0">
      <w:pPr>
        <w:pStyle w:val="Paragrafi"/>
        <w:rPr>
          <w:spacing w:val="-4"/>
        </w:rPr>
      </w:pPr>
      <w:r w:rsidRPr="00130F95">
        <w:rPr>
          <w:spacing w:val="-4"/>
        </w:rPr>
        <w:t>1. Në nenin 38 “Furnizimet e barnave dhe shërbimeve shëndetësore”, pika I “Në furnizimet e përjashtuara nga TVSH për transaksionet me interes të përgjithshëm bazuar në nenin 51 pikat “b”, “c”, “ç”, “d”, “dh” dhe “ll” të ligjit përfshihen”, nënpika 1, shtohet kodi si më poshtë:</w:t>
      </w:r>
    </w:p>
    <w:p w:rsidR="00E903F0" w:rsidRPr="002D1DC2" w:rsidRDefault="00E903F0" w:rsidP="00E903F0">
      <w:pPr>
        <w:pStyle w:val="Paragrafi"/>
        <w:rPr>
          <w:b/>
          <w:sz w:val="12"/>
        </w:rPr>
      </w:pPr>
    </w:p>
    <w:tbl>
      <w:tblPr>
        <w:tblStyle w:val="TableGrid"/>
        <w:tblW w:w="0" w:type="auto"/>
        <w:tblInd w:w="108" w:type="dxa"/>
        <w:tblLook w:val="04A0"/>
      </w:tblPr>
      <w:tblGrid>
        <w:gridCol w:w="2410"/>
        <w:gridCol w:w="2126"/>
      </w:tblGrid>
      <w:tr w:rsidR="00E903F0" w:rsidRPr="002D1DC2" w:rsidTr="000C0D52">
        <w:tc>
          <w:tcPr>
            <w:tcW w:w="2410" w:type="dxa"/>
          </w:tcPr>
          <w:p w:rsidR="00E903F0" w:rsidRPr="002D1DC2" w:rsidRDefault="00E903F0" w:rsidP="000C0D52">
            <w:pPr>
              <w:ind w:firstLine="0"/>
              <w:rPr>
                <w:rFonts w:ascii="Garamond" w:eastAsiaTheme="minorHAnsi" w:hAnsi="Garamond"/>
                <w:b/>
                <w:color w:val="000000"/>
                <w:lang w:val="en-GB"/>
              </w:rPr>
            </w:pPr>
            <w:r w:rsidRPr="002D1DC2">
              <w:rPr>
                <w:rFonts w:ascii="Garamond" w:hAnsi="Garamond"/>
                <w:b/>
                <w:lang w:val="sq-AL"/>
              </w:rPr>
              <w:t xml:space="preserve"> </w:t>
            </w:r>
            <w:r w:rsidRPr="002D1DC2">
              <w:rPr>
                <w:rFonts w:ascii="Garamond" w:eastAsiaTheme="minorHAnsi" w:hAnsi="Garamond"/>
                <w:b/>
                <w:color w:val="000000"/>
                <w:lang w:val="en-GB"/>
              </w:rPr>
              <w:t>Përshkrimi</w:t>
            </w:r>
          </w:p>
        </w:tc>
        <w:tc>
          <w:tcPr>
            <w:tcW w:w="2126" w:type="dxa"/>
          </w:tcPr>
          <w:p w:rsidR="00E903F0" w:rsidRPr="002D1DC2" w:rsidRDefault="00E903F0" w:rsidP="000C0D52">
            <w:pPr>
              <w:ind w:firstLine="0"/>
              <w:rPr>
                <w:rFonts w:ascii="Garamond" w:eastAsiaTheme="minorHAnsi" w:hAnsi="Garamond"/>
                <w:b/>
                <w:color w:val="000000"/>
                <w:lang w:val="en-GB"/>
              </w:rPr>
            </w:pPr>
            <w:r w:rsidRPr="002D1DC2">
              <w:rPr>
                <w:rFonts w:ascii="Garamond" w:eastAsiaTheme="minorHAnsi" w:hAnsi="Garamond"/>
                <w:b/>
                <w:color w:val="000000"/>
                <w:lang w:val="en-GB"/>
              </w:rPr>
              <w:t>Kodet e NKM</w:t>
            </w:r>
          </w:p>
        </w:tc>
      </w:tr>
      <w:tr w:rsidR="00E903F0" w:rsidRPr="00FD161E" w:rsidTr="000C0D52">
        <w:tc>
          <w:tcPr>
            <w:tcW w:w="2410" w:type="dxa"/>
          </w:tcPr>
          <w:p w:rsidR="00E903F0" w:rsidRDefault="00E903F0" w:rsidP="000C0D52">
            <w:pPr>
              <w:ind w:firstLine="0"/>
              <w:rPr>
                <w:rFonts w:ascii="Garamond" w:eastAsiaTheme="minorHAnsi" w:hAnsi="Garamond"/>
                <w:color w:val="000000"/>
                <w:lang w:val="en-GB"/>
              </w:rPr>
            </w:pPr>
            <w:r w:rsidRPr="00FD161E">
              <w:rPr>
                <w:rFonts w:ascii="Garamond" w:eastAsiaTheme="minorHAnsi" w:hAnsi="Garamond"/>
                <w:color w:val="000000"/>
                <w:lang w:val="en-GB"/>
              </w:rPr>
              <w:t xml:space="preserve">Proteza artikulacionesh </w:t>
            </w:r>
          </w:p>
          <w:p w:rsidR="00E903F0" w:rsidRPr="00FD161E" w:rsidRDefault="00E903F0" w:rsidP="000C0D52">
            <w:pPr>
              <w:ind w:firstLine="0"/>
              <w:rPr>
                <w:rFonts w:ascii="Garamond" w:eastAsiaTheme="minorHAnsi" w:hAnsi="Garamond"/>
                <w:color w:val="000000"/>
                <w:lang w:val="en-GB"/>
              </w:rPr>
            </w:pPr>
            <w:r w:rsidRPr="00FD161E">
              <w:rPr>
                <w:rFonts w:ascii="Garamond" w:eastAsiaTheme="minorHAnsi" w:hAnsi="Garamond"/>
                <w:color w:val="000000"/>
                <w:lang w:val="en-GB"/>
              </w:rPr>
              <w:t>të implantueshme</w:t>
            </w:r>
          </w:p>
        </w:tc>
        <w:tc>
          <w:tcPr>
            <w:tcW w:w="2126" w:type="dxa"/>
          </w:tcPr>
          <w:p w:rsidR="00E903F0" w:rsidRPr="00FD161E" w:rsidRDefault="00E903F0" w:rsidP="000C0D52">
            <w:pPr>
              <w:ind w:firstLine="0"/>
              <w:rPr>
                <w:rFonts w:ascii="Garamond" w:hAnsi="Garamond"/>
                <w:lang w:val="sq-AL"/>
              </w:rPr>
            </w:pPr>
            <w:r w:rsidRPr="00FD161E">
              <w:rPr>
                <w:rFonts w:ascii="Garamond" w:eastAsiaTheme="minorHAnsi" w:hAnsi="Garamond"/>
                <w:color w:val="000000"/>
                <w:lang w:val="en-GB"/>
              </w:rPr>
              <w:t>9021 31 00 100</w:t>
            </w:r>
          </w:p>
        </w:tc>
      </w:tr>
    </w:tbl>
    <w:p w:rsidR="00E903F0" w:rsidRPr="00E254A1" w:rsidRDefault="00E903F0" w:rsidP="00E903F0">
      <w:pPr>
        <w:pStyle w:val="Paragrafi"/>
        <w:rPr>
          <w:sz w:val="10"/>
        </w:rPr>
      </w:pPr>
    </w:p>
    <w:p w:rsidR="00E903F0" w:rsidRDefault="00E903F0" w:rsidP="00E903F0">
      <w:pPr>
        <w:pStyle w:val="Paragrafi"/>
      </w:pPr>
      <w:r>
        <w:t xml:space="preserve">2. </w:t>
      </w:r>
      <w:r w:rsidRPr="00FD161E">
        <w:t xml:space="preserve">Në nenin 38 “Furnizimet e barnave dhe shërbimeve shëndetësore”, pika I “Në furnizimet e përjashtuara nga TVSH për transaksionet me interes të përgjithshëm bazuar në nenin 51 pikat </w:t>
      </w:r>
      <w:r w:rsidRPr="00130F95">
        <w:rPr>
          <w:spacing w:val="-4"/>
        </w:rPr>
        <w:t>“b”, “c”, “ç”, “d”, “dh” dhe “ll”</w:t>
      </w:r>
      <w:r>
        <w:rPr>
          <w:spacing w:val="-4"/>
        </w:rPr>
        <w:t xml:space="preserve"> </w:t>
      </w:r>
      <w:r>
        <w:t>të ligjit përfshihen”, nën</w:t>
      </w:r>
      <w:r w:rsidRPr="00FD161E">
        <w:t>pika 1, kodi tarifor “90213990100”, i artikullit “stenta vaskulare”, ndryshohet si më poshtë:</w:t>
      </w:r>
    </w:p>
    <w:p w:rsidR="00E903F0" w:rsidRPr="002E7611" w:rsidRDefault="00E903F0" w:rsidP="00E903F0">
      <w:pPr>
        <w:pStyle w:val="Paragrafi"/>
        <w:rPr>
          <w:sz w:val="12"/>
        </w:rPr>
      </w:pPr>
    </w:p>
    <w:tbl>
      <w:tblPr>
        <w:tblStyle w:val="TableGrid"/>
        <w:tblW w:w="4571" w:type="pct"/>
        <w:tblInd w:w="108" w:type="dxa"/>
        <w:tblLook w:val="04A0"/>
      </w:tblPr>
      <w:tblGrid>
        <w:gridCol w:w="5930"/>
        <w:gridCol w:w="2824"/>
      </w:tblGrid>
      <w:tr w:rsidR="00E903F0" w:rsidRPr="00FD161E" w:rsidTr="000C0D52">
        <w:tc>
          <w:tcPr>
            <w:tcW w:w="3387" w:type="pct"/>
          </w:tcPr>
          <w:p w:rsidR="00E903F0" w:rsidRPr="002D1DC2" w:rsidRDefault="00E903F0" w:rsidP="000C0D52">
            <w:pPr>
              <w:ind w:firstLine="0"/>
              <w:rPr>
                <w:rFonts w:ascii="Garamond" w:eastAsiaTheme="minorHAnsi" w:hAnsi="Garamond"/>
                <w:b/>
                <w:color w:val="000000"/>
                <w:lang w:val="en-GB"/>
              </w:rPr>
            </w:pPr>
            <w:r w:rsidRPr="002D1DC2">
              <w:rPr>
                <w:rFonts w:ascii="Garamond" w:eastAsiaTheme="minorHAnsi" w:hAnsi="Garamond"/>
                <w:b/>
                <w:color w:val="000000"/>
                <w:lang w:val="en-GB"/>
              </w:rPr>
              <w:t>Përshkrimi</w:t>
            </w:r>
          </w:p>
        </w:tc>
        <w:tc>
          <w:tcPr>
            <w:tcW w:w="1613" w:type="pct"/>
          </w:tcPr>
          <w:p w:rsidR="00E903F0" w:rsidRPr="002D1DC2" w:rsidRDefault="00E903F0" w:rsidP="000C0D52">
            <w:pPr>
              <w:ind w:firstLine="0"/>
              <w:rPr>
                <w:rFonts w:ascii="Garamond" w:eastAsiaTheme="minorHAnsi" w:hAnsi="Garamond"/>
                <w:b/>
                <w:color w:val="000000"/>
                <w:lang w:val="en-GB"/>
              </w:rPr>
            </w:pPr>
            <w:r w:rsidRPr="002D1DC2">
              <w:rPr>
                <w:rFonts w:ascii="Garamond" w:eastAsiaTheme="minorHAnsi" w:hAnsi="Garamond"/>
                <w:b/>
                <w:color w:val="000000"/>
                <w:lang w:val="en-GB"/>
              </w:rPr>
              <w:t>Kodet e NKM</w:t>
            </w:r>
          </w:p>
        </w:tc>
      </w:tr>
      <w:tr w:rsidR="00E903F0" w:rsidRPr="00FD161E" w:rsidTr="000C0D52">
        <w:tc>
          <w:tcPr>
            <w:tcW w:w="3387" w:type="pct"/>
          </w:tcPr>
          <w:p w:rsidR="00E903F0" w:rsidRPr="00FD161E" w:rsidRDefault="00E903F0" w:rsidP="000C0D52">
            <w:pPr>
              <w:ind w:firstLine="0"/>
              <w:rPr>
                <w:rFonts w:ascii="Garamond" w:eastAsiaTheme="minorHAnsi" w:hAnsi="Garamond"/>
                <w:color w:val="000000"/>
                <w:lang w:val="en-GB"/>
              </w:rPr>
            </w:pPr>
            <w:r w:rsidRPr="00FD161E">
              <w:rPr>
                <w:rFonts w:ascii="Garamond" w:eastAsiaTheme="minorHAnsi" w:hAnsi="Garamond"/>
                <w:color w:val="000000"/>
                <w:lang w:val="en-GB"/>
              </w:rPr>
              <w:t xml:space="preserve">Stenta vaskulare </w:t>
            </w:r>
            <w:r>
              <w:rPr>
                <w:rFonts w:ascii="Garamond" w:eastAsiaTheme="minorHAnsi" w:hAnsi="Garamond"/>
                <w:color w:val="000000"/>
                <w:lang w:val="en-GB"/>
              </w:rPr>
              <w:t>të</w:t>
            </w:r>
            <w:r w:rsidRPr="00FD161E">
              <w:rPr>
                <w:rFonts w:ascii="Garamond" w:eastAsiaTheme="minorHAnsi" w:hAnsi="Garamond"/>
                <w:color w:val="000000"/>
                <w:lang w:val="en-GB"/>
              </w:rPr>
              <w:t xml:space="preserve"> implantueshme</w:t>
            </w:r>
          </w:p>
        </w:tc>
        <w:tc>
          <w:tcPr>
            <w:tcW w:w="1613" w:type="pct"/>
          </w:tcPr>
          <w:p w:rsidR="00E903F0" w:rsidRPr="00FD161E" w:rsidRDefault="00E903F0" w:rsidP="000C0D52">
            <w:pPr>
              <w:ind w:firstLine="0"/>
              <w:rPr>
                <w:rFonts w:ascii="Garamond" w:hAnsi="Garamond"/>
                <w:lang w:val="sq-AL"/>
              </w:rPr>
            </w:pPr>
            <w:r w:rsidRPr="00FD161E">
              <w:rPr>
                <w:rFonts w:ascii="Garamond" w:eastAsiaTheme="minorHAnsi" w:hAnsi="Garamond"/>
                <w:color w:val="000000"/>
              </w:rPr>
              <w:t>90219090100</w:t>
            </w:r>
          </w:p>
        </w:tc>
      </w:tr>
    </w:tbl>
    <w:p w:rsidR="00E903F0" w:rsidRPr="00E254A1" w:rsidRDefault="00E903F0" w:rsidP="00E903F0">
      <w:pPr>
        <w:spacing w:after="0" w:line="240" w:lineRule="auto"/>
        <w:rPr>
          <w:rFonts w:ascii="Garamond" w:hAnsi="Garamond"/>
          <w:sz w:val="12"/>
          <w:szCs w:val="24"/>
        </w:rPr>
      </w:pPr>
    </w:p>
    <w:p w:rsidR="00E903F0" w:rsidRPr="00A63C00" w:rsidRDefault="00E903F0" w:rsidP="00E903F0">
      <w:pPr>
        <w:spacing w:after="0" w:line="240" w:lineRule="auto"/>
        <w:rPr>
          <w:rFonts w:ascii="Times New Roman" w:hAnsi="Times New Roman"/>
          <w:sz w:val="10"/>
          <w:szCs w:val="24"/>
          <w:lang w:val="sq-AL"/>
        </w:rPr>
      </w:pPr>
      <w:proofErr w:type="gramStart"/>
      <w:r w:rsidRPr="00FD161E">
        <w:rPr>
          <w:rFonts w:ascii="Garamond" w:hAnsi="Garamond"/>
          <w:sz w:val="24"/>
          <w:szCs w:val="24"/>
        </w:rPr>
        <w:t>Ky</w:t>
      </w:r>
      <w:proofErr w:type="gramEnd"/>
      <w:r w:rsidRPr="00FD161E">
        <w:rPr>
          <w:rFonts w:ascii="Garamond" w:hAnsi="Garamond"/>
          <w:sz w:val="24"/>
          <w:szCs w:val="24"/>
        </w:rPr>
        <w:t xml:space="preserve"> udhëzim hyn në fuqi pas botimit në Fletoren Zyrtare</w:t>
      </w:r>
      <w:r w:rsidRPr="00BF790A">
        <w:rPr>
          <w:rFonts w:ascii="Times New Roman" w:hAnsi="Times New Roman"/>
          <w:sz w:val="24"/>
          <w:szCs w:val="24"/>
          <w:lang w:val="sq-AL"/>
        </w:rPr>
        <w:tab/>
      </w:r>
      <w:r w:rsidRPr="00BF790A">
        <w:rPr>
          <w:rFonts w:ascii="Times New Roman" w:hAnsi="Times New Roman"/>
          <w:sz w:val="24"/>
          <w:szCs w:val="24"/>
          <w:lang w:val="sq-AL"/>
        </w:rPr>
        <w:tab/>
      </w:r>
      <w:r w:rsidRPr="00BF790A">
        <w:rPr>
          <w:rFonts w:ascii="Times New Roman" w:hAnsi="Times New Roman"/>
          <w:sz w:val="24"/>
          <w:szCs w:val="24"/>
          <w:lang w:val="sq-AL"/>
        </w:rPr>
        <w:tab/>
      </w:r>
      <w:r w:rsidRPr="00BF790A">
        <w:rPr>
          <w:rFonts w:ascii="Times New Roman" w:hAnsi="Times New Roman"/>
          <w:sz w:val="24"/>
          <w:szCs w:val="24"/>
          <w:lang w:val="sq-AL"/>
        </w:rPr>
        <w:tab/>
      </w:r>
      <w:r w:rsidRPr="00BF790A">
        <w:rPr>
          <w:rFonts w:ascii="Times New Roman" w:hAnsi="Times New Roman"/>
          <w:sz w:val="24"/>
          <w:szCs w:val="24"/>
          <w:lang w:val="sq-AL"/>
        </w:rPr>
        <w:tab/>
      </w:r>
      <w:r w:rsidRPr="00A63C00">
        <w:rPr>
          <w:rFonts w:ascii="Times New Roman" w:hAnsi="Times New Roman"/>
          <w:sz w:val="10"/>
          <w:szCs w:val="24"/>
          <w:lang w:val="sq-AL"/>
        </w:rPr>
        <w:tab/>
      </w:r>
      <w:r w:rsidRPr="00A63C00">
        <w:rPr>
          <w:rFonts w:ascii="Times New Roman" w:hAnsi="Times New Roman"/>
          <w:sz w:val="10"/>
          <w:szCs w:val="24"/>
          <w:lang w:val="sq-AL"/>
        </w:rPr>
        <w:tab/>
      </w:r>
    </w:p>
    <w:p w:rsidR="00E903F0" w:rsidRPr="00E254A1" w:rsidRDefault="00E903F0" w:rsidP="00E903F0">
      <w:pPr>
        <w:spacing w:after="0" w:line="240" w:lineRule="auto"/>
        <w:jc w:val="right"/>
        <w:rPr>
          <w:rFonts w:ascii="Garamond" w:hAnsi="Garamond"/>
        </w:rPr>
      </w:pPr>
      <w:r w:rsidRPr="00E254A1">
        <w:rPr>
          <w:rFonts w:ascii="Garamond" w:hAnsi="Garamond"/>
        </w:rPr>
        <w:t>MINISTRI I FINANCAVE</w:t>
      </w:r>
    </w:p>
    <w:p w:rsidR="00E903F0" w:rsidRPr="00E254A1" w:rsidRDefault="00E903F0" w:rsidP="00E903F0">
      <w:pPr>
        <w:pStyle w:val="AutoritetiEmer"/>
      </w:pPr>
      <w:r w:rsidRPr="00E254A1">
        <w:t>Shkëlqim Cani</w:t>
      </w:r>
    </w:p>
    <w:p w:rsidR="00FD57DC" w:rsidRDefault="00E903F0"/>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E903F0"/>
    <w:rsid w:val="00013606"/>
    <w:rsid w:val="00032E53"/>
    <w:rsid w:val="001D125B"/>
    <w:rsid w:val="002C04EE"/>
    <w:rsid w:val="002C0AA4"/>
    <w:rsid w:val="002E7553"/>
    <w:rsid w:val="00332E0F"/>
    <w:rsid w:val="00455FC5"/>
    <w:rsid w:val="004A4709"/>
    <w:rsid w:val="00627136"/>
    <w:rsid w:val="006815F0"/>
    <w:rsid w:val="007A33AA"/>
    <w:rsid w:val="00912120"/>
    <w:rsid w:val="00A3508F"/>
    <w:rsid w:val="00B441A3"/>
    <w:rsid w:val="00D27DAF"/>
    <w:rsid w:val="00E12DC7"/>
    <w:rsid w:val="00E903F0"/>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3F0"/>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903F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903F0"/>
    <w:rPr>
      <w:rFonts w:ascii="Garamond" w:eastAsia="MS Mincho" w:hAnsi="Garamond" w:cs="CG Times"/>
      <w:sz w:val="24"/>
    </w:rPr>
  </w:style>
  <w:style w:type="paragraph" w:customStyle="1" w:styleId="NeniNr">
    <w:name w:val="Neni_Nr"/>
    <w:next w:val="Normal"/>
    <w:link w:val="NeniNrChar"/>
    <w:rsid w:val="00E903F0"/>
    <w:pPr>
      <w:keepNext/>
      <w:widowControl w:val="0"/>
      <w:jc w:val="center"/>
    </w:pPr>
    <w:rPr>
      <w:rFonts w:ascii="Garamond" w:eastAsia="MS Mincho" w:hAnsi="Garamond" w:cs="CG Times"/>
      <w:sz w:val="24"/>
      <w:lang w:val="en-GB"/>
    </w:rPr>
  </w:style>
  <w:style w:type="paragraph" w:customStyle="1" w:styleId="NeniTitull">
    <w:name w:val="Neni_Titull"/>
    <w:next w:val="Normal"/>
    <w:rsid w:val="00E903F0"/>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903F0"/>
    <w:rPr>
      <w:rFonts w:ascii="Garamond" w:eastAsia="MS Mincho" w:hAnsi="Garamond" w:cs="CG Times"/>
      <w:sz w:val="24"/>
      <w:lang w:val="en-GB"/>
    </w:rPr>
  </w:style>
  <w:style w:type="paragraph" w:customStyle="1" w:styleId="AutoritetiEmer">
    <w:name w:val="Autoriteti_Emer"/>
    <w:next w:val="Normal"/>
    <w:link w:val="AutoritetiEmerChar"/>
    <w:rsid w:val="00E903F0"/>
    <w:pPr>
      <w:widowControl w:val="0"/>
      <w:jc w:val="right"/>
    </w:pPr>
    <w:rPr>
      <w:rFonts w:ascii="Garamond" w:eastAsia="MS Mincho" w:hAnsi="Garamond" w:cs="Times New Roman"/>
      <w:b/>
      <w:bCs/>
      <w:sz w:val="24"/>
      <w:lang w:val="en-GB"/>
    </w:rPr>
  </w:style>
  <w:style w:type="character" w:customStyle="1" w:styleId="AutoritetiEmerChar">
    <w:name w:val="Autoriteti_Emer Char"/>
    <w:link w:val="AutoritetiEmer"/>
    <w:locked/>
    <w:rsid w:val="00E903F0"/>
    <w:rPr>
      <w:rFonts w:ascii="Garamond" w:eastAsia="MS Mincho" w:hAnsi="Garamond" w:cs="Times New Roman"/>
      <w:b/>
      <w:bCs/>
      <w:sz w:val="24"/>
      <w:lang w:val="en-GB"/>
    </w:rPr>
  </w:style>
  <w:style w:type="table" w:styleId="TableGrid">
    <w:name w:val="Table Grid"/>
    <w:basedOn w:val="TableNormal"/>
    <w:uiPriority w:val="39"/>
    <w:rsid w:val="00E903F0"/>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1203</Characters>
  <Application>Microsoft Office Word</Application>
  <DocSecurity>0</DocSecurity>
  <Lines>10</Lines>
  <Paragraphs>2</Paragraphs>
  <ScaleCrop>false</ScaleCrop>
  <Company>Grizli777</Company>
  <LinksUpToDate>false</LinksUpToDate>
  <CharactersWithSpaces>1411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2015-06-10T12:22:00Z</dcterms:created>
  <dcterms:modified xsi:type="dcterms:W3CDTF">2015-06-10T12:22:00Z</dcterms:modified>
</cp:coreProperties>
</file>