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D39" w:rsidRPr="007207E4" w:rsidRDefault="004E1D39" w:rsidP="004E1D39">
      <w:pPr>
        <w:pStyle w:val="Akti"/>
        <w:rPr>
          <w:lang w:val="sq-AL"/>
        </w:rPr>
      </w:pPr>
      <w:bookmarkStart w:id="0" w:name="_GoBack"/>
      <w:bookmarkEnd w:id="0"/>
      <w:r w:rsidRPr="007207E4">
        <w:rPr>
          <w:lang w:val="sq-AL"/>
        </w:rPr>
        <w:t>UDHËZIM</w:t>
      </w:r>
    </w:p>
    <w:p w:rsidR="004E1D39" w:rsidRPr="007207E4" w:rsidRDefault="004E1D39" w:rsidP="004E1D39">
      <w:pPr>
        <w:pStyle w:val="NumriData"/>
        <w:rPr>
          <w:lang w:val="sq-AL"/>
        </w:rPr>
      </w:pPr>
      <w:r w:rsidRPr="007207E4">
        <w:rPr>
          <w:lang w:val="sq-AL"/>
        </w:rPr>
        <w:t>Nr. 14/1 , datë 4.9.2015</w:t>
      </w:r>
    </w:p>
    <w:p w:rsidR="004E1D39" w:rsidRPr="007207E4" w:rsidRDefault="004E1D39" w:rsidP="004E1D39">
      <w:pPr>
        <w:pStyle w:val="Paragrafi"/>
        <w:jc w:val="center"/>
        <w:rPr>
          <w:b/>
          <w:spacing w:val="-4"/>
          <w:sz w:val="14"/>
          <w:lang w:val="sq-AL"/>
        </w:rPr>
      </w:pPr>
    </w:p>
    <w:p w:rsidR="004E1D39" w:rsidRPr="007207E4" w:rsidRDefault="004E1D39" w:rsidP="004E1D39">
      <w:pPr>
        <w:pStyle w:val="Titulli"/>
        <w:rPr>
          <w:lang w:val="sq-AL"/>
        </w:rPr>
      </w:pPr>
      <w:r w:rsidRPr="007207E4">
        <w:rPr>
          <w:lang w:val="sq-AL"/>
        </w:rPr>
        <w:t>PËR DISA SHTESA DHE NDRYSHIME NË UDHËZIMIN NR. 24,  DATË 2.9.2008 “PËR PROCEDURAT TATIMORE NË REPUBLIKËN E SHQIPËRISË”, TË NDRYSHUAR</w:t>
      </w:r>
    </w:p>
    <w:p w:rsidR="004E1D39" w:rsidRPr="007207E4" w:rsidRDefault="004E1D39" w:rsidP="004E1D39">
      <w:pPr>
        <w:pStyle w:val="Paragrafi"/>
        <w:rPr>
          <w:spacing w:val="-4"/>
          <w:sz w:val="16"/>
          <w:lang w:val="sq-AL"/>
        </w:rPr>
      </w:pPr>
    </w:p>
    <w:p w:rsidR="004E1D39" w:rsidRPr="007207E4" w:rsidRDefault="004E1D39" w:rsidP="004E1D39">
      <w:pPr>
        <w:pStyle w:val="Paragrafi"/>
        <w:rPr>
          <w:spacing w:val="-4"/>
          <w:lang w:val="sq-AL"/>
        </w:rPr>
      </w:pPr>
      <w:r w:rsidRPr="007207E4">
        <w:rPr>
          <w:spacing w:val="-4"/>
          <w:lang w:val="sq-AL"/>
        </w:rPr>
        <w:t>Në mbështetje të nenit 102, pika 4, të Kushtetutës së Republikës së Shqipërisë, të ligjit nr. 9920, datë 19.5.2008, “Për procedurat tatimore në Republikën e Shqipërisë”, i ndryshuar nga ministri i Financave</w:t>
      </w:r>
    </w:p>
    <w:p w:rsidR="004E1D39" w:rsidRPr="007207E4" w:rsidRDefault="004E1D39" w:rsidP="004E1D39">
      <w:pPr>
        <w:pStyle w:val="Titull-Titull"/>
        <w:rPr>
          <w:lang w:val="sq-AL"/>
        </w:rPr>
      </w:pPr>
      <w:r w:rsidRPr="007207E4">
        <w:rPr>
          <w:lang w:val="sq-AL"/>
        </w:rPr>
        <w:t>UDHËZON:</w:t>
      </w:r>
    </w:p>
    <w:p w:rsidR="004E1D39" w:rsidRPr="007207E4" w:rsidRDefault="004E1D39" w:rsidP="004E1D39">
      <w:pPr>
        <w:pStyle w:val="Paragrafi"/>
        <w:rPr>
          <w:spacing w:val="-4"/>
          <w:sz w:val="14"/>
          <w:lang w:val="sq-AL"/>
        </w:rPr>
      </w:pPr>
    </w:p>
    <w:p w:rsidR="004E1D39" w:rsidRPr="007207E4" w:rsidRDefault="004E1D39" w:rsidP="004E1D39">
      <w:pPr>
        <w:pStyle w:val="Paragrafi"/>
        <w:rPr>
          <w:spacing w:val="-4"/>
          <w:lang w:val="sq-AL"/>
        </w:rPr>
      </w:pPr>
      <w:r w:rsidRPr="007207E4">
        <w:rPr>
          <w:spacing w:val="-4"/>
          <w:lang w:val="sq-AL"/>
        </w:rPr>
        <w:t xml:space="preserve">1. Kudo në përmbajtjen e pikës 7, hiqen fjalët “në burim”.  </w:t>
      </w:r>
    </w:p>
    <w:p w:rsidR="004E1D39" w:rsidRPr="007207E4" w:rsidRDefault="004E1D39" w:rsidP="004E1D39">
      <w:pPr>
        <w:pStyle w:val="Paragrafi"/>
        <w:rPr>
          <w:spacing w:val="-4"/>
          <w:lang w:val="sq-AL"/>
        </w:rPr>
      </w:pPr>
      <w:r w:rsidRPr="007207E4">
        <w:rPr>
          <w:spacing w:val="-4"/>
          <w:lang w:val="sq-AL"/>
        </w:rPr>
        <w:t xml:space="preserve">2. Pika 21 ndryshon në përmbajtje si më poshtë: </w:t>
      </w:r>
    </w:p>
    <w:p w:rsidR="004E1D39" w:rsidRPr="007207E4" w:rsidRDefault="004E1D39" w:rsidP="004E1D39">
      <w:pPr>
        <w:pStyle w:val="Paragrafi"/>
        <w:rPr>
          <w:spacing w:val="-4"/>
          <w:lang w:val="sq-AL"/>
        </w:rPr>
      </w:pPr>
      <w:r w:rsidRPr="007207E4">
        <w:rPr>
          <w:spacing w:val="-4"/>
          <w:lang w:val="sq-AL"/>
        </w:rPr>
        <w:t xml:space="preserve">"21.1 Drejtorisë së Përgjithshme të Tatimeve i lihet deri në 2 për qind të të ardhurave tatimore të mbledhura, për t’u përdorur për investime për përmirësimin dhe për modernizimin e infrastrukturës së mbledhjes së të ardhurave dhe për shpërblime stimuluese, të personelit të administratës tatimore. </w:t>
      </w:r>
    </w:p>
    <w:p w:rsidR="004E1D39" w:rsidRPr="007207E4" w:rsidRDefault="004E1D39" w:rsidP="004E1D39">
      <w:pPr>
        <w:pStyle w:val="Paragrafi"/>
        <w:rPr>
          <w:spacing w:val="-4"/>
          <w:lang w:val="sq-AL"/>
        </w:rPr>
      </w:pPr>
      <w:r w:rsidRPr="007207E4">
        <w:rPr>
          <w:spacing w:val="-4"/>
          <w:lang w:val="sq-AL"/>
        </w:rPr>
        <w:t xml:space="preserve">21.2 Personelit të administratës tatimore i jepen shpërblime stimuluese, për: </w:t>
      </w:r>
    </w:p>
    <w:p w:rsidR="004E1D39" w:rsidRPr="007207E4" w:rsidRDefault="004E1D39" w:rsidP="004E1D39">
      <w:pPr>
        <w:pStyle w:val="Paragrafi"/>
        <w:rPr>
          <w:spacing w:val="-4"/>
          <w:lang w:val="sq-AL"/>
        </w:rPr>
      </w:pPr>
      <w:r w:rsidRPr="007207E4">
        <w:rPr>
          <w:spacing w:val="-4"/>
          <w:lang w:val="sq-AL"/>
        </w:rPr>
        <w:t xml:space="preserve">a) efektivitetin e shërbimit të kryer në organet tatimore; </w:t>
      </w:r>
    </w:p>
    <w:p w:rsidR="004E1D39" w:rsidRPr="007207E4" w:rsidRDefault="004E1D39" w:rsidP="004E1D39">
      <w:pPr>
        <w:pStyle w:val="Paragrafi"/>
        <w:rPr>
          <w:spacing w:val="-4"/>
          <w:lang w:val="sq-AL"/>
        </w:rPr>
      </w:pPr>
      <w:r w:rsidRPr="007207E4">
        <w:rPr>
          <w:spacing w:val="-4"/>
          <w:lang w:val="sq-AL"/>
        </w:rPr>
        <w:t xml:space="preserve">b) kryerjen e një shërbimi me rrezikshmëri të veçantë.". </w:t>
      </w:r>
    </w:p>
    <w:p w:rsidR="004E1D39" w:rsidRPr="007207E4" w:rsidRDefault="004E1D39" w:rsidP="004E1D39">
      <w:pPr>
        <w:pStyle w:val="Paragrafi"/>
        <w:rPr>
          <w:spacing w:val="-4"/>
          <w:lang w:val="sq-AL"/>
        </w:rPr>
      </w:pPr>
      <w:r w:rsidRPr="007207E4">
        <w:rPr>
          <w:spacing w:val="-4"/>
          <w:lang w:val="sq-AL"/>
        </w:rPr>
        <w:t>3. Pas pikës 28.2 shtohet pika 28.3 me përmbajtjen si më poshtë:</w:t>
      </w:r>
    </w:p>
    <w:p w:rsidR="004E1D39" w:rsidRPr="007207E4" w:rsidRDefault="004E1D39" w:rsidP="004E1D39">
      <w:pPr>
        <w:pStyle w:val="Paragrafi"/>
        <w:rPr>
          <w:spacing w:val="-4"/>
          <w:lang w:val="sq-AL"/>
        </w:rPr>
      </w:pPr>
    </w:p>
    <w:p w:rsidR="004E1D39" w:rsidRPr="007207E4" w:rsidRDefault="004E1D39" w:rsidP="004E1D39">
      <w:pPr>
        <w:pStyle w:val="Paragrafi"/>
        <w:rPr>
          <w:spacing w:val="-4"/>
          <w:lang w:val="sq-AL"/>
        </w:rPr>
      </w:pPr>
      <w:r w:rsidRPr="007207E4">
        <w:rPr>
          <w:spacing w:val="-4"/>
          <w:lang w:val="sq-AL"/>
        </w:rPr>
        <w:t xml:space="preserve">"Drejtoria e Përgjithshme e Tatimeve, nëpërmjet strukturave të saj që ndjekin çështjet tatimore pranë organeve gjyqësore, publikojnë në linkun e krijuar posaçërisht, për këtë qëllim, në faqen zyrtare të internetit, vendimet e formës së prerë të Gjykatës Administrative të Apelit, të Gjykatës së Lartë dhe të Gjykatës Kushtetuese. </w:t>
      </w:r>
    </w:p>
    <w:p w:rsidR="004E1D39" w:rsidRPr="007207E4" w:rsidRDefault="004E1D39" w:rsidP="004E1D39">
      <w:pPr>
        <w:pStyle w:val="Paragrafi"/>
        <w:rPr>
          <w:spacing w:val="-4"/>
          <w:lang w:val="sq-AL"/>
        </w:rPr>
      </w:pPr>
      <w:r w:rsidRPr="007207E4">
        <w:rPr>
          <w:spacing w:val="-4"/>
          <w:lang w:val="sq-AL"/>
        </w:rPr>
        <w:t>Publikimi i këtyre vendimeve bëhet duke respektuar rregullat për publikimin e informacionit, në mënyrë që tatimpaguesit të jenë të informuar mbi praktikën gjyqësore lidhur me çështjet tatimore. Çdo tatimpagues nëpërmjet këtij publikimi do të sigurohet që të ketë akses për të marrë informacionin që kërkon mbi vendimet e gjykatave për çështje tatimore, gjithmonë në respektim të rregullave të publikimit të informacionit.".</w:t>
      </w:r>
    </w:p>
    <w:p w:rsidR="004E1D39" w:rsidRPr="007207E4" w:rsidRDefault="004E1D39" w:rsidP="004E1D39">
      <w:pPr>
        <w:pStyle w:val="Paragrafi"/>
        <w:rPr>
          <w:spacing w:val="-4"/>
          <w:lang w:val="sq-AL"/>
        </w:rPr>
      </w:pPr>
      <w:r w:rsidRPr="007207E4">
        <w:rPr>
          <w:spacing w:val="-4"/>
          <w:lang w:val="sq-AL"/>
        </w:rPr>
        <w:t>4. Në pikën 46.1.2 shprehja “20 mijë lekë”  zëvendësohet me shprehjen “40 000 lekë”.</w:t>
      </w:r>
    </w:p>
    <w:p w:rsidR="004E1D39" w:rsidRPr="007207E4" w:rsidRDefault="004E1D39" w:rsidP="004E1D39">
      <w:pPr>
        <w:pStyle w:val="Paragrafi"/>
        <w:rPr>
          <w:spacing w:val="-4"/>
          <w:lang w:val="sq-AL"/>
        </w:rPr>
      </w:pPr>
      <w:r w:rsidRPr="007207E4">
        <w:rPr>
          <w:spacing w:val="-4"/>
          <w:lang w:val="sq-AL"/>
        </w:rPr>
        <w:t>5. Në pikën 47 të udhëzimit fjalët “për taksën vendore të biznesit të vogël” zëvendësohen me fjalët “Për sistemin e taksave vendore”.</w:t>
      </w:r>
    </w:p>
    <w:p w:rsidR="004E1D39" w:rsidRPr="007207E4" w:rsidRDefault="004E1D39" w:rsidP="004E1D39">
      <w:pPr>
        <w:pStyle w:val="Paragrafi"/>
        <w:rPr>
          <w:spacing w:val="-4"/>
          <w:lang w:val="sq-AL"/>
        </w:rPr>
      </w:pPr>
      <w:r w:rsidRPr="007207E4">
        <w:rPr>
          <w:spacing w:val="-4"/>
          <w:lang w:val="sq-AL"/>
        </w:rPr>
        <w:t xml:space="preserve">6. Pika 55 ndryshon në titull dhe në përmbajtje si më poshtë: </w:t>
      </w:r>
    </w:p>
    <w:p w:rsidR="004E1D39" w:rsidRPr="007207E4" w:rsidRDefault="004E1D39" w:rsidP="004E1D39">
      <w:pPr>
        <w:pStyle w:val="Paragrafi"/>
        <w:rPr>
          <w:spacing w:val="-4"/>
          <w:lang w:val="sq-AL"/>
        </w:rPr>
      </w:pPr>
      <w:r w:rsidRPr="007207E4">
        <w:rPr>
          <w:spacing w:val="-4"/>
          <w:lang w:val="sq-AL"/>
        </w:rPr>
        <w:t>"55. Detyrimi për përdorimin e pajisjeve fiskale dhe për vendosjen e sistemeve të monitorimit të qarkullimit.</w:t>
      </w:r>
    </w:p>
    <w:p w:rsidR="004E1D39" w:rsidRPr="007207E4" w:rsidRDefault="004E1D39" w:rsidP="004E1D39">
      <w:pPr>
        <w:pStyle w:val="Paragrafi"/>
        <w:rPr>
          <w:spacing w:val="-4"/>
          <w:lang w:val="sq-AL"/>
        </w:rPr>
      </w:pPr>
      <w:r w:rsidRPr="007207E4">
        <w:rPr>
          <w:spacing w:val="-4"/>
          <w:lang w:val="sq-AL"/>
        </w:rPr>
        <w:t xml:space="preserve">55.1 Tatimpaguesit që kryejnë qarkullimin e mallrave ose shërbimeve, për të cilat pagesat nuk kryhen nëpërmjet bankës, janë të detyruar të përdorin sistemin fiskal nëpërmjet përdorimit të pajisjeve fiskale, për regjistrimin e pagesave me para në dorë dhe për lëshimin  në mënyrë të detyrueshme  të kuponit tatimor.  </w:t>
      </w:r>
    </w:p>
    <w:p w:rsidR="004E1D39" w:rsidRPr="007207E4" w:rsidRDefault="004E1D39" w:rsidP="004E1D39">
      <w:pPr>
        <w:pStyle w:val="Paragrafi"/>
        <w:rPr>
          <w:spacing w:val="-4"/>
          <w:lang w:val="sq-AL"/>
        </w:rPr>
      </w:pPr>
      <w:r w:rsidRPr="007207E4">
        <w:rPr>
          <w:spacing w:val="-4"/>
          <w:lang w:val="sq-AL"/>
        </w:rPr>
        <w:t>Këta tatimpagues janë të detyruar të pajisen, të përdorin dhe të mirëmbajnë pajisjet fiskale në përputhje me dispozitat e vendimit të Këshillit të Ministrave, nr. 781, datë 14.11.2007, “Për karakteristikat teknike e funksionale të pajisjeve fiskale, sistemit të integruar të kompjuterizuar për transferimet periodike, automatike të deklarimeve financiare, sistemit të komunikimit për procedurën e dokumentacionin për miratimin e tyre dhe për kriteret për pajisjen me autorizim të shoqërive të autorizuara për ofrimin e pajisjeve fiskale” dhe akteve të tjera nënligjore në zbatim të tij.</w:t>
      </w:r>
    </w:p>
    <w:p w:rsidR="004E1D39" w:rsidRPr="007207E4" w:rsidRDefault="004E1D39" w:rsidP="004E1D39">
      <w:pPr>
        <w:pStyle w:val="Paragrafi"/>
        <w:rPr>
          <w:spacing w:val="-4"/>
          <w:lang w:val="sq-AL"/>
        </w:rPr>
      </w:pPr>
      <w:r w:rsidRPr="007207E4">
        <w:rPr>
          <w:spacing w:val="-4"/>
          <w:lang w:val="sq-AL"/>
        </w:rPr>
        <w:t xml:space="preserve">55.2 Tatimpagues në sektorë të veçantë të ekonomisë, siç përcaktohet në VKM-në janë të detyruar të instalojnë dhe të përdorin sisteme të monitorimit të qarkullimit.". </w:t>
      </w:r>
    </w:p>
    <w:p w:rsidR="004E1D39" w:rsidRPr="007207E4" w:rsidRDefault="004E1D39" w:rsidP="004E1D39">
      <w:pPr>
        <w:pStyle w:val="Paragrafi"/>
        <w:rPr>
          <w:spacing w:val="-4"/>
          <w:lang w:val="sq-AL"/>
        </w:rPr>
      </w:pPr>
      <w:r w:rsidRPr="007207E4">
        <w:rPr>
          <w:spacing w:val="-4"/>
          <w:lang w:val="sq-AL"/>
        </w:rPr>
        <w:t>7. Pika 68.5 e udhëzimit ndryshon si më poshtë:</w:t>
      </w:r>
    </w:p>
    <w:p w:rsidR="004E1D39" w:rsidRPr="007207E4" w:rsidRDefault="004E1D39" w:rsidP="004E1D39">
      <w:pPr>
        <w:pStyle w:val="Paragrafi"/>
        <w:rPr>
          <w:spacing w:val="-4"/>
          <w:lang w:val="sq-AL"/>
        </w:rPr>
      </w:pPr>
      <w:r w:rsidRPr="007207E4">
        <w:rPr>
          <w:spacing w:val="-4"/>
          <w:lang w:val="sq-AL"/>
        </w:rPr>
        <w:t>“68.5 Shuma e detyrimit tatimor e detyrueshme për t'u paguar ose shuma e tepricës së kredisë, sipas deklaratës tatimore, me vlerë deri në 100 (njëqind) lekë, vlerësohet si detyrim ose kredi me vlere zero dhe për shuma të tilla nuk bëhet vlerësim tatimor nga administrata tatimore.”.</w:t>
      </w:r>
    </w:p>
    <w:p w:rsidR="004E1D39" w:rsidRPr="007207E4" w:rsidRDefault="004E1D39" w:rsidP="004E1D39">
      <w:pPr>
        <w:pStyle w:val="Paragrafi"/>
        <w:rPr>
          <w:spacing w:val="-4"/>
          <w:lang w:val="sq-AL"/>
        </w:rPr>
      </w:pPr>
      <w:r w:rsidRPr="007207E4">
        <w:rPr>
          <w:spacing w:val="-4"/>
          <w:lang w:val="sq-AL"/>
        </w:rPr>
        <w:t>8. Në pikën 72.1 bëhen ndryshimet e mëposhtme:</w:t>
      </w:r>
    </w:p>
    <w:p w:rsidR="004E1D39" w:rsidRPr="007207E4" w:rsidRDefault="004E1D39" w:rsidP="004E1D39">
      <w:pPr>
        <w:pStyle w:val="Paragrafi"/>
        <w:rPr>
          <w:spacing w:val="-4"/>
          <w:lang w:val="sq-AL"/>
        </w:rPr>
      </w:pPr>
      <w:r w:rsidRPr="007207E4">
        <w:rPr>
          <w:spacing w:val="-4"/>
          <w:lang w:val="sq-AL"/>
        </w:rPr>
        <w:t>Germa “d” ndryshon me përmbajtjen e mëposhtme:</w:t>
      </w:r>
    </w:p>
    <w:p w:rsidR="004E1D39" w:rsidRPr="007207E4" w:rsidRDefault="004E1D39" w:rsidP="004E1D39">
      <w:pPr>
        <w:pStyle w:val="Paragrafi"/>
        <w:rPr>
          <w:spacing w:val="-4"/>
          <w:lang w:val="sq-AL"/>
        </w:rPr>
      </w:pPr>
      <w:r w:rsidRPr="007207E4">
        <w:rPr>
          <w:spacing w:val="-4"/>
          <w:lang w:val="sq-AL"/>
        </w:rPr>
        <w:t>“d) Çmimet sipas të dhënave të disponueshme në doganë ose çmimet e referencës së shitjes me pakicë që disponon Drejtoria e Përgjithshme e Tatimeve.”.</w:t>
      </w:r>
    </w:p>
    <w:p w:rsidR="004E1D39" w:rsidRPr="007207E4" w:rsidRDefault="004E1D39" w:rsidP="004E1D39">
      <w:pPr>
        <w:pStyle w:val="Paragrafi"/>
        <w:rPr>
          <w:spacing w:val="-4"/>
          <w:lang w:val="sq-AL"/>
        </w:rPr>
      </w:pPr>
      <w:r w:rsidRPr="007207E4">
        <w:rPr>
          <w:spacing w:val="-4"/>
          <w:lang w:val="sq-AL"/>
        </w:rPr>
        <w:t>Pas germës “d” shtohet germa “e”, me këtë përmbajtje:</w:t>
      </w:r>
    </w:p>
    <w:p w:rsidR="004E1D39" w:rsidRPr="007207E4" w:rsidRDefault="004E1D39" w:rsidP="004E1D39">
      <w:pPr>
        <w:pStyle w:val="Paragrafi"/>
        <w:rPr>
          <w:spacing w:val="-4"/>
          <w:lang w:val="sq-AL"/>
        </w:rPr>
      </w:pPr>
      <w:r w:rsidRPr="007207E4">
        <w:rPr>
          <w:spacing w:val="-4"/>
          <w:lang w:val="sq-AL"/>
        </w:rPr>
        <w:t xml:space="preserve">“e) Të dhëna për çmimet e tregut të mallrave dhe shërbimeve të ngjashme, çmimet e referencës së qirave, </w:t>
      </w:r>
      <w:r w:rsidRPr="007207E4">
        <w:rPr>
          <w:spacing w:val="-4"/>
          <w:lang w:val="sq-AL"/>
        </w:rPr>
        <w:lastRenderedPageBreak/>
        <w:t>siç përcaktohen në vendimin e Këshillit të Ministrave për këtë qëllim.”.</w:t>
      </w:r>
    </w:p>
    <w:p w:rsidR="004E1D39" w:rsidRPr="007207E4" w:rsidRDefault="004E1D39" w:rsidP="004E1D39">
      <w:pPr>
        <w:pStyle w:val="Paragrafi"/>
        <w:rPr>
          <w:spacing w:val="-4"/>
          <w:lang w:val="sq-AL"/>
        </w:rPr>
      </w:pPr>
      <w:r w:rsidRPr="007207E4">
        <w:rPr>
          <w:spacing w:val="-4"/>
          <w:lang w:val="sq-AL"/>
        </w:rPr>
        <w:t xml:space="preserve">9. Titulli dhe në përmbajtje, pika 73 ndryshon si vijon: </w:t>
      </w:r>
    </w:p>
    <w:p w:rsidR="004E1D39" w:rsidRPr="007207E4" w:rsidRDefault="004E1D39" w:rsidP="004E1D39">
      <w:pPr>
        <w:pStyle w:val="Paragrafi"/>
        <w:rPr>
          <w:spacing w:val="-4"/>
          <w:lang w:val="sq-AL"/>
        </w:rPr>
      </w:pPr>
      <w:r w:rsidRPr="007207E4">
        <w:rPr>
          <w:spacing w:val="-4"/>
          <w:lang w:val="sq-AL"/>
        </w:rPr>
        <w:t>“73. E drejta e administratës tatimore për të bërë vlerësim tatimor, si dhe e drejta e  tatimpaguesit për të kërkuar tepricën kreditore.”.</w:t>
      </w:r>
    </w:p>
    <w:p w:rsidR="004E1D39" w:rsidRPr="007207E4" w:rsidRDefault="004E1D39" w:rsidP="004E1D39">
      <w:pPr>
        <w:pStyle w:val="Paragrafi"/>
        <w:rPr>
          <w:spacing w:val="-4"/>
          <w:lang w:val="sq-AL"/>
        </w:rPr>
      </w:pPr>
      <w:r w:rsidRPr="007207E4">
        <w:rPr>
          <w:spacing w:val="-4"/>
          <w:lang w:val="sq-AL"/>
        </w:rPr>
        <w:t xml:space="preserve">10. Pas pikës 73.3 shtohet pika 73.4, me përmbajtjen: </w:t>
      </w:r>
    </w:p>
    <w:p w:rsidR="004E1D39" w:rsidRPr="007207E4" w:rsidRDefault="004E1D39" w:rsidP="004E1D39">
      <w:pPr>
        <w:pStyle w:val="Paragrafi"/>
        <w:rPr>
          <w:spacing w:val="-4"/>
          <w:lang w:val="sq-AL"/>
        </w:rPr>
      </w:pPr>
      <w:r w:rsidRPr="007207E4">
        <w:rPr>
          <w:spacing w:val="-4"/>
          <w:lang w:val="sq-AL"/>
        </w:rPr>
        <w:t>“73.4  E drejta e tatimpaguesit për të kërkuar rimbursimin e tepricës kreditore të çdolloj tatimi përfshirë tatimin e paguar tepër, parashkruhet kur kanë kaluar 5 vjet nga data e dorëzimit të deklaratës tatimore përkatëse.”.</w:t>
      </w:r>
    </w:p>
    <w:p w:rsidR="004E1D39" w:rsidRPr="007207E4" w:rsidRDefault="004E1D39" w:rsidP="004E1D39">
      <w:pPr>
        <w:pStyle w:val="Paragrafi"/>
        <w:rPr>
          <w:spacing w:val="-4"/>
          <w:lang w:val="sq-AL"/>
        </w:rPr>
      </w:pPr>
      <w:r w:rsidRPr="007207E4">
        <w:rPr>
          <w:spacing w:val="-4"/>
          <w:lang w:val="sq-AL"/>
        </w:rPr>
        <w:t>11. Pika 75/1 ndryshon në titull dhe përmbajtje, si më poshtë:</w:t>
      </w:r>
    </w:p>
    <w:p w:rsidR="004E1D39" w:rsidRPr="007207E4" w:rsidRDefault="004E1D39" w:rsidP="004E1D39">
      <w:pPr>
        <w:pStyle w:val="Paragrafi"/>
        <w:rPr>
          <w:spacing w:val="-4"/>
          <w:lang w:val="sq-AL"/>
        </w:rPr>
      </w:pPr>
      <w:r w:rsidRPr="007207E4">
        <w:rPr>
          <w:spacing w:val="-4"/>
          <w:lang w:val="sq-AL"/>
        </w:rPr>
        <w:t xml:space="preserve">“75/1. “Mënyra dhe procedura për rimbursimin e TVSH-së së miratuar dhe për kompensimin e detyrimeve tatimore me TVSH-në, e rimbursu-eshme”.  </w:t>
      </w:r>
    </w:p>
    <w:p w:rsidR="004E1D39" w:rsidRPr="007207E4" w:rsidRDefault="004E1D39" w:rsidP="004E1D39">
      <w:pPr>
        <w:pStyle w:val="Paragrafi"/>
        <w:rPr>
          <w:spacing w:val="-4"/>
          <w:lang w:val="sq-AL"/>
        </w:rPr>
      </w:pPr>
      <w:r w:rsidRPr="007207E4">
        <w:rPr>
          <w:spacing w:val="-4"/>
          <w:lang w:val="sq-AL"/>
        </w:rPr>
        <w:t xml:space="preserve">75/1.1 Personi i tatueshëm në përputhje me kushtet e përcaktuara në nenin 77 të ligjit për TVSH-në, ka të drejtë të kërkojë rimbursimin e TVSH-së nëpërmjet kërkesës për rimbursim. Gjithashtu, me kërkesën për rimbursim, përcaktohet shuma që do të kalojë për kompensim të detyrimeve tatimore të papaguara, nëse ka të tilla, përveç detyrimeve për sigurime shoqërore dhe shëndetësore, si dhe shumën që do t’i rimbursohet nëpërmjet thesarit.”. </w:t>
      </w:r>
    </w:p>
    <w:p w:rsidR="004E1D39" w:rsidRPr="007207E4" w:rsidRDefault="004E1D39" w:rsidP="004E1D39">
      <w:pPr>
        <w:pStyle w:val="Paragrafi"/>
        <w:rPr>
          <w:spacing w:val="-4"/>
          <w:lang w:val="sq-AL"/>
        </w:rPr>
      </w:pPr>
      <w:r w:rsidRPr="007207E4">
        <w:rPr>
          <w:spacing w:val="-4"/>
          <w:lang w:val="sq-AL"/>
        </w:rPr>
        <w:t>Pika 75/1.2 ndryshon:</w:t>
      </w:r>
    </w:p>
    <w:p w:rsidR="004E1D39" w:rsidRPr="007207E4" w:rsidRDefault="004E1D39" w:rsidP="004E1D39">
      <w:pPr>
        <w:pStyle w:val="Paragrafi"/>
        <w:rPr>
          <w:spacing w:val="-4"/>
          <w:lang w:val="sq-AL"/>
        </w:rPr>
      </w:pPr>
      <w:r w:rsidRPr="007207E4">
        <w:rPr>
          <w:spacing w:val="-4"/>
          <w:lang w:val="sq-AL"/>
        </w:rPr>
        <w:t xml:space="preserve">"Drejtori i Përgjithshëm i Tatimeve, nëpërmjet strukturave përkatëse të administratës tatimore, brenda 60 ditëve nga data e paraqitjes së kërkesës për rimbursim dhe 30 ditëve për tatimpaguesit eksportues, kryejnë procedurën e rimbursimit sipas këtij udhëzimi dhe miraton tepricën e TVSH-së së zbritshme si të rimbursueshme. Kur është e nevojshme, sipas analizës së riskut, Drejtoria e Rimbursimit të TVSH-së, e cila shqyrton kërkesën për rimbursim, si dhe kryen të gjithë procedurën e rimbursimit, i kërkon Drejtorisë Rajonale Tatimore përkatëse të ushtrojë kontroll tatimor përpara miratimit të shumës së rimbursueshme.  </w:t>
      </w:r>
    </w:p>
    <w:p w:rsidR="004E1D39" w:rsidRPr="007207E4" w:rsidRDefault="004E1D39" w:rsidP="004E1D39">
      <w:pPr>
        <w:pStyle w:val="Paragrafi"/>
        <w:rPr>
          <w:spacing w:val="-4"/>
          <w:lang w:val="sq-AL"/>
        </w:rPr>
      </w:pPr>
      <w:r w:rsidRPr="007207E4">
        <w:rPr>
          <w:spacing w:val="-4"/>
          <w:lang w:val="sq-AL"/>
        </w:rPr>
        <w:t>1. Rregullat e rimbursimit</w:t>
      </w:r>
    </w:p>
    <w:p w:rsidR="004E1D39" w:rsidRPr="007207E4" w:rsidRDefault="004E1D39" w:rsidP="004E1D39">
      <w:pPr>
        <w:pStyle w:val="Paragrafi"/>
        <w:rPr>
          <w:spacing w:val="-4"/>
          <w:lang w:val="sq-AL"/>
        </w:rPr>
      </w:pPr>
      <w:r w:rsidRPr="007207E4">
        <w:rPr>
          <w:spacing w:val="-4"/>
          <w:lang w:val="sq-AL"/>
        </w:rPr>
        <w:t>Rimbursimi i TVSH-së kryhet nëpërmjet sistemit të thesarit:</w:t>
      </w:r>
    </w:p>
    <w:p w:rsidR="004E1D39" w:rsidRPr="007207E4" w:rsidRDefault="004E1D39" w:rsidP="004E1D39">
      <w:pPr>
        <w:pStyle w:val="Paragrafi"/>
        <w:rPr>
          <w:spacing w:val="-4"/>
          <w:lang w:val="sq-AL"/>
        </w:rPr>
      </w:pPr>
      <w:r w:rsidRPr="007207E4">
        <w:rPr>
          <w:spacing w:val="-4"/>
          <w:lang w:val="sq-AL"/>
        </w:rPr>
        <w:t xml:space="preserve">a) brenda 30 ditëve nga data e paraqitjes së kërkesës së eksportuesve të kategorizuar sipas vendimit të Këshillit të Ministrave nr. 953, datë 29.12.2014 “Për dispozitat zbatuese të ligjit nr. 92/2014, “Për tatimin mbi vlerën e shtuar”; </w:t>
      </w:r>
    </w:p>
    <w:p w:rsidR="004E1D39" w:rsidRPr="007207E4" w:rsidRDefault="004E1D39" w:rsidP="004E1D39">
      <w:pPr>
        <w:pStyle w:val="Paragrafi"/>
        <w:rPr>
          <w:spacing w:val="-4"/>
          <w:lang w:val="sq-AL"/>
        </w:rPr>
      </w:pPr>
      <w:r w:rsidRPr="007207E4">
        <w:rPr>
          <w:spacing w:val="-4"/>
          <w:lang w:val="sq-AL"/>
        </w:rPr>
        <w:t>b) brenda 60 ditëve nga data e paraqitjes së kërkesës për tatimpaguesit që nuk kategorizohen më sipër.</w:t>
      </w:r>
    </w:p>
    <w:p w:rsidR="004E1D39" w:rsidRPr="007207E4" w:rsidRDefault="004E1D39" w:rsidP="004E1D39">
      <w:pPr>
        <w:pStyle w:val="Paragrafi"/>
        <w:rPr>
          <w:spacing w:val="-4"/>
          <w:lang w:val="sq-AL"/>
        </w:rPr>
      </w:pPr>
      <w:r w:rsidRPr="007207E4">
        <w:rPr>
          <w:spacing w:val="-4"/>
          <w:lang w:val="sq-AL"/>
        </w:rPr>
        <w:t xml:space="preserve">Afatet e përcaktuara për rimbursimin e TVSH-së, sipas kategorive të personave të tatueshëm fillojnë nga data e kërkesës për rimbursim të TVSH-së, kërkesë e bërë nëpërmjet formularit, “Kërkesë për rimbursim të TVSH-së”, sipas modelit të miratuar, datë e cila është e njëjtë me datën e pasqyrimit të formularit, “Kërkesë për rimbursim të TVSH-së”, në sistemin informatik të Drejtorisë së Përgjithshme të Tatimeve. </w:t>
      </w:r>
    </w:p>
    <w:p w:rsidR="004E1D39" w:rsidRPr="007207E4" w:rsidRDefault="004E1D39" w:rsidP="004E1D39">
      <w:pPr>
        <w:pStyle w:val="Paragrafi"/>
        <w:rPr>
          <w:spacing w:val="-4"/>
          <w:lang w:val="sq-AL"/>
        </w:rPr>
      </w:pPr>
      <w:r w:rsidRPr="007207E4">
        <w:rPr>
          <w:spacing w:val="-4"/>
          <w:lang w:val="sq-AL"/>
        </w:rPr>
        <w:t>Rimbursimi i TVSH-së kryhet sipas një procedure të bazuar në analizën e riskut për rimbursim. Kriteret e riskut janë objektive dhe zbatohen me drejtësi për të gjithë tatimpaguesit. Trajtimi i kërkesave mund të ndryshojë në varësi të shkallës së riskut dhe vlerës së TVSH-së të kërkuar për rimbursim.</w:t>
      </w:r>
    </w:p>
    <w:p w:rsidR="004E1D39" w:rsidRPr="007207E4" w:rsidRDefault="004E1D39" w:rsidP="004E1D39">
      <w:pPr>
        <w:pStyle w:val="Paragrafi"/>
        <w:rPr>
          <w:spacing w:val="-4"/>
          <w:lang w:val="sq-AL"/>
        </w:rPr>
      </w:pPr>
      <w:r w:rsidRPr="007207E4">
        <w:rPr>
          <w:spacing w:val="-4"/>
          <w:lang w:val="sq-AL"/>
        </w:rPr>
        <w:t xml:space="preserve">Administrimi i procesit të rimbursimit të TVSH-së kryhet në përputhje me rregullat me bazë riskun, të vendosura në rregulloren e hartuar nga Komiteti i Menaxhimit të Riskut pranë DPT-së dhe miratuar nga Drejtori i Përgjithshëm i Tatimeve.  </w:t>
      </w:r>
    </w:p>
    <w:p w:rsidR="004E1D39" w:rsidRPr="007207E4" w:rsidRDefault="004E1D39" w:rsidP="004E1D39">
      <w:pPr>
        <w:pStyle w:val="Paragrafi"/>
        <w:rPr>
          <w:spacing w:val="-4"/>
          <w:lang w:val="sq-AL"/>
        </w:rPr>
      </w:pPr>
      <w:r w:rsidRPr="007207E4">
        <w:rPr>
          <w:spacing w:val="-4"/>
          <w:lang w:val="sq-AL"/>
        </w:rPr>
        <w:t xml:space="preserve">Me marrjen e kërkesës për rimbursim, fillimisht verifikohet nëse kërkesa është bërë nga një tatimpagues eksportues ose jo. </w:t>
      </w:r>
    </w:p>
    <w:p w:rsidR="004E1D39" w:rsidRPr="007207E4" w:rsidRDefault="004E1D39" w:rsidP="004E1D39">
      <w:pPr>
        <w:pStyle w:val="Paragrafi"/>
        <w:rPr>
          <w:spacing w:val="-4"/>
          <w:lang w:val="sq-AL"/>
        </w:rPr>
      </w:pPr>
    </w:p>
    <w:p w:rsidR="004E1D39" w:rsidRPr="007207E4" w:rsidRDefault="004E1D39" w:rsidP="004E1D39">
      <w:pPr>
        <w:pStyle w:val="Paragrafi"/>
        <w:rPr>
          <w:spacing w:val="-4"/>
          <w:lang w:val="sq-AL"/>
        </w:rPr>
      </w:pPr>
      <w:r w:rsidRPr="007207E4">
        <w:rPr>
          <w:spacing w:val="-4"/>
          <w:lang w:val="sq-AL"/>
        </w:rPr>
        <w:t>Eksportues për qëllime të këtij udhëzimi konsiderohen eksportuesit e kategorizuar sipas VKM-së nr. 953, datë 29.12.2014, “Për dispozitat zbatuese të ligjit nr. 92/2014 “Për tatimin mbi vlerën e shtuar” për qëllime të rimbursimit të TVSH-së.</w:t>
      </w:r>
    </w:p>
    <w:p w:rsidR="004E1D39" w:rsidRPr="007207E4" w:rsidRDefault="004E1D39" w:rsidP="004E1D39">
      <w:pPr>
        <w:pStyle w:val="Paragrafi"/>
        <w:rPr>
          <w:spacing w:val="-4"/>
          <w:lang w:val="sq-AL"/>
        </w:rPr>
      </w:pPr>
      <w:r w:rsidRPr="007207E4">
        <w:rPr>
          <w:spacing w:val="-4"/>
          <w:lang w:val="sq-AL"/>
        </w:rPr>
        <w:t xml:space="preserve">Nëse sipas kritereve të VKM-së tatimpaguesi është eksportues me risk zero, për periudhën për të cilën kërkon rimbursim, atëherë kërkesa nuk i nënshtrohet analizës së riskut për rimbursim dhe rimbursohet automatikisht. </w:t>
      </w:r>
    </w:p>
    <w:p w:rsidR="004E1D39" w:rsidRPr="007207E4" w:rsidRDefault="004E1D39" w:rsidP="004E1D39">
      <w:pPr>
        <w:pStyle w:val="Paragrafi"/>
        <w:rPr>
          <w:spacing w:val="-4"/>
          <w:lang w:val="sq-AL"/>
        </w:rPr>
      </w:pPr>
      <w:r w:rsidRPr="007207E4">
        <w:rPr>
          <w:spacing w:val="-4"/>
          <w:lang w:val="sq-AL"/>
        </w:rPr>
        <w:t>Nëse tatimpaguesi nuk është eksportues me risk zero (eksportues 100%), por i nënshtrohet regjimit të përpunimit aktiv ose është eksportues mbi 60% atëherë duhet të rimbursohet brenda 30 ditëve, por duke iu nënshtruar më parë analizës së riskut.</w:t>
      </w:r>
    </w:p>
    <w:p w:rsidR="004E1D39" w:rsidRPr="007207E4" w:rsidRDefault="004E1D39" w:rsidP="004E1D39">
      <w:pPr>
        <w:pStyle w:val="Paragrafi"/>
        <w:rPr>
          <w:spacing w:val="-4"/>
          <w:lang w:val="sq-AL"/>
        </w:rPr>
      </w:pPr>
      <w:r w:rsidRPr="007207E4">
        <w:rPr>
          <w:spacing w:val="-4"/>
          <w:lang w:val="sq-AL"/>
        </w:rPr>
        <w:t xml:space="preserve">Nëse tatimpaguesi nuk është eksportues, atëherë kërkesa për rimbursim, i nënshtrohet procedurës normale të rimbursimit duke iu nënshtruar analizës se riskut për rimbursim. </w:t>
      </w:r>
    </w:p>
    <w:p w:rsidR="004E1D39" w:rsidRPr="007207E4" w:rsidRDefault="004E1D39" w:rsidP="004E1D39">
      <w:pPr>
        <w:pStyle w:val="Paragrafi"/>
        <w:rPr>
          <w:spacing w:val="-4"/>
          <w:lang w:val="sq-AL"/>
        </w:rPr>
      </w:pPr>
      <w:r w:rsidRPr="007207E4">
        <w:rPr>
          <w:spacing w:val="-4"/>
          <w:lang w:val="sq-AL"/>
        </w:rPr>
        <w:t xml:space="preserve">Kërkesat për rimbursim, të cilat pas shqyrtimit nga Drejtoria e Rimbursimit të TVSH-së në Drejtorinë e Përgjithshme të Tatimeve konsiderohen pa risk, do të procedohen me rimbursim automatik të shumës së </w:t>
      </w:r>
      <w:r w:rsidRPr="007207E4">
        <w:rPr>
          <w:spacing w:val="-4"/>
          <w:lang w:val="sq-AL"/>
        </w:rPr>
        <w:lastRenderedPageBreak/>
        <w:t xml:space="preserve">kërkuar, duke mos kryer kontroll të personit të tatueshëm përpara se të miratojë rimbursimin e TVSH-së, ndërsa për kërkesat e tjera, të cilat vlerësohen me risk, rimbursimi i shumës së kërkuar do të kryhet nëpërmjet thesarit pas kontrollit nga zyra ose kontrollit në vend. </w:t>
      </w:r>
    </w:p>
    <w:p w:rsidR="004E1D39" w:rsidRPr="007207E4" w:rsidRDefault="004E1D39" w:rsidP="004E1D39">
      <w:pPr>
        <w:pStyle w:val="Paragrafi"/>
        <w:rPr>
          <w:spacing w:val="-4"/>
          <w:lang w:val="sq-AL"/>
        </w:rPr>
      </w:pPr>
      <w:r w:rsidRPr="007207E4">
        <w:rPr>
          <w:spacing w:val="-4"/>
          <w:lang w:val="sq-AL"/>
        </w:rPr>
        <w:t>2. Procedura e rimbursimit</w:t>
      </w:r>
    </w:p>
    <w:p w:rsidR="004E1D39" w:rsidRPr="007207E4" w:rsidRDefault="004E1D39" w:rsidP="004E1D39">
      <w:pPr>
        <w:pStyle w:val="Paragrafi"/>
        <w:rPr>
          <w:spacing w:val="-4"/>
          <w:lang w:val="sq-AL"/>
        </w:rPr>
      </w:pPr>
      <w:r w:rsidRPr="007207E4">
        <w:rPr>
          <w:spacing w:val="-4"/>
          <w:lang w:val="sq-AL"/>
        </w:rPr>
        <w:t>2.1 Çdo person i tatueshëm, i cili plotëson kushtet e parashikuara në nenin 77 të  ligjit “Për TVSH-në”,  ka të drejtë të kërkojë rimbursimin e TVSH-së.</w:t>
      </w:r>
    </w:p>
    <w:p w:rsidR="004E1D39" w:rsidRPr="007207E4" w:rsidRDefault="004E1D39" w:rsidP="004E1D39">
      <w:pPr>
        <w:pStyle w:val="Paragrafi"/>
        <w:rPr>
          <w:spacing w:val="-4"/>
          <w:lang w:val="sq-AL"/>
        </w:rPr>
      </w:pPr>
      <w:r w:rsidRPr="007207E4">
        <w:rPr>
          <w:spacing w:val="-4"/>
          <w:lang w:val="sq-AL"/>
        </w:rPr>
        <w:t>2.2 Për këtë ai plotëson formularin “Kërkesë për rimbursim të TVSH-së”, sipas modelit të miratuar në këtë udhëzim. Aplikimi bëhet elektronikisht dhe i kalon për trajtim Drejtorisë së rimbursimit të TVSH-së, në DPT. Kjo kërkesë regjistrohet automatikisht në regjistrin e posaçëm të rimbursimit të TVSH-së sipas nje rendi kronologjik.</w:t>
      </w:r>
    </w:p>
    <w:p w:rsidR="004E1D39" w:rsidRPr="007207E4" w:rsidRDefault="004E1D39" w:rsidP="004E1D39">
      <w:pPr>
        <w:pStyle w:val="Paragrafi"/>
        <w:rPr>
          <w:spacing w:val="-4"/>
          <w:lang w:val="sq-AL"/>
        </w:rPr>
      </w:pPr>
      <w:r w:rsidRPr="007207E4">
        <w:rPr>
          <w:spacing w:val="-4"/>
          <w:lang w:val="sq-AL"/>
        </w:rPr>
        <w:t>2.3 Kjo drejtori  kryen dhe përfundon procesin e verifikimit paraprak të kërkesës për rimbursim në lidhje me:</w:t>
      </w:r>
    </w:p>
    <w:p w:rsidR="004E1D39" w:rsidRPr="007207E4" w:rsidRDefault="004E1D39" w:rsidP="004E1D39">
      <w:pPr>
        <w:pStyle w:val="Paragrafi"/>
        <w:rPr>
          <w:spacing w:val="-4"/>
          <w:lang w:val="sq-AL"/>
        </w:rPr>
      </w:pPr>
      <w:r w:rsidRPr="007207E4">
        <w:rPr>
          <w:spacing w:val="-4"/>
          <w:lang w:val="sq-AL"/>
        </w:rPr>
        <w:t>a) Përputhshmërinë e shumës së kërkuar për rimbursim sipas formularit “Kërkesë për rimbursim”, me shumën e TVSH-së së zbritshme që rezulton në llogarinë e tatimpaguesit.</w:t>
      </w:r>
    </w:p>
    <w:p w:rsidR="004E1D39" w:rsidRPr="007207E4" w:rsidRDefault="004E1D39" w:rsidP="004E1D39">
      <w:pPr>
        <w:pStyle w:val="Paragrafi"/>
        <w:rPr>
          <w:spacing w:val="-4"/>
          <w:lang w:val="sq-AL"/>
        </w:rPr>
      </w:pPr>
      <w:r w:rsidRPr="007207E4">
        <w:rPr>
          <w:spacing w:val="-4"/>
          <w:lang w:val="sq-AL"/>
        </w:rPr>
        <w:t>b) Plotësimin e kërkesave ligjore mbi kërkesën për rimbursim, të cilat konsistojnë në:</w:t>
      </w:r>
    </w:p>
    <w:p w:rsidR="004E1D39" w:rsidRPr="007207E4" w:rsidRDefault="004E1D39" w:rsidP="004E1D39">
      <w:pPr>
        <w:pStyle w:val="Paragrafi"/>
        <w:rPr>
          <w:spacing w:val="-4"/>
          <w:lang w:val="sq-AL"/>
        </w:rPr>
      </w:pPr>
      <w:r w:rsidRPr="007207E4">
        <w:rPr>
          <w:spacing w:val="-4"/>
          <w:lang w:val="sq-AL"/>
        </w:rPr>
        <w:t>i) Për tatimpaguesit e përcaktuar eksportues, sipas VKM-së nr. 953, datë 29.12.2014 “Për dispozitat zbatuese të ligjit nr. 92/2014, “Për tatimin mbi vlerën e shtuar në Republikën e Shqipërisë”, të ndryshuar, për këtë qëllim, verifikimin e plotësimit të kriterit ligjor, nëse teprica e TVSH-së së zbritshme të kërkuar për rimbursim është më e madhe se 400.000 lekë;</w:t>
      </w:r>
    </w:p>
    <w:p w:rsidR="004E1D39" w:rsidRPr="007207E4" w:rsidRDefault="004E1D39" w:rsidP="004E1D39">
      <w:pPr>
        <w:pStyle w:val="Paragrafi"/>
        <w:rPr>
          <w:spacing w:val="-4"/>
          <w:lang w:val="sq-AL"/>
        </w:rPr>
      </w:pPr>
      <w:r w:rsidRPr="007207E4">
        <w:rPr>
          <w:spacing w:val="-4"/>
          <w:lang w:val="sq-AL"/>
        </w:rPr>
        <w:t>ii) Për tatimpaguesit e tjerë joeksportues, verifikimin e plotësimit të kriterit ligjor, nëse rezulton  me TVSH-në të zbritshme për secilën nga tri periudhat e njëpasnjëshme, shumë e cila pas këtyre tri periudhave duhet të jetë më e madhe se 400.000 (katërqind mije) lekë.</w:t>
      </w:r>
    </w:p>
    <w:p w:rsidR="004E1D39" w:rsidRPr="007207E4" w:rsidRDefault="004E1D39" w:rsidP="004E1D39">
      <w:pPr>
        <w:pStyle w:val="Paragrafi"/>
        <w:rPr>
          <w:spacing w:val="-4"/>
          <w:lang w:val="sq-AL"/>
        </w:rPr>
      </w:pPr>
      <w:r w:rsidRPr="007207E4">
        <w:rPr>
          <w:spacing w:val="-4"/>
          <w:lang w:val="sq-AL"/>
        </w:rPr>
        <w:t>Në përfundim të këtij procesi, personi përgjegjës mban një akt për evidentimin e plotësimit ose jo të kritereve të mësipërme.</w:t>
      </w:r>
    </w:p>
    <w:p w:rsidR="004E1D39" w:rsidRPr="007207E4" w:rsidRDefault="004E1D39" w:rsidP="004E1D39">
      <w:pPr>
        <w:pStyle w:val="Paragrafi"/>
        <w:rPr>
          <w:spacing w:val="-4"/>
          <w:lang w:val="sq-AL"/>
        </w:rPr>
      </w:pPr>
      <w:r w:rsidRPr="007207E4">
        <w:rPr>
          <w:spacing w:val="-4"/>
          <w:lang w:val="sq-AL"/>
        </w:rPr>
        <w:t xml:space="preserve">2.4 Në rastin kur nga procesi i verifikimit paraprak të kërkesës për rimbursim rezulton se kriteret nuk janë plotësuar, kërkesa konsiderohet e parregullt dhe nuk pranohet. Në këtë rast, Drejtoria e rimbursimit të TVSH-së, në Drejtorinë e Përgjithshme të Tatimeve, brenda 5 (pesë) ditëve pune nga përfundimi i procesit të verifikimit, nis nëpërmjet postës elektronike për personin e tatueshëm një njoftim me shkrim sipas formatit nr. 1, bashkëngjitur këtij udhëzimi, “Njoftimi për mospranim të kërkesës për rimbursim të TVSH-së”, ku i bëhet e ditur se kërkesa e tij nuk është pranuar, duke dhënë njëkohësisht edhe shkaqet e mospranimit. Ky person i tatueshëm, mund të paraqesë një kërkesë të re për rimbursim sipas rregullave të mësipërme, vetëm pasi të ketë rregulluar situatën dhe të ketë eliminuar shkaqet për të cilat nuk iu pranua kërkesa e mëparshme. </w:t>
      </w:r>
    </w:p>
    <w:p w:rsidR="004E1D39" w:rsidRPr="007207E4" w:rsidRDefault="004E1D39" w:rsidP="004E1D39">
      <w:pPr>
        <w:pStyle w:val="Paragrafi"/>
        <w:rPr>
          <w:spacing w:val="-4"/>
          <w:lang w:val="sq-AL"/>
        </w:rPr>
      </w:pPr>
      <w:r w:rsidRPr="007207E4">
        <w:rPr>
          <w:spacing w:val="-4"/>
          <w:lang w:val="sq-AL"/>
        </w:rPr>
        <w:t>Në këtë rast,  Drejtoria e rimbursimit të TVSH-së, në DPT bën pasqyrimin e refuzimit në sistemin informatik tatimor duke kaluar shumën e kërkuar për rimbursim nga “Kërkesë për rimbursim të TVSH-së” në “Tepricë kreditore e  TVSH-së”.</w:t>
      </w:r>
    </w:p>
    <w:p w:rsidR="004E1D39" w:rsidRPr="007207E4" w:rsidRDefault="004E1D39" w:rsidP="004E1D39">
      <w:pPr>
        <w:pStyle w:val="Paragrafi"/>
        <w:rPr>
          <w:spacing w:val="-4"/>
          <w:lang w:val="sq-AL"/>
        </w:rPr>
      </w:pPr>
      <w:r w:rsidRPr="007207E4">
        <w:rPr>
          <w:spacing w:val="-4"/>
          <w:lang w:val="sq-AL"/>
        </w:rPr>
        <w:t>2.5 Në rastin kur nga procesi i verifikimit paraprak të kërkesës për rimbursim rezulton se kriteret janë plotësuar, kërkesa konsiderohet e pranuar. Në këtë rast, brenda 5 ditëve nga data e marrjes së kërkesës tatimpaguesit i dërgohet njoftim, sipas formatit nr. 2 bashkëlidhur këtij udhëzimi, “Njoftim për pranimin e kërkesës për rimbursim të TVSH-së” dhe tatimpaguesi vihet në dijeni se kërkesa e tij do të procedohet më tej nëpërmjet analizës se riskut për rimbursim. Ky njoftim përmban: i) emrin dhe NIPT-in e personit të tatueshëm; ii) cilësimin nëse subjekti është eksportues ose jo; iii) shumën e kërkuar për rimbursim; dhe iv) datën kur është regjistruar, kërkesa në DPT. Ky njoftim nënshkruhet nga  Drejtori i Përgjithshëm i Tatimeve. Gjithashtu, në të njëjtën kohë një kopje e këtij njoftimi i dërgohet edhe degës së thesarit elektronikisht ose nëpërmjet shërbimit postar.</w:t>
      </w:r>
    </w:p>
    <w:p w:rsidR="004E1D39" w:rsidRPr="007207E4" w:rsidRDefault="004E1D39" w:rsidP="004E1D39">
      <w:pPr>
        <w:pStyle w:val="Paragrafi"/>
        <w:rPr>
          <w:spacing w:val="-4"/>
          <w:lang w:val="sq-AL"/>
        </w:rPr>
      </w:pPr>
      <w:r w:rsidRPr="007207E4">
        <w:rPr>
          <w:spacing w:val="-4"/>
          <w:lang w:val="sq-AL"/>
        </w:rPr>
        <w:t xml:space="preserve">Në këtë rast, sipas procedurës, Drejtoria e Rimbursimit të TVSH-së, në DPT vijon me vlerësimin e kërkesës për rimbursim të TVSH-së, sipas kritereve të riskut. </w:t>
      </w:r>
    </w:p>
    <w:p w:rsidR="004E1D39" w:rsidRPr="007207E4" w:rsidRDefault="004E1D39" w:rsidP="004E1D39">
      <w:pPr>
        <w:pStyle w:val="Paragrafi"/>
        <w:rPr>
          <w:spacing w:val="-4"/>
          <w:lang w:val="sq-AL"/>
        </w:rPr>
      </w:pPr>
      <w:r w:rsidRPr="007207E4">
        <w:rPr>
          <w:spacing w:val="-4"/>
          <w:lang w:val="sq-AL"/>
        </w:rPr>
        <w:t xml:space="preserve">Për qëllime të analizës së riskut, kjo Drejtori, kur e gjykon të nevojshme, mund t’i kërkojë personit të tatueshëm kopjet e faturave të blerjeve apo të deklaratave të importit, për të cilat ka lindur e drejta e zbritjes së TVSH-së. </w:t>
      </w:r>
    </w:p>
    <w:p w:rsidR="004E1D39" w:rsidRPr="007207E4" w:rsidRDefault="004E1D39" w:rsidP="004E1D39">
      <w:pPr>
        <w:pStyle w:val="Paragrafi"/>
        <w:rPr>
          <w:spacing w:val="-4"/>
          <w:lang w:val="sq-AL"/>
        </w:rPr>
      </w:pPr>
      <w:r w:rsidRPr="007207E4">
        <w:rPr>
          <w:spacing w:val="-4"/>
          <w:lang w:val="sq-AL"/>
        </w:rPr>
        <w:t>Në përfundim të procesit që lidhet me vlerësimin e faktorëve të riskut, kryhet procedura e mëposhtme.</w:t>
      </w:r>
    </w:p>
    <w:p w:rsidR="004E1D39" w:rsidRPr="007207E4" w:rsidRDefault="004E1D39" w:rsidP="004E1D39">
      <w:pPr>
        <w:pStyle w:val="Paragrafi"/>
        <w:rPr>
          <w:spacing w:val="-4"/>
          <w:lang w:val="sq-AL"/>
        </w:rPr>
      </w:pPr>
      <w:r w:rsidRPr="007207E4">
        <w:rPr>
          <w:spacing w:val="-4"/>
          <w:lang w:val="sq-AL"/>
        </w:rPr>
        <w:t xml:space="preserve">  2.5.1 Nëse kërkesa për rimbursim konsiderohet pa risk atëherë procedohet me miratimin e rimbursimit dhe kryerjen e procedurave të pagesës nëpërmjet sistemit të thesarit. Drejtoria e rimbursimit të TVSH-së, në DPT, përgatit për tatimpaguesin njoftimin zyrtar sipas formatit nr. 3, “Njoftim për miratimin e rimbursimit të TVSH-së”, bashkëngjitur këtij udhëzimi, një kopje të së cilës ia dërgon degës së thesarit elektronikisht ose </w:t>
      </w:r>
      <w:r w:rsidRPr="007207E4">
        <w:rPr>
          <w:spacing w:val="-4"/>
          <w:lang w:val="sq-AL"/>
        </w:rPr>
        <w:lastRenderedPageBreak/>
        <w:t>nëpërmjet shërbimit postar dhe vijon me procedurën për rimbursim nëpërmjet thesarit.</w:t>
      </w:r>
    </w:p>
    <w:p w:rsidR="004E1D39" w:rsidRPr="007207E4" w:rsidRDefault="004E1D39" w:rsidP="004E1D39">
      <w:pPr>
        <w:pStyle w:val="Paragrafi"/>
        <w:rPr>
          <w:spacing w:val="-4"/>
          <w:lang w:val="sq-AL"/>
        </w:rPr>
      </w:pPr>
      <w:r w:rsidRPr="007207E4">
        <w:rPr>
          <w:spacing w:val="-4"/>
          <w:lang w:val="sq-AL"/>
        </w:rPr>
        <w:t xml:space="preserve">2.5.2 Nëse kërkesa për rimbursim rezulton me risk për rimbursim, Drejtoria e Rimbursimit të TVSH-së, në DPT, e dërgon  në drejtorinë rajonale ku është regjistruar tatimpaguesi për kontroll nga zyra ose në vend para se të rimbursohet. Procedura e kontrollit kryhet siç është parashikuar në ligjin nr. 9920, datë 19.5.2008, “Për procedurat tatimore në Republikën e Shqipërisë”, të ndryshuar. </w:t>
      </w:r>
    </w:p>
    <w:p w:rsidR="004E1D39" w:rsidRPr="007207E4" w:rsidRDefault="004E1D39" w:rsidP="004E1D39">
      <w:pPr>
        <w:pStyle w:val="Paragrafi"/>
        <w:rPr>
          <w:spacing w:val="-4"/>
          <w:lang w:val="sq-AL"/>
        </w:rPr>
      </w:pPr>
      <w:r w:rsidRPr="007207E4">
        <w:rPr>
          <w:spacing w:val="-4"/>
          <w:lang w:val="sq-AL"/>
        </w:rPr>
        <w:t>2.5.3</w:t>
      </w:r>
      <w:r w:rsidRPr="007207E4">
        <w:rPr>
          <w:spacing w:val="-4"/>
          <w:lang w:val="sq-AL"/>
        </w:rPr>
        <w:tab/>
        <w:t xml:space="preserve"> Pas përfundimit të kontrollit nga zyra ose në vend, nxjerrjes së rezultateve përfundimtare të tij, ku saktësohet shuma e TVSH-së për t’u rimbursuar, dhe pas kryerjes së kompensimeve të nevojshme në përputhje me ligjin nr. 9920, datë 19.5.2008 “Për procedurat tatimore në Republikën e Shqipërisë”, raporti përfundimtar i kontrollit ku detajohet shuma e miratuar për rimbursim dhe shuma e kompensimeve të kryera, në rastet kur kryhen kompensime, i përcillet Drejtorisë të Rimbursimit të TVSH-së, në DPT, e cila njofton tatimpaguesin dhe degën e thesarit sipas formatit nr. 3, “Njoftim për miratimin e  rimbursimit të TVSH-së”, duke vijuar me procedurën për rimbursim nëpërmjet thesarit. </w:t>
      </w:r>
    </w:p>
    <w:p w:rsidR="004E1D39" w:rsidRPr="007207E4" w:rsidRDefault="004E1D39" w:rsidP="004E1D39">
      <w:pPr>
        <w:pStyle w:val="Paragrafi"/>
        <w:rPr>
          <w:spacing w:val="-4"/>
          <w:lang w:val="sq-AL"/>
        </w:rPr>
      </w:pPr>
      <w:r w:rsidRPr="007207E4">
        <w:rPr>
          <w:spacing w:val="-4"/>
          <w:lang w:val="sq-AL"/>
        </w:rPr>
        <w:t>2.6 Pas miratimit të shumës se TVSH-së për t'u rimbursuar plotësohet urdhër-pagesa për rimbursim (UPR) me shumën e TVSH-së, e cila duhet të rimbursohet për personin e tatueshëm dhe të dhëna të tjera sipas formatit nr. 4 të urdhërpagesës bashkëngjitur këtij udhëzimi dhe së bashku me njoftimin në përputhje me formatin nr. 3, pasi nënshkruhen nga drejtori i Përgjithshëm i Tatimeve, i dërgohen me postë rekomande degës përkatëse të thesarit në dy kopje. Njëra nga kopjet e UPR-së, pasi kundërfirmoset dhe vuloset nga dega e thesarit, i kthehet Drejtorisë së Rimbursimit të TVSH-së në DPT. Dega përkatëse e Thesarit, regjistron UPR-në në sistemin informatik financiar të qeverisë dhe paguan brenda 5 ditëve nga data e paraqitjes nga Drejtoria e Rimbursimit të TVSH-së në DPT, duke debituar llogarinë ekonomike të së ardhurës nga TVSH-ja për shumën e rimbursueshme. Drejtoria e rimbursimit të TVSH-së rakordon me degën e thesarit në bazë të arkëtimeve të mjeteve monetare lidhur me TVSH-në. Struktura përgjegjëse e degës përkatëse të thesarit pas rakordimit të postës bankare (nxjerrjes së llogarisë së unifikuar të thesarit) njofton zyrtarisht/elektronikisht Drejtorinë e Rimbursimit të TVSH-së në DPT, e cila reflekton ndryshimet në dosjen e tatimpaguesit dhe në kontabilitet.</w:t>
      </w:r>
    </w:p>
    <w:p w:rsidR="004E1D39" w:rsidRPr="007207E4" w:rsidRDefault="004E1D39" w:rsidP="004E1D39">
      <w:pPr>
        <w:pStyle w:val="Paragrafi"/>
        <w:rPr>
          <w:spacing w:val="-4"/>
          <w:lang w:val="sq-AL"/>
        </w:rPr>
      </w:pPr>
      <w:r w:rsidRPr="007207E4">
        <w:rPr>
          <w:spacing w:val="-4"/>
          <w:lang w:val="sq-AL"/>
        </w:rPr>
        <w:t xml:space="preserve">2.7 Nëse pas rezultateve të kontrollit kërkesa për rimbursim refuzohet tërësisht ose pjesërisht,  mbi refuzimin e kërkesës për rimbursim edhe nëse është i pjesshëm, personi i tatueshëm njoftohet nga drejtoria rajonale tatimore me një akt njoftim vlerësimi tatimor sipas përcaktimit të ligjit nr. 9920, datë 19.5.2008, “Për procedurat tatimore në Republikën e Shqipërisë”, të ndryshuar. Drejtoria rajonale tatimore, në përfundim të kontrollit nëse kërkesa për rimbursim refuzohet tërësisht ose pjesërisht,  mbi refuzimin e kërkesës për rimbursim edhe nëse është i pjesshëm njofton gjithashtu, Drejtorinë e Rimbursimit të TVSH-së në DPT, e cila nga ana e saj njofton degën e thesarit sipas formatit nr. 5 bashkëlidhur këtij udhëzimi për refuzimin e rimbursimit.   </w:t>
      </w:r>
    </w:p>
    <w:p w:rsidR="004E1D39" w:rsidRPr="007207E4" w:rsidRDefault="004E1D39" w:rsidP="004E1D39">
      <w:pPr>
        <w:pStyle w:val="Paragrafi"/>
        <w:rPr>
          <w:spacing w:val="-4"/>
          <w:lang w:val="sq-AL"/>
        </w:rPr>
      </w:pPr>
      <w:r w:rsidRPr="007207E4">
        <w:rPr>
          <w:spacing w:val="-4"/>
          <w:lang w:val="sq-AL"/>
        </w:rPr>
        <w:t>Në raste të refuzimit ose të mosmiratimit të një kërkese për rimbursim, plotësisht ose pjesërisht, për arsye që kanë të bëjnë me rezultatet e kontrollit ose me shkelje të tjera ligjore, personi i tatueshëm ndaj çdo refuzimi ose mosmiratimi për rimbursim, ka të drejtë të apelojë në përputhje me dispozitat e ligjit nr. 9920, datë 19.5.2008, “Për procedurat tatimore në Republikën e Shqipërisë”, të ndryshuar.</w:t>
      </w:r>
    </w:p>
    <w:p w:rsidR="004E1D39" w:rsidRPr="007207E4" w:rsidRDefault="004E1D39" w:rsidP="004E1D39">
      <w:pPr>
        <w:pStyle w:val="Paragrafi"/>
        <w:rPr>
          <w:spacing w:val="-4"/>
          <w:lang w:val="sq-AL"/>
        </w:rPr>
      </w:pPr>
      <w:r w:rsidRPr="007207E4">
        <w:rPr>
          <w:spacing w:val="-4"/>
          <w:lang w:val="sq-AL"/>
        </w:rPr>
        <w:t xml:space="preserve">Të gjitha procedurat e mësipërme, për kryerjen e të cilave ngarkohet Drejtoria e Rimbursimit të TVSH-së në DPT dhe drejtoritë rajonale tatimore, duhet të procedohen brenda afateve të përcaktuara, përkatësisht 30 ditë për eksportuesit e kategorizuar sipas VKM-së, dhe 60 ditë për tatimpaguesit e tjerë, duke filluar nga data e paraqitjes të kërkesës për rimbursim në Drejtorinë Rimbursimit të TVSH-së.  Pagesa e shumës së miratuar për rimbursim kryhet brenda 5 ditëve nëpërmjet sistemit të thesarit. </w:t>
      </w:r>
    </w:p>
    <w:p w:rsidR="004E1D39" w:rsidRPr="007207E4" w:rsidRDefault="004E1D39" w:rsidP="004E1D39">
      <w:pPr>
        <w:pStyle w:val="Paragrafi"/>
        <w:rPr>
          <w:spacing w:val="-4"/>
          <w:lang w:val="sq-AL"/>
        </w:rPr>
      </w:pPr>
      <w:r w:rsidRPr="007207E4">
        <w:rPr>
          <w:spacing w:val="-4"/>
          <w:lang w:val="sq-AL"/>
        </w:rPr>
        <w:t>2.8 Siç përcaktohet në nenin 77 të ligjit për tatimin mbi vlerën e shtuar, administrata tatimore, para se të procedojë me rimbursimin e TVSH-së për një person të tatueshëm, ka të drejtë ta detyrojë atë person të provojë që qëllimi i veprimtarisë ekonomike është realizimi i transaksioneve të tatueshme, që i japin të drejtën e zbritjes së TVSH-së.".</w:t>
      </w:r>
    </w:p>
    <w:p w:rsidR="004E1D39" w:rsidRPr="007207E4" w:rsidRDefault="004E1D39" w:rsidP="004E1D39">
      <w:pPr>
        <w:pStyle w:val="Paragrafi"/>
        <w:rPr>
          <w:spacing w:val="-4"/>
          <w:lang w:val="sq-AL"/>
        </w:rPr>
      </w:pPr>
      <w:r w:rsidRPr="007207E4">
        <w:rPr>
          <w:spacing w:val="-4"/>
          <w:lang w:val="sq-AL"/>
        </w:rPr>
        <w:t>12. Pika 96.2.1 ndryshon në përmbajtje si më poshtë:</w:t>
      </w:r>
    </w:p>
    <w:p w:rsidR="004E1D39" w:rsidRPr="007207E4" w:rsidRDefault="004E1D39" w:rsidP="004E1D39">
      <w:pPr>
        <w:pStyle w:val="Paragrafi"/>
        <w:rPr>
          <w:spacing w:val="-4"/>
          <w:lang w:val="sq-AL"/>
        </w:rPr>
      </w:pPr>
      <w:r w:rsidRPr="007207E4">
        <w:rPr>
          <w:spacing w:val="-4"/>
          <w:lang w:val="sq-AL"/>
        </w:rPr>
        <w:t xml:space="preserve">"Me përfundimin e procesit të shitjes së mallrave të konfiskuara, të ardhurat nga shitja përdoren fillimisht për të paguar shpenzimet e shitjes për zhvillimin e ankandit publik dhe më pas zbatohet radha e pagesës, në përputhje me nenin 79 të ligjit. </w:t>
      </w:r>
    </w:p>
    <w:p w:rsidR="004E1D39" w:rsidRPr="007207E4" w:rsidRDefault="004E1D39" w:rsidP="004E1D39">
      <w:pPr>
        <w:pStyle w:val="Paragrafi"/>
        <w:rPr>
          <w:spacing w:val="-4"/>
          <w:lang w:val="sq-AL"/>
        </w:rPr>
      </w:pPr>
      <w:r w:rsidRPr="007207E4">
        <w:rPr>
          <w:spacing w:val="-4"/>
          <w:lang w:val="sq-AL"/>
        </w:rPr>
        <w:t>Kostot administrative përbëhen nga të gjitha kostot e  papaguara më parë për marrjen e masave të sigurisë, sekuestrimit të tyre, vlerësimit, transportit, të publikimit etj.".</w:t>
      </w:r>
    </w:p>
    <w:p w:rsidR="004E1D39" w:rsidRPr="007207E4" w:rsidRDefault="004E1D39" w:rsidP="004E1D39">
      <w:pPr>
        <w:pStyle w:val="Paragrafi"/>
        <w:rPr>
          <w:spacing w:val="-4"/>
          <w:lang w:val="sq-AL"/>
        </w:rPr>
      </w:pPr>
      <w:r w:rsidRPr="007207E4">
        <w:rPr>
          <w:spacing w:val="-4"/>
          <w:lang w:val="sq-AL"/>
        </w:rPr>
        <w:t>13. Në pikën 99 fjalët “për sipërmarrësit dhe shoqëritë tregtare” zëvendësohen me fjalët “për tregtarët dhe shoqëritë tregtare”.</w:t>
      </w:r>
    </w:p>
    <w:p w:rsidR="004E1D39" w:rsidRPr="007207E4" w:rsidRDefault="004E1D39" w:rsidP="004E1D39">
      <w:pPr>
        <w:pStyle w:val="Paragrafi"/>
        <w:rPr>
          <w:spacing w:val="-4"/>
          <w:lang w:val="sq-AL"/>
        </w:rPr>
      </w:pPr>
      <w:r w:rsidRPr="007207E4">
        <w:rPr>
          <w:spacing w:val="-4"/>
          <w:lang w:val="sq-AL"/>
        </w:rPr>
        <w:t xml:space="preserve">14. Pika 103.3, paragrafi i parë që përfundon me fjalinë “kërkesa për deklarimin si të pambledhshëm të </w:t>
      </w:r>
      <w:r w:rsidRPr="007207E4">
        <w:rPr>
          <w:spacing w:val="-4"/>
          <w:lang w:val="sq-AL"/>
        </w:rPr>
        <w:lastRenderedPageBreak/>
        <w:t>tatimit duhet të përmbajë” ndryshon:</w:t>
      </w:r>
    </w:p>
    <w:p w:rsidR="004E1D39" w:rsidRPr="007207E4" w:rsidRDefault="004E1D39" w:rsidP="004E1D39">
      <w:pPr>
        <w:pStyle w:val="Paragrafi"/>
        <w:rPr>
          <w:spacing w:val="-4"/>
          <w:lang w:val="sq-AL"/>
        </w:rPr>
      </w:pPr>
      <w:r w:rsidRPr="007207E4">
        <w:rPr>
          <w:spacing w:val="-4"/>
          <w:lang w:val="sq-AL"/>
        </w:rPr>
        <w:t>"Për klasifikimin si të pambledhshëm të një pjese ose të të gjithë detyrimit (borxhit) tatimor, njësia përkatëse e borxhit i paraqet një relacion me shkrim Drejtorit të Përgjithshëm të tatimeve, sipas të cilit evidenton çdo dokumentacion dhe veprim të kryer për mbledhjen e detyrimit tatimor  sipas ligjit dhe procedurave të përcaktuara në këtë udhëzim. Ky relacion përmban informacionin dhe dokumentacionin e kërkuar si vijon.”.</w:t>
      </w:r>
    </w:p>
    <w:p w:rsidR="004E1D39" w:rsidRPr="007207E4" w:rsidRDefault="004E1D39" w:rsidP="004E1D39">
      <w:pPr>
        <w:pStyle w:val="Paragrafi"/>
        <w:rPr>
          <w:spacing w:val="-4"/>
          <w:lang w:val="sq-AL"/>
        </w:rPr>
      </w:pPr>
      <w:r w:rsidRPr="007207E4">
        <w:rPr>
          <w:spacing w:val="-4"/>
          <w:lang w:val="sq-AL"/>
        </w:rPr>
        <w:t>15. Pika 104.1 “b” shfuqizohet dhe pika “ç” ndryshohet:</w:t>
      </w:r>
    </w:p>
    <w:p w:rsidR="004E1D39" w:rsidRPr="007207E4" w:rsidRDefault="004E1D39" w:rsidP="004E1D39">
      <w:pPr>
        <w:pStyle w:val="Paragrafi"/>
        <w:rPr>
          <w:spacing w:val="-4"/>
          <w:lang w:val="sq-AL"/>
        </w:rPr>
      </w:pPr>
      <w:r w:rsidRPr="007207E4">
        <w:rPr>
          <w:spacing w:val="-4"/>
          <w:lang w:val="sq-AL"/>
        </w:rPr>
        <w:t>“ç) 3 vjet pasi ka kaluar në regjistrin pasiv, sipas nenit 44 të ligjit dhe procedurave të pikës 44 të këtij udhëzimi.”</w:t>
      </w:r>
    </w:p>
    <w:p w:rsidR="004E1D39" w:rsidRPr="007207E4" w:rsidRDefault="004E1D39" w:rsidP="004E1D39">
      <w:pPr>
        <w:pStyle w:val="Paragrafi"/>
        <w:rPr>
          <w:spacing w:val="-4"/>
          <w:lang w:val="sq-AL"/>
        </w:rPr>
      </w:pPr>
      <w:r w:rsidRPr="007207E4">
        <w:rPr>
          <w:spacing w:val="-4"/>
          <w:lang w:val="sq-AL"/>
        </w:rPr>
        <w:t xml:space="preserve">16. Në pikën 105.2.3 shtohet fjalia: </w:t>
      </w:r>
    </w:p>
    <w:p w:rsidR="004E1D39" w:rsidRPr="007207E4" w:rsidRDefault="004E1D39" w:rsidP="004E1D39">
      <w:pPr>
        <w:pStyle w:val="Paragrafi"/>
        <w:rPr>
          <w:spacing w:val="-4"/>
          <w:lang w:val="sq-AL"/>
        </w:rPr>
      </w:pPr>
      <w:r w:rsidRPr="007207E4">
        <w:rPr>
          <w:spacing w:val="-4"/>
          <w:lang w:val="sq-AL"/>
        </w:rPr>
        <w:t>"Në përputhje me pikën “c” dhe “ç” të nenit 105.2 të ligjit, strukturat e hetimit tatimor gjithashtu, përveç zbatimit të masave shtrënguese, kanë të drejtë të marrin masa administrative dhe për kundërvajtjet administrative tatimore”.</w:t>
      </w:r>
    </w:p>
    <w:p w:rsidR="004E1D39" w:rsidRPr="007207E4" w:rsidRDefault="004E1D39" w:rsidP="004E1D39">
      <w:pPr>
        <w:pStyle w:val="Paragrafi"/>
        <w:rPr>
          <w:spacing w:val="-4"/>
          <w:lang w:val="sq-AL"/>
        </w:rPr>
      </w:pPr>
      <w:r w:rsidRPr="007207E4">
        <w:rPr>
          <w:spacing w:val="-4"/>
          <w:lang w:val="sq-AL"/>
        </w:rPr>
        <w:t>17. Pika 105.4 ndryshon:</w:t>
      </w:r>
    </w:p>
    <w:p w:rsidR="004E1D39" w:rsidRPr="007207E4" w:rsidRDefault="004E1D39" w:rsidP="004E1D39">
      <w:pPr>
        <w:pStyle w:val="Paragrafi"/>
        <w:rPr>
          <w:spacing w:val="-4"/>
          <w:lang w:val="sq-AL"/>
        </w:rPr>
      </w:pPr>
      <w:r w:rsidRPr="007207E4">
        <w:rPr>
          <w:spacing w:val="-4"/>
          <w:lang w:val="sq-AL"/>
        </w:rPr>
        <w:t>“105.4. Punonjësit e strukturave të hetimit tatimor pajisen me armë, në përputhje me legjislacionin e fushës.”.</w:t>
      </w:r>
    </w:p>
    <w:p w:rsidR="004E1D39" w:rsidRPr="007207E4" w:rsidRDefault="004E1D39" w:rsidP="004E1D39">
      <w:pPr>
        <w:pStyle w:val="Paragrafi"/>
        <w:rPr>
          <w:spacing w:val="-4"/>
          <w:lang w:val="sq-AL"/>
        </w:rPr>
      </w:pPr>
      <w:r w:rsidRPr="007207E4">
        <w:rPr>
          <w:spacing w:val="-4"/>
          <w:lang w:val="sq-AL"/>
        </w:rPr>
        <w:t>18. Në fund të fjalisë në shkronjën “a” të pikës 107.1 shtohen fjalët: “me afat minimalisht 6 muaj, por jo me pak se afati sipas të cilit vendimi ka marrë formë të prerë”.</w:t>
      </w:r>
    </w:p>
    <w:p w:rsidR="004E1D39" w:rsidRPr="007207E4" w:rsidRDefault="004E1D39" w:rsidP="004E1D39">
      <w:pPr>
        <w:pStyle w:val="Paragrafi"/>
        <w:rPr>
          <w:spacing w:val="-4"/>
          <w:lang w:val="sq-AL"/>
        </w:rPr>
      </w:pPr>
      <w:r w:rsidRPr="007207E4">
        <w:rPr>
          <w:spacing w:val="-4"/>
          <w:lang w:val="sq-AL"/>
        </w:rPr>
        <w:t>19. Në pikën 109.3 fjalët “brenda 3 muajve “zëvendësohen me fjalët “brenda 60 ditëve”. Në fjalinë  e dytë të pikës 109.3 fjalët “afati tremujor “zëvendësohen me fjalët “ afati 60-ditor”.</w:t>
      </w:r>
    </w:p>
    <w:p w:rsidR="004E1D39" w:rsidRPr="007207E4" w:rsidRDefault="004E1D39" w:rsidP="004E1D39">
      <w:pPr>
        <w:pStyle w:val="Paragrafi"/>
        <w:rPr>
          <w:spacing w:val="-4"/>
          <w:lang w:val="sq-AL"/>
        </w:rPr>
      </w:pPr>
      <w:r w:rsidRPr="007207E4">
        <w:rPr>
          <w:spacing w:val="-4"/>
          <w:lang w:val="sq-AL"/>
        </w:rPr>
        <w:t xml:space="preserve">20. Fjalia e tretë e pikës 109.3 ndryshon: </w:t>
      </w:r>
    </w:p>
    <w:p w:rsidR="004E1D39" w:rsidRPr="007207E4" w:rsidRDefault="004E1D39" w:rsidP="004E1D39">
      <w:pPr>
        <w:pStyle w:val="Paragrafi"/>
        <w:rPr>
          <w:spacing w:val="-4"/>
          <w:lang w:val="sq-AL"/>
        </w:rPr>
      </w:pPr>
      <w:r w:rsidRPr="007207E4">
        <w:rPr>
          <w:spacing w:val="-4"/>
          <w:lang w:val="sq-AL"/>
        </w:rPr>
        <w:t>“Pra, në asnjë rast koha e shqyrtimit të ankimit nga Drejtoria e Apelimit Tatimor nuk mund të kalojë 90 ditë duke filluar nga data e marrjes së ankimit.”.</w:t>
      </w:r>
    </w:p>
    <w:p w:rsidR="004E1D39" w:rsidRPr="007207E4" w:rsidRDefault="004E1D39" w:rsidP="004E1D39">
      <w:pPr>
        <w:pStyle w:val="Paragrafi"/>
        <w:rPr>
          <w:spacing w:val="-4"/>
          <w:lang w:val="sq-AL"/>
        </w:rPr>
      </w:pPr>
      <w:r w:rsidRPr="007207E4">
        <w:rPr>
          <w:spacing w:val="-4"/>
          <w:lang w:val="sq-AL"/>
        </w:rPr>
        <w:t xml:space="preserve"> 21. Në pikën 109.4 fjalët “brenda 3 muajsh” ndryshojnë “brenda 60 ditësh”.</w:t>
      </w:r>
    </w:p>
    <w:p w:rsidR="004E1D39" w:rsidRPr="007207E4" w:rsidRDefault="004E1D39" w:rsidP="004E1D39">
      <w:pPr>
        <w:pStyle w:val="Paragrafi"/>
        <w:rPr>
          <w:spacing w:val="-4"/>
          <w:lang w:val="sq-AL"/>
        </w:rPr>
      </w:pPr>
      <w:r w:rsidRPr="007207E4">
        <w:rPr>
          <w:spacing w:val="-4"/>
          <w:lang w:val="sq-AL"/>
        </w:rPr>
        <w:t>22. Në pikën 109.8 b) fjalët “brenda 3 muajsh” ndryshojnë “brenda 60 ditësh”.</w:t>
      </w:r>
    </w:p>
    <w:p w:rsidR="004E1D39" w:rsidRPr="007207E4" w:rsidRDefault="004E1D39" w:rsidP="004E1D39">
      <w:pPr>
        <w:pStyle w:val="Paragrafi"/>
        <w:rPr>
          <w:spacing w:val="-4"/>
          <w:lang w:val="sq-AL"/>
        </w:rPr>
      </w:pPr>
      <w:r w:rsidRPr="007207E4">
        <w:rPr>
          <w:spacing w:val="-4"/>
          <w:lang w:val="sq-AL"/>
        </w:rPr>
        <w:t xml:space="preserve">23. Në fjalinë e dytë në pikën 109.8 b) fjalët “periudha 3-mujore “zëvendësohen me fjalët “afati 60- ditor”. </w:t>
      </w:r>
    </w:p>
    <w:p w:rsidR="004E1D39" w:rsidRPr="007207E4" w:rsidRDefault="004E1D39" w:rsidP="004E1D39">
      <w:pPr>
        <w:pStyle w:val="Paragrafi"/>
        <w:rPr>
          <w:spacing w:val="-4"/>
          <w:lang w:val="sq-AL"/>
        </w:rPr>
      </w:pPr>
      <w:r w:rsidRPr="007207E4">
        <w:rPr>
          <w:spacing w:val="-4"/>
          <w:lang w:val="sq-AL"/>
        </w:rPr>
        <w:t>24. Në pikën 112 bëhen këto ndryshime:</w:t>
      </w:r>
    </w:p>
    <w:p w:rsidR="004E1D39" w:rsidRPr="007207E4" w:rsidRDefault="004E1D39" w:rsidP="004E1D39">
      <w:pPr>
        <w:pStyle w:val="Paragrafi"/>
        <w:rPr>
          <w:spacing w:val="-4"/>
          <w:lang w:val="sq-AL"/>
        </w:rPr>
      </w:pPr>
      <w:r w:rsidRPr="007207E4">
        <w:rPr>
          <w:spacing w:val="-4"/>
          <w:lang w:val="sq-AL"/>
        </w:rPr>
        <w:t xml:space="preserve">i) Në pikën 112.1.1 fjalët “prej 25 000 lekësh” zëvendësohen me fjalët “përkatësisht prej 10 000 lekë dhe 15 000 lekë sipas kategorive”; </w:t>
      </w:r>
    </w:p>
    <w:p w:rsidR="004E1D39" w:rsidRPr="007207E4" w:rsidRDefault="004E1D39" w:rsidP="004E1D39">
      <w:pPr>
        <w:pStyle w:val="Paragrafi"/>
        <w:rPr>
          <w:spacing w:val="-4"/>
          <w:lang w:val="sq-AL"/>
        </w:rPr>
      </w:pPr>
      <w:r w:rsidRPr="007207E4">
        <w:rPr>
          <w:spacing w:val="-4"/>
          <w:lang w:val="sq-AL"/>
        </w:rPr>
        <w:t>ii) Në pikën 112.1.2 fjalët “25 000 lekë  “zëvendësohen me fjalët “10 000 lekë”;</w:t>
      </w:r>
    </w:p>
    <w:p w:rsidR="004E1D39" w:rsidRPr="007207E4" w:rsidRDefault="004E1D39" w:rsidP="004E1D39">
      <w:pPr>
        <w:pStyle w:val="Paragrafi"/>
        <w:rPr>
          <w:spacing w:val="-4"/>
          <w:lang w:val="sq-AL"/>
        </w:rPr>
      </w:pPr>
      <w:r w:rsidRPr="007207E4">
        <w:rPr>
          <w:spacing w:val="-4"/>
          <w:lang w:val="sq-AL"/>
        </w:rPr>
        <w:t>iii) Në pikën 112.1.3 fjalët “25 000 lekë” zëvendësohen me fjalët “10 000 lekë për tatimpaguesit e tatimit të thjeshtuar mbi fitimin dhe 15 000 lekë për tatimpaguesit e tatimit mbi fitimin”.</w:t>
      </w:r>
    </w:p>
    <w:p w:rsidR="004E1D39" w:rsidRPr="007207E4" w:rsidRDefault="004E1D39" w:rsidP="004E1D39">
      <w:pPr>
        <w:pStyle w:val="Paragrafi"/>
        <w:rPr>
          <w:spacing w:val="-4"/>
          <w:lang w:val="sq-AL"/>
        </w:rPr>
      </w:pPr>
      <w:r w:rsidRPr="007207E4">
        <w:rPr>
          <w:spacing w:val="-4"/>
          <w:lang w:val="sq-AL"/>
        </w:rPr>
        <w:t xml:space="preserve">  Në pikën 112.1.4 fjalët “25 000 lekë” zëvendësohen me fjalët  “10 000 lekë ”.</w:t>
      </w:r>
    </w:p>
    <w:p w:rsidR="004E1D39" w:rsidRPr="007207E4" w:rsidRDefault="004E1D39" w:rsidP="004E1D39">
      <w:pPr>
        <w:pStyle w:val="Paragrafi"/>
        <w:rPr>
          <w:spacing w:val="-4"/>
          <w:lang w:val="sq-AL"/>
        </w:rPr>
      </w:pPr>
      <w:r w:rsidRPr="007207E4">
        <w:rPr>
          <w:spacing w:val="-4"/>
          <w:lang w:val="sq-AL"/>
        </w:rPr>
        <w:t>25. Pika 114.1.1 ndryshon në përmbajtje si më poshtë:</w:t>
      </w:r>
    </w:p>
    <w:p w:rsidR="004E1D39" w:rsidRPr="007207E4" w:rsidRDefault="004E1D39" w:rsidP="004E1D39">
      <w:pPr>
        <w:pStyle w:val="Paragrafi"/>
        <w:rPr>
          <w:spacing w:val="-4"/>
          <w:lang w:val="sq-AL"/>
        </w:rPr>
      </w:pPr>
      <w:r w:rsidRPr="007207E4">
        <w:rPr>
          <w:spacing w:val="-4"/>
          <w:lang w:val="sq-AL"/>
        </w:rPr>
        <w:t xml:space="preserve"> “114.1.1 Tatimpaguesi, i cili nuk paguan brenda afatit të parashikuar në ligj shumën e detyrimit tatimor, ose të kontributit të sigurimeve shoqërore e shëndetësore, detyrohet të paguajë një gjobë të barabartë me 0.06 % të shumës së detyrimit të papaguar për çdo ditë, gjatë së cilës pagesa nuk është kryer. Në asnjë rast, gjoba nuk llogaritet për një periudhë më të gjatë se 365 ditë kalendarike.”. </w:t>
      </w:r>
    </w:p>
    <w:p w:rsidR="004E1D39" w:rsidRPr="007207E4" w:rsidRDefault="004E1D39" w:rsidP="004E1D39">
      <w:pPr>
        <w:pStyle w:val="Paragrafi"/>
        <w:rPr>
          <w:spacing w:val="-4"/>
          <w:lang w:val="sq-AL"/>
        </w:rPr>
      </w:pPr>
      <w:r w:rsidRPr="007207E4">
        <w:rPr>
          <w:spacing w:val="-4"/>
          <w:lang w:val="sq-AL"/>
        </w:rPr>
        <w:t xml:space="preserve">26. Në pikën 114.1.2, shembulli shfuqizohet. </w:t>
      </w:r>
    </w:p>
    <w:p w:rsidR="004E1D39" w:rsidRPr="007207E4" w:rsidRDefault="004E1D39" w:rsidP="004E1D39">
      <w:pPr>
        <w:pStyle w:val="Paragrafi"/>
        <w:rPr>
          <w:spacing w:val="-4"/>
          <w:lang w:val="sq-AL"/>
        </w:rPr>
      </w:pPr>
      <w:r w:rsidRPr="007207E4">
        <w:rPr>
          <w:spacing w:val="-4"/>
          <w:lang w:val="sq-AL"/>
        </w:rPr>
        <w:t>27. Pika 115.1 ndryshon në përmbajtje si më poshtë:</w:t>
      </w:r>
    </w:p>
    <w:p w:rsidR="004E1D39" w:rsidRPr="007207E4" w:rsidRDefault="004E1D39" w:rsidP="004E1D39">
      <w:pPr>
        <w:pStyle w:val="Paragrafi"/>
        <w:rPr>
          <w:spacing w:val="-4"/>
          <w:lang w:val="sq-AL"/>
        </w:rPr>
      </w:pPr>
      <w:r w:rsidRPr="007207E4">
        <w:rPr>
          <w:spacing w:val="-4"/>
          <w:lang w:val="sq-AL"/>
        </w:rPr>
        <w:t xml:space="preserve">“115.1 Nëse tatimpaguesi dorëzon një deklaratë tatimore të pasaktë dënohet me një gjobë të barabartë me 0,06 për qind të shumës së detyrimit të papaguar për çdo ditë, gjatë së cilës pagesa nuk është kryer. Në asnjë rast, gjoba nuk llogaritet për një periudhë më të gjatë se 365 ditë kalendarike.”. </w:t>
      </w:r>
    </w:p>
    <w:p w:rsidR="004E1D39" w:rsidRPr="007207E4" w:rsidRDefault="004E1D39" w:rsidP="004E1D39">
      <w:pPr>
        <w:pStyle w:val="Paragrafi"/>
        <w:rPr>
          <w:spacing w:val="-4"/>
          <w:lang w:val="sq-AL"/>
        </w:rPr>
      </w:pPr>
      <w:r w:rsidRPr="007207E4">
        <w:rPr>
          <w:spacing w:val="-4"/>
          <w:lang w:val="sq-AL"/>
        </w:rPr>
        <w:t>28. Pika 115.2 ndryshon në përmbajtje si më poshtë:</w:t>
      </w:r>
    </w:p>
    <w:p w:rsidR="004E1D39" w:rsidRPr="007207E4" w:rsidRDefault="004E1D39" w:rsidP="004E1D39">
      <w:pPr>
        <w:pStyle w:val="Paragrafi"/>
        <w:rPr>
          <w:spacing w:val="-4"/>
          <w:lang w:val="sq-AL"/>
        </w:rPr>
      </w:pPr>
      <w:r w:rsidRPr="007207E4">
        <w:rPr>
          <w:spacing w:val="-4"/>
          <w:lang w:val="sq-AL"/>
        </w:rPr>
        <w:t>“115.2. Për qëllime të këtij neni, shuma e papaguar e detyrimit tatimor është diferenca ndërmjet detyrimit tatimor, që duhet paguar dhe shumës së tatimit të paguar. Shumë e papaguar e detyrimit tatimor konsiderohet edhe deklarimi i pasaktë i tepricës kreditore, e cila llogaritet si diferencë e tepricës kreditore që duhej deklaruar me tepricën kreditore të deklaruar.”.</w:t>
      </w:r>
    </w:p>
    <w:p w:rsidR="004E1D39" w:rsidRPr="007207E4" w:rsidRDefault="004E1D39" w:rsidP="004E1D39">
      <w:pPr>
        <w:pStyle w:val="Paragrafi"/>
        <w:rPr>
          <w:spacing w:val="-4"/>
          <w:lang w:val="sq-AL"/>
        </w:rPr>
      </w:pPr>
      <w:r w:rsidRPr="007207E4">
        <w:rPr>
          <w:spacing w:val="-4"/>
          <w:lang w:val="sq-AL"/>
        </w:rPr>
        <w:t xml:space="preserve">29. Pika 115.1.2 ndryshon në përmbajtje si më poshtë: </w:t>
      </w:r>
    </w:p>
    <w:p w:rsidR="004E1D39" w:rsidRPr="007207E4" w:rsidRDefault="004E1D39" w:rsidP="004E1D39">
      <w:pPr>
        <w:pStyle w:val="Paragrafi"/>
        <w:rPr>
          <w:spacing w:val="-4"/>
          <w:lang w:val="sq-AL"/>
        </w:rPr>
      </w:pPr>
      <w:r w:rsidRPr="007207E4">
        <w:rPr>
          <w:spacing w:val="-4"/>
          <w:lang w:val="sq-AL"/>
        </w:rPr>
        <w:t>“115.1.2. Një deklarate tatimore, përfshirë deklarimin e tepricës kreditore, quhet e pasaktë kur nuk është e plotësuar me të dhënat reale financiare të subjektit. Deklarata tatimore do të quhet e saktë kur detyrimi tatimor ose teprica kreditore është llogaritur në mënyrë korrekte dhe për të cilën nuk është bërë asnjë gabim aritmetik ose logjik. Nëse pasaktësia është bërë me dashje, gjë që mund të arsyetohet dhe provohet bazuar në dokumentacionin, faktet dhe rrethanat konkrete, konsiderohet evazion.”.</w:t>
      </w:r>
    </w:p>
    <w:p w:rsidR="004E1D39" w:rsidRPr="007207E4" w:rsidRDefault="004E1D39" w:rsidP="004E1D39">
      <w:pPr>
        <w:pStyle w:val="Paragrafi"/>
        <w:rPr>
          <w:spacing w:val="-4"/>
          <w:lang w:val="sq-AL"/>
        </w:rPr>
      </w:pPr>
      <w:r w:rsidRPr="007207E4">
        <w:rPr>
          <w:spacing w:val="-4"/>
          <w:lang w:val="sq-AL"/>
        </w:rPr>
        <w:lastRenderedPageBreak/>
        <w:t>30. Në shembullin në pikën 115.1.3 hiqet “2008”  dhe fjala “ interes” zëvendësohet me fjalën “kamatvonëse”.</w:t>
      </w:r>
    </w:p>
    <w:p w:rsidR="004E1D39" w:rsidRPr="007207E4" w:rsidRDefault="004E1D39" w:rsidP="004E1D39">
      <w:pPr>
        <w:pStyle w:val="Paragrafi"/>
        <w:rPr>
          <w:spacing w:val="-4"/>
          <w:lang w:val="sq-AL"/>
        </w:rPr>
      </w:pPr>
      <w:r w:rsidRPr="007207E4">
        <w:rPr>
          <w:spacing w:val="-4"/>
          <w:lang w:val="sq-AL"/>
        </w:rPr>
        <w:t>31. Pika 116 “Evazioni fiskal”, ndryshon më “Evazioni tatimor”, si dhe në përmbajtje ndryshon si me poshtë:</w:t>
      </w:r>
    </w:p>
    <w:p w:rsidR="004E1D39" w:rsidRPr="007207E4" w:rsidRDefault="004E1D39" w:rsidP="004E1D39">
      <w:pPr>
        <w:pStyle w:val="Paragrafi"/>
        <w:rPr>
          <w:spacing w:val="-4"/>
          <w:lang w:val="sq-AL"/>
        </w:rPr>
      </w:pPr>
      <w:r w:rsidRPr="007207E4">
        <w:rPr>
          <w:spacing w:val="-4"/>
          <w:lang w:val="sq-AL"/>
        </w:rPr>
        <w:t>“116.1 Fshehja apo shmangia nga pagimi i detyrimeve tatimore, nëpërmjet mosdorëzimit të dokumenteve ose mosdeklarimit të të dhënave të nevojshme, sipas legjislacionit në fuqi, dorëzimi i dokumenteve të falsifikuara apo deklaratave ose informacioneve të rreme, që çojnë në përllogaritjen e pasaktë të shumës së tatimit, taksës apo kontributit, përbën evazion tatimor dhe dënohet me gjobë të barabartë me 100 për qind të diferencës së shumës së përllogaritur nga ajo që duhet të ishte në fakt.  Në kuptim të këtij neni, termi “evazion tatimor” përfshin fshehjen apo shmangien me dashje të detyrimeve tatimore, nëpërmjet mosdorëzimit të dokumenteve ose mosdeklarimit të të dhënave (p.sh., shitjeve ose të ardhurave të realizuara), falsifikimin e dokumentacionit kontabël dhe tatimor, marrjen e dokumenteve të falsifikuara për të rritur fiktivisht shpenzimet e biznesit ose të TVSH-së së zbritshme duke çuar në përllogaritjen e pasakte të shumës së tatimit ose taksës. Klasifikimi i një shkeljeje si evazion tatimor duhet të jetë i argumentuar dhe i mbështetur në prova konkrete.</w:t>
      </w:r>
    </w:p>
    <w:p w:rsidR="004E1D39" w:rsidRPr="007207E4" w:rsidRDefault="004E1D39" w:rsidP="004E1D39">
      <w:pPr>
        <w:pStyle w:val="Paragrafi"/>
        <w:rPr>
          <w:spacing w:val="-4"/>
          <w:lang w:val="sq-AL"/>
        </w:rPr>
      </w:pPr>
      <w:r w:rsidRPr="007207E4">
        <w:rPr>
          <w:spacing w:val="-4"/>
          <w:lang w:val="sq-AL"/>
        </w:rPr>
        <w:t xml:space="preserve">116.2 Në kuptim të pikës 1 të nenit 116 të ligjit, konsiderohet gjithashtu se kryejnë evazion tatimor duke kryer fshehje të të ardhurave, me qëllim fshehjen apo shmangien nga pagimi i detyrimeve tatimore, tatimpaguesit, për të cilët konstatohet se kryejnë këto shkelje dhe për të cilët janë aplikuar dënimet administrative, në përputhje me: </w:t>
      </w:r>
    </w:p>
    <w:p w:rsidR="004E1D39" w:rsidRPr="007207E4" w:rsidRDefault="004E1D39" w:rsidP="004E1D39">
      <w:pPr>
        <w:pStyle w:val="Paragrafi"/>
        <w:rPr>
          <w:spacing w:val="-4"/>
          <w:lang w:val="sq-AL"/>
        </w:rPr>
      </w:pPr>
      <w:r w:rsidRPr="007207E4">
        <w:rPr>
          <w:spacing w:val="-4"/>
          <w:lang w:val="sq-AL"/>
        </w:rPr>
        <w:t xml:space="preserve">a) pikën 1 të nenit 119 të ligjit,  </w:t>
      </w:r>
    </w:p>
    <w:p w:rsidR="004E1D39" w:rsidRPr="007207E4" w:rsidRDefault="004E1D39" w:rsidP="004E1D39">
      <w:pPr>
        <w:pStyle w:val="Paragrafi"/>
        <w:rPr>
          <w:spacing w:val="-4"/>
          <w:lang w:val="sq-AL"/>
        </w:rPr>
      </w:pPr>
      <w:r w:rsidRPr="007207E4">
        <w:rPr>
          <w:spacing w:val="-4"/>
          <w:lang w:val="sq-AL"/>
        </w:rPr>
        <w:t xml:space="preserve">b) pikën 3 të nenit 121 të ligjit;  </w:t>
      </w:r>
    </w:p>
    <w:p w:rsidR="004E1D39" w:rsidRPr="007207E4" w:rsidRDefault="004E1D39" w:rsidP="004E1D39">
      <w:pPr>
        <w:pStyle w:val="Paragrafi"/>
        <w:rPr>
          <w:spacing w:val="-4"/>
          <w:lang w:val="sq-AL"/>
        </w:rPr>
      </w:pPr>
      <w:r w:rsidRPr="007207E4">
        <w:rPr>
          <w:spacing w:val="-4"/>
          <w:lang w:val="sq-AL"/>
        </w:rPr>
        <w:t xml:space="preserve">c) pikën 1, shkronjat “a” e “b”, të nenit 122 të ligjit.”.  </w:t>
      </w:r>
    </w:p>
    <w:p w:rsidR="004E1D39" w:rsidRPr="007207E4" w:rsidRDefault="004E1D39" w:rsidP="004E1D39">
      <w:pPr>
        <w:pStyle w:val="Paragrafi"/>
        <w:rPr>
          <w:spacing w:val="-4"/>
          <w:lang w:val="sq-AL"/>
        </w:rPr>
      </w:pPr>
      <w:r w:rsidRPr="007207E4">
        <w:rPr>
          <w:spacing w:val="-4"/>
          <w:lang w:val="sq-AL"/>
        </w:rPr>
        <w:t>32. Në  pikën 119.1 shkronja “b” vlera prej “250 000 (dyqind e pesëdhjetë mijë) lekë” zëvendësohet me “50 000 (pesëdhjetë mijë lekë”) si dhe në fund të pikës 119.1 shtohet paragrafi me përmbajtjen:</w:t>
      </w:r>
    </w:p>
    <w:p w:rsidR="004E1D39" w:rsidRPr="007207E4" w:rsidRDefault="004E1D39" w:rsidP="004E1D39">
      <w:pPr>
        <w:pStyle w:val="Paragrafi"/>
        <w:rPr>
          <w:spacing w:val="-4"/>
          <w:lang w:val="sq-AL"/>
        </w:rPr>
      </w:pPr>
      <w:r w:rsidRPr="007207E4">
        <w:rPr>
          <w:spacing w:val="-4"/>
          <w:lang w:val="sq-AL"/>
        </w:rPr>
        <w:t>Çdo konstatim i përsëritur i mosdeklarimit të punonjësve, pas aplikimit të dënimit administrativ, siç përcaktohet në pikën 119.1, konsiderohet evazion tatimor, sipas nenit 116 të ligjit, dhe administrata tatimore ushtron të drejtën e parashikuar në nenin 131, të ligjit, duke bërë kallëzimi penal për tatimpaguesin.</w:t>
      </w:r>
    </w:p>
    <w:p w:rsidR="004E1D39" w:rsidRPr="007207E4" w:rsidRDefault="004E1D39" w:rsidP="004E1D39">
      <w:pPr>
        <w:pStyle w:val="Paragrafi"/>
        <w:rPr>
          <w:spacing w:val="-4"/>
          <w:lang w:val="sq-AL"/>
        </w:rPr>
      </w:pPr>
      <w:r w:rsidRPr="007207E4">
        <w:rPr>
          <w:spacing w:val="-4"/>
          <w:lang w:val="sq-AL"/>
        </w:rPr>
        <w:t xml:space="preserve"> 33. Kudo në përmbajtje të pikës 122 në përputhje me nenin 122 të ligjit, pas fjalëve “pajisjes fiskale” shtohen fjalët “dhe sistemet e monitorimit të qarkullimit.</w:t>
      </w:r>
    </w:p>
    <w:p w:rsidR="004E1D39" w:rsidRPr="007207E4" w:rsidRDefault="004E1D39" w:rsidP="004E1D39">
      <w:pPr>
        <w:pStyle w:val="Paragrafi"/>
        <w:rPr>
          <w:spacing w:val="-4"/>
          <w:lang w:val="sq-AL"/>
        </w:rPr>
      </w:pPr>
      <w:r w:rsidRPr="007207E4">
        <w:rPr>
          <w:spacing w:val="-4"/>
          <w:lang w:val="sq-AL"/>
        </w:rPr>
        <w:t xml:space="preserve">34. Në pikën 122 .1.1 shkronjat “a”, “b”, “g”, “gj”, në përmbajtje bëhen ndryshimet e më-poshtme: </w:t>
      </w:r>
    </w:p>
    <w:p w:rsidR="004E1D39" w:rsidRPr="007207E4" w:rsidRDefault="004E1D39" w:rsidP="004E1D39">
      <w:pPr>
        <w:pStyle w:val="Paragrafi"/>
        <w:rPr>
          <w:spacing w:val="-4"/>
          <w:lang w:val="sq-AL"/>
        </w:rPr>
      </w:pPr>
      <w:r w:rsidRPr="007207E4">
        <w:rPr>
          <w:spacing w:val="-4"/>
          <w:lang w:val="sq-AL"/>
        </w:rPr>
        <w:t xml:space="preserve">“122.1.1. Tatimpaguesi, person juridik ose fizik, tregtar, dënohet në rast se: </w:t>
      </w:r>
    </w:p>
    <w:p w:rsidR="004E1D39" w:rsidRPr="007207E4" w:rsidRDefault="004E1D39" w:rsidP="004E1D39">
      <w:pPr>
        <w:pStyle w:val="Paragrafi"/>
        <w:rPr>
          <w:spacing w:val="-4"/>
          <w:lang w:val="sq-AL"/>
        </w:rPr>
      </w:pPr>
      <w:r w:rsidRPr="007207E4">
        <w:rPr>
          <w:spacing w:val="-4"/>
          <w:lang w:val="sq-AL"/>
        </w:rPr>
        <w:t xml:space="preserve">a) nuk instalon pajisjen fiskale ose sisteme të monitorimit të qarkullimit:  </w:t>
      </w:r>
    </w:p>
    <w:p w:rsidR="004E1D39" w:rsidRPr="007207E4" w:rsidRDefault="004E1D39" w:rsidP="004E1D39">
      <w:pPr>
        <w:pStyle w:val="Paragrafi"/>
        <w:rPr>
          <w:spacing w:val="-4"/>
          <w:lang w:val="sq-AL"/>
        </w:rPr>
      </w:pPr>
      <w:r w:rsidRPr="007207E4">
        <w:rPr>
          <w:spacing w:val="-4"/>
          <w:lang w:val="sq-AL"/>
        </w:rPr>
        <w:t xml:space="preserve">i) herën e parë të konstatimit të mosinstalimit të pajisjes fiskale ose sistemeve të monitorimit të qarkullimit, me gjobë në masën 50 000 (pesëdhjetë mijë) lekë;  </w:t>
      </w:r>
    </w:p>
    <w:p w:rsidR="004E1D39" w:rsidRPr="007207E4" w:rsidRDefault="004E1D39" w:rsidP="004E1D39">
      <w:pPr>
        <w:pStyle w:val="Paragrafi"/>
        <w:rPr>
          <w:spacing w:val="-4"/>
          <w:lang w:val="sq-AL"/>
        </w:rPr>
      </w:pPr>
      <w:r w:rsidRPr="007207E4">
        <w:rPr>
          <w:spacing w:val="-4"/>
          <w:lang w:val="sq-AL"/>
        </w:rPr>
        <w:t xml:space="preserve">Për tatimpaguesit e regjistruar për herë të parë ose që plotësojnë për herë të parë detyrimin ligjor për instalimin e pajisjes fiskale ose sistemit të monitorimit të qarkullimit aplikohet një afat prej 15 ditësh pune për vendosjen dhe instalimin e pajisjes fiskale apo sistemit të monitorimit të qarkullimit;  </w:t>
      </w:r>
    </w:p>
    <w:p w:rsidR="004E1D39" w:rsidRPr="007207E4" w:rsidRDefault="004E1D39" w:rsidP="004E1D39">
      <w:pPr>
        <w:pStyle w:val="Paragrafi"/>
        <w:rPr>
          <w:spacing w:val="-4"/>
          <w:lang w:val="sq-AL"/>
        </w:rPr>
      </w:pPr>
      <w:r w:rsidRPr="007207E4">
        <w:rPr>
          <w:spacing w:val="-4"/>
          <w:lang w:val="sq-AL"/>
        </w:rPr>
        <w:t xml:space="preserve">ii) nëse pas verifikimit të parë, sipas nënndarjes “i”, më sipër , konstatohet se tatimpaguesi vazhdon të mos e instalojë pajisjen fiskale për regjistrimin e pagesave me para në dorë, ose sistemin e monitorimit të qarkullimit, dënohet me konfiskim të të gjithë sasisë së mallit;  </w:t>
      </w:r>
    </w:p>
    <w:p w:rsidR="004E1D39" w:rsidRPr="007207E4" w:rsidRDefault="004E1D39" w:rsidP="004E1D39">
      <w:pPr>
        <w:pStyle w:val="Paragrafi"/>
        <w:rPr>
          <w:spacing w:val="-4"/>
          <w:lang w:val="sq-AL"/>
        </w:rPr>
      </w:pPr>
      <w:r w:rsidRPr="007207E4">
        <w:rPr>
          <w:spacing w:val="-4"/>
          <w:lang w:val="sq-AL"/>
        </w:rPr>
        <w:t xml:space="preserve">iii) çdo konstatim i mëpasshëm i mosinstalimit të pajisjes fiskale ose sistemit të monitorimit të qarkullimit, si shkelje e përsëritur, konsiderohet evazion tatimor siç parashikohet në nenin 116, të ligjit, dhe administrata tatimore ushtron të drejtën e parashikuar në nenin 131, të  ligjit, duke bërë kallëzim penal për tatimpaguesin;   </w:t>
      </w:r>
    </w:p>
    <w:p w:rsidR="004E1D39" w:rsidRPr="007207E4" w:rsidRDefault="004E1D39" w:rsidP="004E1D39">
      <w:pPr>
        <w:pStyle w:val="Paragrafi"/>
        <w:rPr>
          <w:spacing w:val="-4"/>
          <w:lang w:val="sq-AL"/>
        </w:rPr>
      </w:pPr>
      <w:r w:rsidRPr="007207E4">
        <w:rPr>
          <w:spacing w:val="-4"/>
          <w:lang w:val="sq-AL"/>
        </w:rPr>
        <w:t xml:space="preserve">b) nuk lëshon kupon tatimor për të dokumentuar qarkullimin e realizuar të mallrave apo të shërbimeve:   </w:t>
      </w:r>
    </w:p>
    <w:p w:rsidR="004E1D39" w:rsidRPr="007207E4" w:rsidRDefault="004E1D39" w:rsidP="004E1D39">
      <w:pPr>
        <w:pStyle w:val="Paragrafi"/>
        <w:rPr>
          <w:spacing w:val="-4"/>
          <w:lang w:val="sq-AL"/>
        </w:rPr>
      </w:pPr>
      <w:r w:rsidRPr="007207E4">
        <w:rPr>
          <w:spacing w:val="-4"/>
          <w:lang w:val="sq-AL"/>
        </w:rPr>
        <w:t xml:space="preserve">i) për çdo konstatim (verifikim) të kryer, me gjobë në masën 200 000 (dyqind mijë) lekë për tatimpaguesit e regjistruar si subjekte të tatimit mbi fitimin, dhe gjobë, në masën 50 000 (pesëdhjetë mijë) lekë për tatimpaguesit e tjerë;  </w:t>
      </w:r>
    </w:p>
    <w:p w:rsidR="004E1D39" w:rsidRPr="007207E4" w:rsidRDefault="004E1D39" w:rsidP="004E1D39">
      <w:pPr>
        <w:pStyle w:val="Paragrafi"/>
        <w:rPr>
          <w:spacing w:val="-4"/>
          <w:lang w:val="sq-AL"/>
        </w:rPr>
      </w:pPr>
      <w:r w:rsidRPr="007207E4">
        <w:rPr>
          <w:spacing w:val="-4"/>
          <w:lang w:val="sq-AL"/>
        </w:rPr>
        <w:t>ii) për çdo konstatim (verifikim) tjetër pas verifikimit të parë, ku konstatohet se tatimpaguesi vazhdon të mos e lëshojë kuponin tatimor për të dokumentuar qarkullimin e realizuar të mallrave apo të shërbimeve, sipas kërkesave të  ligjit,  i nënshtrohet një dënimi administrativ me gjobë në masën 300 000 (treqind mijë) lekë për tatimpaguesit e regjistruar si subjekte të tatimit mbi fitimin dhe gjobë, në masën 100 000 (njëqind mijë) lekë për tatimpaguesit e tjerë;</w:t>
      </w:r>
    </w:p>
    <w:p w:rsidR="004E1D39" w:rsidRPr="007207E4" w:rsidRDefault="004E1D39" w:rsidP="004E1D39">
      <w:pPr>
        <w:pStyle w:val="Paragrafi"/>
        <w:rPr>
          <w:spacing w:val="-4"/>
          <w:lang w:val="sq-AL"/>
        </w:rPr>
      </w:pPr>
      <w:r w:rsidRPr="007207E4">
        <w:rPr>
          <w:spacing w:val="-4"/>
          <w:lang w:val="sq-AL"/>
        </w:rPr>
        <w:t xml:space="preserve">iii) për çdo konstatim të përsëritur të moslëshimit të kuponit tatimor, pas aplikimit të dy dënimeve administrative, si më sipër,  konsiderohet evazion tatimor, sipas nenit 116, të ligjit, dhe administrata tatimore ushtron të drejtën e parashikuar në nenin 131, të ligjit, duke e kallëzuar penalisht tatimpaguesin;  </w:t>
      </w:r>
    </w:p>
    <w:p w:rsidR="004E1D39" w:rsidRPr="007207E4" w:rsidRDefault="004E1D39" w:rsidP="004E1D39">
      <w:pPr>
        <w:pStyle w:val="Paragrafi"/>
        <w:rPr>
          <w:spacing w:val="-4"/>
          <w:lang w:val="sq-AL"/>
        </w:rPr>
      </w:pPr>
      <w:r w:rsidRPr="007207E4">
        <w:rPr>
          <w:spacing w:val="-4"/>
          <w:lang w:val="sq-AL"/>
        </w:rPr>
        <w:lastRenderedPageBreak/>
        <w:t xml:space="preserve">g) nuk mban dhe mirëmban në kushte pune pajisjet fiskale ose sistemet e monitorimit të qarkullimit, me gjobë në masën 40 000 (dyzet mijë) lekë;  </w:t>
      </w:r>
    </w:p>
    <w:p w:rsidR="004E1D39" w:rsidRPr="007207E4" w:rsidRDefault="004E1D39" w:rsidP="004E1D39">
      <w:pPr>
        <w:pStyle w:val="Paragrafi"/>
        <w:rPr>
          <w:spacing w:val="-4"/>
          <w:lang w:val="sq-AL"/>
        </w:rPr>
      </w:pPr>
      <w:r w:rsidRPr="007207E4">
        <w:rPr>
          <w:spacing w:val="-4"/>
          <w:lang w:val="sq-AL"/>
        </w:rPr>
        <w:t xml:space="preserve">gj) nuk njofton menjëherë për defektin e ndodhur në pajisjen fiskale ose sistemin e monitorimit të qarkullimit dhe nuk plotëson në rregull librezën fiskale të defekteve, me gjobë në masën 25 000 (njëzet e pesë mijë) lekë.” </w:t>
      </w:r>
    </w:p>
    <w:p w:rsidR="004E1D39" w:rsidRPr="007207E4" w:rsidRDefault="004E1D39" w:rsidP="004E1D39">
      <w:pPr>
        <w:pStyle w:val="Paragrafi"/>
        <w:rPr>
          <w:spacing w:val="-4"/>
          <w:lang w:val="sq-AL"/>
        </w:rPr>
      </w:pPr>
      <w:r w:rsidRPr="007207E4">
        <w:rPr>
          <w:spacing w:val="-4"/>
          <w:lang w:val="sq-AL"/>
        </w:rPr>
        <w:t>35. Pas pikës 128, shtohet pika 128/1 si më poshtë:</w:t>
      </w:r>
    </w:p>
    <w:p w:rsidR="004E1D39" w:rsidRPr="007207E4" w:rsidRDefault="004E1D39" w:rsidP="004E1D39">
      <w:pPr>
        <w:pStyle w:val="Paragrafi"/>
        <w:rPr>
          <w:spacing w:val="-4"/>
          <w:lang w:val="sq-AL"/>
        </w:rPr>
      </w:pPr>
      <w:r w:rsidRPr="007207E4">
        <w:rPr>
          <w:spacing w:val="-4"/>
          <w:lang w:val="sq-AL"/>
        </w:rPr>
        <w:t xml:space="preserve">“128/1 “Dënime të tjera”  </w:t>
      </w:r>
    </w:p>
    <w:p w:rsidR="004E1D39" w:rsidRPr="007207E4" w:rsidRDefault="004E1D39" w:rsidP="004E1D39">
      <w:pPr>
        <w:pStyle w:val="Paragrafi"/>
        <w:rPr>
          <w:spacing w:val="-4"/>
          <w:lang w:val="sq-AL"/>
        </w:rPr>
      </w:pPr>
      <w:r w:rsidRPr="007207E4">
        <w:rPr>
          <w:spacing w:val="-4"/>
          <w:lang w:val="sq-AL"/>
        </w:rPr>
        <w:t xml:space="preserve">Për shkeljet e konstatuara në rastin kur përgjegjës për të aplikuar TVSH-në është personi i tatueshëm blerës nëpërmjet “autongarkesës së TVSH-së”, aplikohen dënimet si më poshtë:  </w:t>
      </w:r>
    </w:p>
    <w:p w:rsidR="004E1D39" w:rsidRPr="007207E4" w:rsidRDefault="004E1D39" w:rsidP="004E1D39">
      <w:pPr>
        <w:pStyle w:val="Paragrafi"/>
        <w:rPr>
          <w:spacing w:val="-4"/>
          <w:lang w:val="sq-AL"/>
        </w:rPr>
      </w:pPr>
      <w:r w:rsidRPr="007207E4">
        <w:rPr>
          <w:spacing w:val="-4"/>
          <w:lang w:val="sq-AL"/>
        </w:rPr>
        <w:t xml:space="preserve">a) Me gjobë në përputhje me nenin 118 të ligjit, kur ky person nuk ka lëshuar faturë me TVSH, sipas kërkesave të parashikuara në ligjin për TVSH-në, por moslëshimi i faturës nuk sjell pasoja në TVSH-në e pagueshme.  </w:t>
      </w:r>
    </w:p>
    <w:p w:rsidR="004E1D39" w:rsidRPr="007207E4" w:rsidRDefault="004E1D39" w:rsidP="004E1D39">
      <w:pPr>
        <w:pStyle w:val="Paragrafi"/>
        <w:rPr>
          <w:spacing w:val="-4"/>
          <w:lang w:val="sq-AL"/>
        </w:rPr>
      </w:pPr>
      <w:r w:rsidRPr="007207E4">
        <w:rPr>
          <w:spacing w:val="-4"/>
          <w:lang w:val="sq-AL"/>
        </w:rPr>
        <w:t xml:space="preserve">b) Me gjobë në përputhje me nenin 124 të ligjit, kur vepron sipas shkronjës “a”, të nenit 128/1, por në këtë rast, moslëshimi i faturës sjell pasoja në TVSH-në e pagueshme.  </w:t>
      </w:r>
    </w:p>
    <w:p w:rsidR="004E1D39" w:rsidRPr="007207E4" w:rsidRDefault="004E1D39" w:rsidP="004E1D39">
      <w:pPr>
        <w:pStyle w:val="Paragrafi"/>
        <w:rPr>
          <w:spacing w:val="-4"/>
          <w:lang w:val="sq-AL"/>
        </w:rPr>
      </w:pPr>
      <w:r w:rsidRPr="007207E4">
        <w:rPr>
          <w:spacing w:val="-4"/>
          <w:lang w:val="sq-AL"/>
        </w:rPr>
        <w:t xml:space="preserve">c) Me gjobë, në përputhje me pikën 1, të nenit 128 të ligjit, kur ky person ka lëshuar faturë tatimore jo në përputhje me kërkesat e parashikuara në ligjin për TVSH-në.  </w:t>
      </w:r>
    </w:p>
    <w:p w:rsidR="004E1D39" w:rsidRPr="007207E4" w:rsidRDefault="004E1D39" w:rsidP="004E1D39">
      <w:pPr>
        <w:pStyle w:val="Paragrafi"/>
        <w:rPr>
          <w:spacing w:val="-4"/>
          <w:lang w:val="sq-AL"/>
        </w:rPr>
      </w:pPr>
      <w:r w:rsidRPr="007207E4">
        <w:rPr>
          <w:spacing w:val="-4"/>
          <w:lang w:val="sq-AL"/>
        </w:rPr>
        <w:t>ç) Me gjobë në përputhje me nenin 115, të ligjit, kur ky person i tatueshëm ka lëshuar faturë me TVSH, sipas kërkesave të ligjit për TVSH-në dhe nuk e ka deklaruar atë duke sjellë pasoja në TVSH-në e pagueshme. ”.</w:t>
      </w:r>
    </w:p>
    <w:p w:rsidR="004E1D39" w:rsidRPr="007207E4" w:rsidRDefault="004E1D39" w:rsidP="004E1D39">
      <w:pPr>
        <w:pStyle w:val="Paragrafi"/>
        <w:rPr>
          <w:spacing w:val="-4"/>
          <w:lang w:val="sq-AL"/>
        </w:rPr>
      </w:pPr>
      <w:r w:rsidRPr="007207E4">
        <w:rPr>
          <w:spacing w:val="-4"/>
          <w:lang w:val="sq-AL"/>
        </w:rPr>
        <w:t>36. Kërkesat për rimbursim të TVSH-së të paraqitura para datës së hyrjes në fuqi të këtij udhëzimi, do të vazhdojnë të trajtohen nga Drejtoritë Rajonale Tatimore.</w:t>
      </w:r>
    </w:p>
    <w:p w:rsidR="004E1D39" w:rsidRPr="007207E4" w:rsidRDefault="004E1D39" w:rsidP="004E1D39">
      <w:pPr>
        <w:pStyle w:val="Paragrafi"/>
        <w:rPr>
          <w:spacing w:val="-4"/>
          <w:lang w:val="sq-AL"/>
        </w:rPr>
      </w:pPr>
      <w:r w:rsidRPr="007207E4">
        <w:rPr>
          <w:spacing w:val="-4"/>
          <w:lang w:val="sq-AL"/>
        </w:rPr>
        <w:t>37. Kërkesat për rimbursim të TVSH-së të paraqitura në bazë të këtij udhëzimi, do të trajtohen nga Drejtoria e Vlerësimit të të Ardhurave dhe Kontabilitetit, deri në krijimin e Drejtorisë së Rimbursimit të TVSH-së pranë Drejtorisë së Përgjithshme të Tatimeve.</w:t>
      </w:r>
    </w:p>
    <w:p w:rsidR="004E1D39" w:rsidRPr="007207E4" w:rsidRDefault="004E1D39" w:rsidP="004E1D39">
      <w:pPr>
        <w:pStyle w:val="Paragrafi"/>
        <w:rPr>
          <w:spacing w:val="-4"/>
          <w:lang w:val="sq-AL"/>
        </w:rPr>
      </w:pPr>
    </w:p>
    <w:p w:rsidR="004E1D39" w:rsidRPr="007207E4" w:rsidRDefault="004E1D39" w:rsidP="004E1D39">
      <w:pPr>
        <w:pStyle w:val="Paragrafi"/>
        <w:rPr>
          <w:spacing w:val="-4"/>
          <w:lang w:val="sq-AL"/>
        </w:rPr>
      </w:pPr>
      <w:r w:rsidRPr="007207E4">
        <w:rPr>
          <w:spacing w:val="-4"/>
          <w:lang w:val="sq-AL"/>
        </w:rPr>
        <w:t>Ky udhëzim hyn në fuqi me botimin në Fletoren Zyrtare</w:t>
      </w:r>
    </w:p>
    <w:p w:rsidR="004E1D39" w:rsidRPr="007207E4" w:rsidRDefault="004E1D39" w:rsidP="004E1D39">
      <w:pPr>
        <w:pStyle w:val="Paragrafi"/>
        <w:jc w:val="right"/>
        <w:rPr>
          <w:spacing w:val="-4"/>
          <w:sz w:val="14"/>
          <w:lang w:val="sq-AL"/>
        </w:rPr>
      </w:pPr>
    </w:p>
    <w:p w:rsidR="004E1D39" w:rsidRPr="007207E4" w:rsidRDefault="004E1D39" w:rsidP="004E1D39">
      <w:pPr>
        <w:pStyle w:val="Paragrafi"/>
        <w:jc w:val="right"/>
        <w:rPr>
          <w:spacing w:val="-4"/>
          <w:lang w:val="sq-AL"/>
        </w:rPr>
      </w:pPr>
      <w:r w:rsidRPr="007207E4">
        <w:rPr>
          <w:spacing w:val="-4"/>
          <w:lang w:val="sq-AL"/>
        </w:rPr>
        <w:t>MINISTRI I FINANCAVE</w:t>
      </w:r>
    </w:p>
    <w:p w:rsidR="004E1D39" w:rsidRPr="007207E4" w:rsidRDefault="004E1D39" w:rsidP="004E1D39">
      <w:pPr>
        <w:pStyle w:val="Paragrafi"/>
        <w:jc w:val="right"/>
        <w:rPr>
          <w:b/>
          <w:spacing w:val="-4"/>
          <w:lang w:val="sq-AL"/>
        </w:rPr>
      </w:pPr>
      <w:r w:rsidRPr="007207E4">
        <w:rPr>
          <w:b/>
          <w:spacing w:val="-4"/>
          <w:lang w:val="sq-AL"/>
        </w:rPr>
        <w:t>Shkëlqim Cani</w:t>
      </w:r>
    </w:p>
    <w:p w:rsidR="004E1D39" w:rsidRPr="007207E4" w:rsidRDefault="004E1D39" w:rsidP="004E1D39">
      <w:pPr>
        <w:pStyle w:val="Paragrafi"/>
        <w:jc w:val="right"/>
        <w:rPr>
          <w:b/>
          <w:spacing w:val="-4"/>
          <w:lang w:val="sq-AL"/>
        </w:rPr>
      </w:pPr>
    </w:p>
    <w:p w:rsidR="004E1D39" w:rsidRPr="007207E4" w:rsidRDefault="004E1D39" w:rsidP="004E1D39">
      <w:pPr>
        <w:pStyle w:val="Paragrafi"/>
        <w:jc w:val="right"/>
        <w:rPr>
          <w:b/>
          <w:spacing w:val="-4"/>
          <w:lang w:val="sq-AL"/>
        </w:rPr>
      </w:pPr>
    </w:p>
    <w:p w:rsidR="004E1D39" w:rsidRPr="007207E4" w:rsidRDefault="004E1D39" w:rsidP="004E1D39">
      <w:pPr>
        <w:pStyle w:val="Paragrafi"/>
        <w:jc w:val="right"/>
        <w:rPr>
          <w:b/>
          <w:spacing w:val="-4"/>
          <w:lang w:val="sq-AL"/>
        </w:rPr>
      </w:pPr>
    </w:p>
    <w:p w:rsidR="004E1D39" w:rsidRPr="007207E4" w:rsidRDefault="004E1D39" w:rsidP="004E1D39">
      <w:pPr>
        <w:pStyle w:val="Paragrafi"/>
        <w:jc w:val="right"/>
        <w:rPr>
          <w:b/>
          <w:spacing w:val="-4"/>
          <w:lang w:val="sq-AL"/>
        </w:rPr>
      </w:pPr>
    </w:p>
    <w:p w:rsidR="004E1D39" w:rsidRPr="007207E4" w:rsidRDefault="004E1D39" w:rsidP="004E1D39">
      <w:pPr>
        <w:pStyle w:val="Paragrafi"/>
        <w:jc w:val="right"/>
        <w:rPr>
          <w:b/>
          <w:spacing w:val="-4"/>
          <w:lang w:val="sq-AL"/>
        </w:rPr>
      </w:pPr>
    </w:p>
    <w:p w:rsidR="004E1D39" w:rsidRPr="007207E4" w:rsidRDefault="004E1D39" w:rsidP="004E1D39">
      <w:pPr>
        <w:pStyle w:val="Paragrafi"/>
        <w:jc w:val="right"/>
        <w:rPr>
          <w:b/>
          <w:spacing w:val="-4"/>
          <w:lang w:val="sq-AL"/>
        </w:rPr>
      </w:pPr>
    </w:p>
    <w:p w:rsidR="004E1D39" w:rsidRPr="007207E4" w:rsidRDefault="004E1D39" w:rsidP="004E1D39">
      <w:pPr>
        <w:rPr>
          <w:spacing w:val="-4"/>
          <w:lang w:val="sq-AL"/>
        </w:rPr>
        <w:sectPr w:rsidR="004E1D39" w:rsidRPr="007207E4" w:rsidSect="004E1D39">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1217"/>
          <w:cols w:space="454"/>
          <w:docGrid w:linePitch="360"/>
        </w:sectPr>
      </w:pPr>
    </w:p>
    <w:p w:rsidR="004E1D39" w:rsidRPr="007207E4" w:rsidRDefault="004E1D39" w:rsidP="004E1D39">
      <w:pPr>
        <w:rPr>
          <w:sz w:val="6"/>
          <w:lang w:val="sq-AL"/>
        </w:rPr>
      </w:pPr>
    </w:p>
    <w:p w:rsidR="004E1D39" w:rsidRPr="007207E4" w:rsidRDefault="004E1D39" w:rsidP="004E1D39">
      <w:pPr>
        <w:jc w:val="center"/>
        <w:rPr>
          <w:lang w:val="sq-AL"/>
        </w:rPr>
      </w:pPr>
      <w:r w:rsidRPr="007207E4">
        <w:rPr>
          <w:noProof/>
        </w:rPr>
        <w:drawing>
          <wp:inline distT="0" distB="0" distL="0" distR="0" wp14:anchorId="3476DAC4" wp14:editId="4EB353BD">
            <wp:extent cx="5565843" cy="6905548"/>
            <wp:effectExtent l="19050" t="0" r="0" b="0"/>
            <wp:docPr id="5" name="Picture 4" descr="Formular i kerkeses per rimburs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i kerkeses per rimbursim.jpg"/>
                    <pic:cNvPicPr/>
                  </pic:nvPicPr>
                  <pic:blipFill>
                    <a:blip r:embed="rId12" cstate="print"/>
                    <a:srcRect l="12397" t="9595" r="16884" b="17014"/>
                    <a:stretch>
                      <a:fillRect/>
                    </a:stretch>
                  </pic:blipFill>
                  <pic:spPr>
                    <a:xfrm>
                      <a:off x="0" y="0"/>
                      <a:ext cx="5575187" cy="6917141"/>
                    </a:xfrm>
                    <a:prstGeom prst="rect">
                      <a:avLst/>
                    </a:prstGeom>
                  </pic:spPr>
                </pic:pic>
              </a:graphicData>
            </a:graphic>
          </wp:inline>
        </w:drawing>
      </w:r>
    </w:p>
    <w:p w:rsidR="004E1D39" w:rsidRPr="007207E4" w:rsidRDefault="004E1D39" w:rsidP="004E1D39">
      <w:pPr>
        <w:rPr>
          <w:lang w:val="sq-AL"/>
        </w:rPr>
      </w:pPr>
    </w:p>
    <w:p w:rsidR="004E1D39" w:rsidRPr="007207E4" w:rsidRDefault="004E1D39" w:rsidP="004E1D39">
      <w:pPr>
        <w:rPr>
          <w:lang w:val="sq-AL"/>
        </w:rPr>
      </w:pPr>
      <w:r w:rsidRPr="007207E4">
        <w:rPr>
          <w:noProof/>
        </w:rPr>
        <w:lastRenderedPageBreak/>
        <w:drawing>
          <wp:inline distT="0" distB="0" distL="0" distR="0" wp14:anchorId="50A05EE3" wp14:editId="33651384">
            <wp:extent cx="6019800" cy="7708900"/>
            <wp:effectExtent l="19050" t="0" r="0" b="0"/>
            <wp:docPr id="14" name="Picture 12" descr="Formatet 1 2  per rimbursimin e tvsh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et 1 2  per rimbursimin e tvsh_Page_1.jpg"/>
                    <pic:cNvPicPr/>
                  </pic:nvPicPr>
                  <pic:blipFill>
                    <a:blip r:embed="rId13" cstate="print"/>
                    <a:srcRect l="9025" r="3734" b="12189"/>
                    <a:stretch>
                      <a:fillRect/>
                    </a:stretch>
                  </pic:blipFill>
                  <pic:spPr>
                    <a:xfrm>
                      <a:off x="0" y="0"/>
                      <a:ext cx="6019800" cy="7708900"/>
                    </a:xfrm>
                    <a:prstGeom prst="rect">
                      <a:avLst/>
                    </a:prstGeom>
                  </pic:spPr>
                </pic:pic>
              </a:graphicData>
            </a:graphic>
          </wp:inline>
        </w:drawing>
      </w:r>
    </w:p>
    <w:p w:rsidR="004E1D39" w:rsidRPr="007207E4" w:rsidRDefault="004E1D39" w:rsidP="004E1D39">
      <w:pPr>
        <w:rPr>
          <w:lang w:val="sq-AL"/>
        </w:rPr>
      </w:pPr>
    </w:p>
    <w:p w:rsidR="004E1D39" w:rsidRPr="007207E4" w:rsidRDefault="004E1D39" w:rsidP="004E1D39">
      <w:pPr>
        <w:rPr>
          <w:lang w:val="sq-AL"/>
        </w:rPr>
      </w:pPr>
    </w:p>
    <w:p w:rsidR="004E1D39" w:rsidRPr="007207E4" w:rsidRDefault="004E1D39" w:rsidP="004E1D39">
      <w:pPr>
        <w:rPr>
          <w:lang w:val="sq-AL"/>
        </w:rPr>
      </w:pPr>
      <w:r w:rsidRPr="007207E4">
        <w:rPr>
          <w:noProof/>
        </w:rPr>
        <w:lastRenderedPageBreak/>
        <w:drawing>
          <wp:inline distT="0" distB="0" distL="0" distR="0" wp14:anchorId="47AA7BC1" wp14:editId="725A7BEB">
            <wp:extent cx="5905500" cy="7610475"/>
            <wp:effectExtent l="19050" t="0" r="0" b="0"/>
            <wp:docPr id="15" name="Picture 10" descr="Formatet 1 2  per rimbursimin e tvsh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et 1 2  per rimbursimin e tvsh_Page_2.jpg"/>
                    <pic:cNvPicPr/>
                  </pic:nvPicPr>
                  <pic:blipFill>
                    <a:blip r:embed="rId14" cstate="print"/>
                    <a:srcRect l="7621" t="7332" r="4355" b="5288"/>
                    <a:stretch>
                      <a:fillRect/>
                    </a:stretch>
                  </pic:blipFill>
                  <pic:spPr>
                    <a:xfrm>
                      <a:off x="0" y="0"/>
                      <a:ext cx="5905500" cy="7610475"/>
                    </a:xfrm>
                    <a:prstGeom prst="rect">
                      <a:avLst/>
                    </a:prstGeom>
                  </pic:spPr>
                </pic:pic>
              </a:graphicData>
            </a:graphic>
          </wp:inline>
        </w:drawing>
      </w:r>
    </w:p>
    <w:p w:rsidR="004E1D39" w:rsidRPr="007207E4" w:rsidRDefault="004E1D39" w:rsidP="004E1D39">
      <w:pPr>
        <w:rPr>
          <w:lang w:val="sq-AL"/>
        </w:rPr>
      </w:pPr>
    </w:p>
    <w:p w:rsidR="004E1D39" w:rsidRPr="007207E4" w:rsidRDefault="004E1D39" w:rsidP="004E1D39">
      <w:pPr>
        <w:rPr>
          <w:lang w:val="sq-AL"/>
        </w:rPr>
      </w:pPr>
      <w:r w:rsidRPr="007207E4">
        <w:rPr>
          <w:noProof/>
        </w:rPr>
        <w:lastRenderedPageBreak/>
        <w:drawing>
          <wp:inline distT="0" distB="0" distL="0" distR="0" wp14:anchorId="1450DA4A" wp14:editId="7CD2FC5B">
            <wp:extent cx="6121400" cy="8225528"/>
            <wp:effectExtent l="19050" t="0" r="0" b="0"/>
            <wp:docPr id="10" name="Picture 9" descr="Formati 3 njoftim për miratimin e rimbursimit të tvsh-së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i 3 njoftim për miratimin e rimbursimit të tvsh-së_Page_1.jpg"/>
                    <pic:cNvPicPr/>
                  </pic:nvPicPr>
                  <pic:blipFill>
                    <a:blip r:embed="rId15" cstate="print"/>
                    <a:srcRect b="4893"/>
                    <a:stretch>
                      <a:fillRect/>
                    </a:stretch>
                  </pic:blipFill>
                  <pic:spPr>
                    <a:xfrm>
                      <a:off x="0" y="0"/>
                      <a:ext cx="6121400" cy="8225528"/>
                    </a:xfrm>
                    <a:prstGeom prst="rect">
                      <a:avLst/>
                    </a:prstGeom>
                  </pic:spPr>
                </pic:pic>
              </a:graphicData>
            </a:graphic>
          </wp:inline>
        </w:drawing>
      </w:r>
    </w:p>
    <w:p w:rsidR="004E1D39" w:rsidRPr="007207E4" w:rsidRDefault="004E1D39" w:rsidP="004E1D39">
      <w:pPr>
        <w:rPr>
          <w:lang w:val="sq-AL"/>
        </w:rPr>
      </w:pPr>
    </w:p>
    <w:p w:rsidR="000F6EA9" w:rsidRDefault="000F6EA9"/>
    <w:sectPr w:rsidR="000F6EA9" w:rsidSect="004E1D3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D39" w:rsidRDefault="004E1D39" w:rsidP="004E1D39">
      <w:pPr>
        <w:spacing w:after="0" w:line="240" w:lineRule="auto"/>
      </w:pPr>
      <w:r>
        <w:separator/>
      </w:r>
    </w:p>
  </w:endnote>
  <w:endnote w:type="continuationSeparator" w:id="0">
    <w:p w:rsidR="004E1D39" w:rsidRDefault="004E1D39" w:rsidP="004E1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A24656" w:rsidRPr="00B4283E" w:rsidRDefault="004E1D39"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11234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A24656" w:rsidRPr="005B4361" w:rsidRDefault="004E1D39" w:rsidP="00BB433C">
        <w:pPr>
          <w:pStyle w:val="Footer"/>
          <w:ind w:firstLine="0"/>
          <w:jc w:val="right"/>
          <w:rPr>
            <w:rFonts w:ascii="Garamond" w:hAnsi="Garamond"/>
            <w:sz w:val="24"/>
            <w:szCs w:val="24"/>
          </w:rPr>
        </w:pPr>
        <w:r w:rsidRPr="005B4361">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A24656" w:rsidRPr="00833610" w:rsidRDefault="004E1D3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A24656" w:rsidRDefault="00BE74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D39" w:rsidRDefault="004E1D39" w:rsidP="004E1D39">
      <w:pPr>
        <w:spacing w:after="0" w:line="240" w:lineRule="auto"/>
      </w:pPr>
      <w:r>
        <w:separator/>
      </w:r>
    </w:p>
  </w:footnote>
  <w:footnote w:type="continuationSeparator" w:id="0">
    <w:p w:rsidR="004E1D39" w:rsidRDefault="004E1D39" w:rsidP="004E1D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24656" w:rsidRPr="00EB260B" w:rsidTr="00F36D8E">
      <w:trPr>
        <w:trHeight w:val="936"/>
        <w:jc w:val="center"/>
      </w:trPr>
      <w:tc>
        <w:tcPr>
          <w:tcW w:w="2811" w:type="dxa"/>
          <w:shd w:val="pct5" w:color="auto" w:fill="F2F2F2"/>
          <w:vAlign w:val="center"/>
        </w:tcPr>
        <w:p w:rsidR="00A24656" w:rsidRPr="00EB260B" w:rsidRDefault="004E1D39"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A24656" w:rsidRPr="00EB260B" w:rsidRDefault="004E1D39"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115531E1" wp14:editId="0C6743E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A24656" w:rsidRPr="00EB260B" w:rsidRDefault="004E1D39"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156 </w:t>
          </w:r>
        </w:p>
      </w:tc>
    </w:tr>
  </w:tbl>
  <w:p w:rsidR="00A24656" w:rsidRPr="00385E2C" w:rsidRDefault="00BE740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656" w:rsidRDefault="00BE740A"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D39"/>
    <w:rsid w:val="000F6EA9"/>
    <w:rsid w:val="004E1D39"/>
    <w:rsid w:val="00BE74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D3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E1D3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E1D39"/>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E1D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D39"/>
    <w:rPr>
      <w:rFonts w:ascii="Calibri" w:eastAsia="Calibri" w:hAnsi="Calibri" w:cs="Times New Roman"/>
      <w:lang w:val="en-US"/>
    </w:rPr>
  </w:style>
  <w:style w:type="paragraph" w:styleId="Footer">
    <w:name w:val="footer"/>
    <w:basedOn w:val="Normal"/>
    <w:link w:val="FooterChar"/>
    <w:uiPriority w:val="99"/>
    <w:unhideWhenUsed/>
    <w:rsid w:val="004E1D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D39"/>
    <w:rPr>
      <w:rFonts w:ascii="Calibri" w:eastAsia="Calibri" w:hAnsi="Calibri" w:cs="Times New Roman"/>
      <w:lang w:val="en-US"/>
    </w:rPr>
  </w:style>
  <w:style w:type="paragraph" w:customStyle="1" w:styleId="Akti">
    <w:name w:val="Akti"/>
    <w:link w:val="AktiChar"/>
    <w:rsid w:val="004E1D39"/>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4E1D39"/>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4E1D39"/>
    <w:rPr>
      <w:rFonts w:ascii="Garamond" w:eastAsia="MS Mincho" w:hAnsi="Garamond" w:cs="CG Times"/>
      <w:b/>
      <w:bCs/>
      <w:sz w:val="24"/>
    </w:rPr>
  </w:style>
  <w:style w:type="paragraph" w:customStyle="1" w:styleId="Paragrafi">
    <w:name w:val="Paragrafi"/>
    <w:link w:val="ParagrafiChar"/>
    <w:rsid w:val="004E1D3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E1D39"/>
    <w:rPr>
      <w:rFonts w:ascii="Garamond" w:eastAsia="MS Mincho" w:hAnsi="Garamond" w:cs="CG Times"/>
      <w:sz w:val="24"/>
      <w:lang w:val="en-US"/>
    </w:rPr>
  </w:style>
  <w:style w:type="paragraph" w:customStyle="1" w:styleId="Titulli">
    <w:name w:val="Titulli"/>
    <w:next w:val="Normal"/>
    <w:link w:val="TitulliChar"/>
    <w:rsid w:val="004E1D39"/>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4E1D39"/>
    <w:rPr>
      <w:rFonts w:ascii="Garamond" w:eastAsia="MS Mincho" w:hAnsi="Garamond" w:cs="CG Times"/>
      <w:b/>
      <w:bCs/>
      <w:caps/>
      <w:sz w:val="24"/>
    </w:rPr>
  </w:style>
  <w:style w:type="character" w:customStyle="1" w:styleId="AktiChar">
    <w:name w:val="Akti Char"/>
    <w:basedOn w:val="DefaultParagraphFont"/>
    <w:link w:val="Akti"/>
    <w:rsid w:val="004E1D39"/>
    <w:rPr>
      <w:rFonts w:ascii="Garamond" w:eastAsia="MS Mincho" w:hAnsi="Garamond" w:cs="CG Times"/>
      <w:b/>
      <w:bCs/>
      <w:caps/>
      <w:color w:val="000000"/>
      <w:sz w:val="24"/>
    </w:rPr>
  </w:style>
  <w:style w:type="paragraph" w:customStyle="1" w:styleId="Titull-Titull">
    <w:name w:val="Titull-Titull"/>
    <w:basedOn w:val="Paragrafi"/>
    <w:qFormat/>
    <w:rsid w:val="004E1D39"/>
    <w:pPr>
      <w:ind w:firstLine="0"/>
      <w:jc w:val="center"/>
    </w:pPr>
    <w:rPr>
      <w:caps/>
      <w:szCs w:val="24"/>
    </w:rPr>
  </w:style>
  <w:style w:type="paragraph" w:styleId="BalloonText">
    <w:name w:val="Balloon Text"/>
    <w:basedOn w:val="Normal"/>
    <w:link w:val="BalloonTextChar"/>
    <w:uiPriority w:val="99"/>
    <w:semiHidden/>
    <w:unhideWhenUsed/>
    <w:rsid w:val="004E1D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D39"/>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D3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E1D3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E1D39"/>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E1D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D39"/>
    <w:rPr>
      <w:rFonts w:ascii="Calibri" w:eastAsia="Calibri" w:hAnsi="Calibri" w:cs="Times New Roman"/>
      <w:lang w:val="en-US"/>
    </w:rPr>
  </w:style>
  <w:style w:type="paragraph" w:styleId="Footer">
    <w:name w:val="footer"/>
    <w:basedOn w:val="Normal"/>
    <w:link w:val="FooterChar"/>
    <w:uiPriority w:val="99"/>
    <w:unhideWhenUsed/>
    <w:rsid w:val="004E1D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D39"/>
    <w:rPr>
      <w:rFonts w:ascii="Calibri" w:eastAsia="Calibri" w:hAnsi="Calibri" w:cs="Times New Roman"/>
      <w:lang w:val="en-US"/>
    </w:rPr>
  </w:style>
  <w:style w:type="paragraph" w:customStyle="1" w:styleId="Akti">
    <w:name w:val="Akti"/>
    <w:link w:val="AktiChar"/>
    <w:rsid w:val="004E1D39"/>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4E1D39"/>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4E1D39"/>
    <w:rPr>
      <w:rFonts w:ascii="Garamond" w:eastAsia="MS Mincho" w:hAnsi="Garamond" w:cs="CG Times"/>
      <w:b/>
      <w:bCs/>
      <w:sz w:val="24"/>
    </w:rPr>
  </w:style>
  <w:style w:type="paragraph" w:customStyle="1" w:styleId="Paragrafi">
    <w:name w:val="Paragrafi"/>
    <w:link w:val="ParagrafiChar"/>
    <w:rsid w:val="004E1D3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E1D39"/>
    <w:rPr>
      <w:rFonts w:ascii="Garamond" w:eastAsia="MS Mincho" w:hAnsi="Garamond" w:cs="CG Times"/>
      <w:sz w:val="24"/>
      <w:lang w:val="en-US"/>
    </w:rPr>
  </w:style>
  <w:style w:type="paragraph" w:customStyle="1" w:styleId="Titulli">
    <w:name w:val="Titulli"/>
    <w:next w:val="Normal"/>
    <w:link w:val="TitulliChar"/>
    <w:rsid w:val="004E1D39"/>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4E1D39"/>
    <w:rPr>
      <w:rFonts w:ascii="Garamond" w:eastAsia="MS Mincho" w:hAnsi="Garamond" w:cs="CG Times"/>
      <w:b/>
      <w:bCs/>
      <w:caps/>
      <w:sz w:val="24"/>
    </w:rPr>
  </w:style>
  <w:style w:type="character" w:customStyle="1" w:styleId="AktiChar">
    <w:name w:val="Akti Char"/>
    <w:basedOn w:val="DefaultParagraphFont"/>
    <w:link w:val="Akti"/>
    <w:rsid w:val="004E1D39"/>
    <w:rPr>
      <w:rFonts w:ascii="Garamond" w:eastAsia="MS Mincho" w:hAnsi="Garamond" w:cs="CG Times"/>
      <w:b/>
      <w:bCs/>
      <w:caps/>
      <w:color w:val="000000"/>
      <w:sz w:val="24"/>
    </w:rPr>
  </w:style>
  <w:style w:type="paragraph" w:customStyle="1" w:styleId="Titull-Titull">
    <w:name w:val="Titull-Titull"/>
    <w:basedOn w:val="Paragrafi"/>
    <w:qFormat/>
    <w:rsid w:val="004E1D39"/>
    <w:pPr>
      <w:ind w:firstLine="0"/>
      <w:jc w:val="center"/>
    </w:pPr>
    <w:rPr>
      <w:caps/>
      <w:szCs w:val="24"/>
    </w:rPr>
  </w:style>
  <w:style w:type="paragraph" w:styleId="BalloonText">
    <w:name w:val="Balloon Text"/>
    <w:basedOn w:val="Normal"/>
    <w:link w:val="BalloonTextChar"/>
    <w:uiPriority w:val="99"/>
    <w:semiHidden/>
    <w:unhideWhenUsed/>
    <w:rsid w:val="004E1D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D39"/>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4408</Words>
  <Characters>25129</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29479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2019-01-30T14:22:00Z</cp:lastPrinted>
  <dcterms:created xsi:type="dcterms:W3CDTF">2016-01-21T13:09:00Z</dcterms:created>
  <dcterms:modified xsi:type="dcterms:W3CDTF">2019-01-30T14:22:00Z</dcterms:modified>
</cp:coreProperties>
</file>