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4E3B" w:rsidRPr="007207E4" w:rsidRDefault="00D24E3B" w:rsidP="00D24E3B">
      <w:pPr>
        <w:pStyle w:val="Akti"/>
        <w:rPr>
          <w:lang w:val="sq-AL"/>
        </w:rPr>
      </w:pPr>
      <w:bookmarkStart w:id="0" w:name="_GoBack"/>
      <w:bookmarkEnd w:id="0"/>
      <w:r w:rsidRPr="007207E4">
        <w:rPr>
          <w:lang w:val="sq-AL"/>
        </w:rPr>
        <w:t>UDHËZIM</w:t>
      </w:r>
    </w:p>
    <w:p w:rsidR="00D24E3B" w:rsidRPr="007207E4" w:rsidRDefault="00D24E3B" w:rsidP="00D24E3B">
      <w:pPr>
        <w:pStyle w:val="NumriData"/>
        <w:rPr>
          <w:lang w:val="sq-AL"/>
        </w:rPr>
      </w:pPr>
      <w:r w:rsidRPr="007207E4">
        <w:rPr>
          <w:lang w:val="sq-AL"/>
        </w:rPr>
        <w:t>Nr. 6/4, datë 4.9.2015</w:t>
      </w:r>
    </w:p>
    <w:p w:rsidR="00D24E3B" w:rsidRPr="007207E4" w:rsidRDefault="00D24E3B" w:rsidP="00D24E3B">
      <w:pPr>
        <w:pStyle w:val="Paragrafi"/>
        <w:jc w:val="center"/>
        <w:rPr>
          <w:b/>
          <w:spacing w:val="-4"/>
          <w:sz w:val="14"/>
          <w:lang w:val="sq-AL"/>
        </w:rPr>
      </w:pPr>
    </w:p>
    <w:p w:rsidR="00D24E3B" w:rsidRPr="007207E4" w:rsidRDefault="00D24E3B" w:rsidP="00D24E3B">
      <w:pPr>
        <w:pStyle w:val="Titulli"/>
        <w:rPr>
          <w:lang w:val="sq-AL"/>
        </w:rPr>
      </w:pPr>
      <w:r w:rsidRPr="007207E4">
        <w:rPr>
          <w:lang w:val="sq-AL"/>
        </w:rPr>
        <w:t>PËR DISA NDRYSHIME NË UDHËZIMIN NR. 6, DATË 30.1.2015, “PËR TATIMIN MBI VLERËN E SHTUAR NË REPUBLIKËN E SHQIPËRISË”, TË NDRYSHUAR</w:t>
      </w:r>
    </w:p>
    <w:p w:rsidR="00D24E3B" w:rsidRPr="007207E4" w:rsidRDefault="00D24E3B" w:rsidP="00D24E3B">
      <w:pPr>
        <w:pStyle w:val="Paragrafi"/>
        <w:rPr>
          <w:spacing w:val="-4"/>
          <w:sz w:val="14"/>
          <w:lang w:val="sq-AL"/>
        </w:rPr>
      </w:pPr>
    </w:p>
    <w:p w:rsidR="00D24E3B" w:rsidRPr="007207E4" w:rsidRDefault="00D24E3B" w:rsidP="00D24E3B">
      <w:pPr>
        <w:pStyle w:val="Paragrafi"/>
        <w:rPr>
          <w:spacing w:val="-4"/>
          <w:lang w:val="sq-AL"/>
        </w:rPr>
      </w:pPr>
      <w:r w:rsidRPr="007207E4">
        <w:rPr>
          <w:spacing w:val="-4"/>
          <w:lang w:val="sq-AL"/>
        </w:rPr>
        <w:t>Në mbështetje të nenit 102, pika 4, të Kushtetutës së Republikës së Shqipërisë, të ligjit nr. 92/2014, datë 24.7.2014, “Për tatimin mbi vlerën e shtuar në Republikën e Shqipërisë”, ministri i Financave</w:t>
      </w:r>
    </w:p>
    <w:p w:rsidR="00D24E3B" w:rsidRPr="007207E4" w:rsidRDefault="00D24E3B" w:rsidP="00D24E3B">
      <w:pPr>
        <w:pStyle w:val="Titull-Titull"/>
        <w:rPr>
          <w:lang w:val="sq-AL"/>
        </w:rPr>
      </w:pPr>
      <w:r w:rsidRPr="007207E4">
        <w:rPr>
          <w:lang w:val="sq-AL"/>
        </w:rPr>
        <w:t>UDHËZON:</w:t>
      </w:r>
    </w:p>
    <w:p w:rsidR="00D24E3B" w:rsidRPr="007207E4" w:rsidRDefault="00D24E3B" w:rsidP="00D24E3B">
      <w:pPr>
        <w:pStyle w:val="Paragrafi"/>
        <w:rPr>
          <w:sz w:val="14"/>
          <w:lang w:val="sq-AL"/>
        </w:rPr>
      </w:pPr>
    </w:p>
    <w:p w:rsidR="00D24E3B" w:rsidRPr="007207E4" w:rsidRDefault="00D24E3B" w:rsidP="00D24E3B">
      <w:pPr>
        <w:pStyle w:val="NeniNr"/>
        <w:rPr>
          <w:lang w:val="sq-AL"/>
        </w:rPr>
      </w:pPr>
      <w:r w:rsidRPr="007207E4">
        <w:rPr>
          <w:lang w:val="sq-AL"/>
        </w:rPr>
        <w:t>Neni 1</w:t>
      </w:r>
    </w:p>
    <w:p w:rsidR="00D24E3B" w:rsidRPr="007207E4" w:rsidRDefault="00D24E3B" w:rsidP="00D24E3B">
      <w:pPr>
        <w:pStyle w:val="Paragrafi"/>
        <w:rPr>
          <w:sz w:val="14"/>
          <w:lang w:val="sq-AL"/>
        </w:rPr>
      </w:pPr>
    </w:p>
    <w:p w:rsidR="00D24E3B" w:rsidRPr="007207E4" w:rsidRDefault="00D24E3B" w:rsidP="00D24E3B">
      <w:pPr>
        <w:pStyle w:val="Paragrafi"/>
        <w:rPr>
          <w:spacing w:val="-4"/>
          <w:lang w:val="sq-AL"/>
        </w:rPr>
      </w:pPr>
      <w:r w:rsidRPr="007207E4">
        <w:rPr>
          <w:spacing w:val="-4"/>
          <w:lang w:val="sq-AL"/>
        </w:rPr>
        <w:t>Në pikën 3, të nenit 48, “Eksporte”, kudo në përmbajtje, togfjalëshi “Drejtoria Rajonale Tatimore”, zëvendësohet me “Drejtoria e Rimbursimit të TVSH-së në Drejtorinë e Përgjithshme të Tatimeve”.</w:t>
      </w:r>
    </w:p>
    <w:p w:rsidR="00D24E3B" w:rsidRPr="007207E4" w:rsidRDefault="00D24E3B" w:rsidP="00D24E3B">
      <w:pPr>
        <w:pStyle w:val="Paragrafi"/>
        <w:rPr>
          <w:sz w:val="14"/>
          <w:lang w:val="sq-AL"/>
        </w:rPr>
      </w:pPr>
    </w:p>
    <w:p w:rsidR="00D24E3B" w:rsidRPr="007207E4" w:rsidRDefault="00D24E3B" w:rsidP="00D24E3B">
      <w:pPr>
        <w:pStyle w:val="NeniNr"/>
        <w:rPr>
          <w:lang w:val="sq-AL"/>
        </w:rPr>
      </w:pPr>
      <w:r w:rsidRPr="007207E4">
        <w:rPr>
          <w:lang w:val="sq-AL"/>
        </w:rPr>
        <w:t>Neni 2</w:t>
      </w:r>
    </w:p>
    <w:p w:rsidR="00D24E3B" w:rsidRPr="007207E4" w:rsidRDefault="00D24E3B" w:rsidP="00D24E3B">
      <w:pPr>
        <w:pStyle w:val="Paragrafi"/>
        <w:rPr>
          <w:sz w:val="14"/>
          <w:lang w:val="sq-AL"/>
        </w:rPr>
      </w:pPr>
    </w:p>
    <w:p w:rsidR="00D24E3B" w:rsidRPr="007207E4" w:rsidRDefault="00D24E3B" w:rsidP="00D24E3B">
      <w:pPr>
        <w:pStyle w:val="Paragrafi"/>
        <w:rPr>
          <w:lang w:val="sq-AL"/>
        </w:rPr>
      </w:pPr>
      <w:r w:rsidRPr="007207E4">
        <w:rPr>
          <w:lang w:val="sq-AL"/>
        </w:rPr>
        <w:t>Në neni 49, “Procedura e rimbursimit për mallrat në bagazhin personal të udhëtarit”, bëhen ndryshimet e mëposhtme:</w:t>
      </w:r>
    </w:p>
    <w:p w:rsidR="00D24E3B" w:rsidRPr="007207E4" w:rsidRDefault="00D24E3B" w:rsidP="00D24E3B">
      <w:pPr>
        <w:pStyle w:val="Paragrafi"/>
        <w:rPr>
          <w:lang w:val="sq-AL"/>
        </w:rPr>
      </w:pPr>
      <w:r w:rsidRPr="007207E4">
        <w:rPr>
          <w:lang w:val="sq-AL"/>
        </w:rPr>
        <w:t>Në paragrafin e parafundit, togfjalëshi “Drejtorisë Rajonale Tatimore” zëvendësohet me togfjalëshin “Drejtorisë së Rimbursimit të TVSH-së në Drejtorinë e Përgjithshme të Tatimeve”.</w:t>
      </w:r>
    </w:p>
    <w:p w:rsidR="00D24E3B" w:rsidRPr="007207E4" w:rsidRDefault="00D24E3B" w:rsidP="00D24E3B">
      <w:pPr>
        <w:pStyle w:val="Paragrafi"/>
        <w:rPr>
          <w:spacing w:val="-4"/>
          <w:lang w:val="sq-AL"/>
        </w:rPr>
      </w:pPr>
      <w:r w:rsidRPr="007207E4">
        <w:rPr>
          <w:spacing w:val="-4"/>
          <w:lang w:val="sq-AL"/>
        </w:rPr>
        <w:t>Në germën “b”, të pikës 5, togfjalëshi “90 ditë kalendarike” zëvendësohet me togfjalëshin “3 muaj”.</w:t>
      </w:r>
    </w:p>
    <w:p w:rsidR="00D24E3B" w:rsidRPr="007207E4" w:rsidRDefault="00D24E3B" w:rsidP="00D24E3B">
      <w:pPr>
        <w:pStyle w:val="NeniNr"/>
        <w:rPr>
          <w:lang w:val="sq-AL"/>
        </w:rPr>
      </w:pPr>
      <w:r w:rsidRPr="007207E4">
        <w:rPr>
          <w:lang w:val="sq-AL"/>
        </w:rPr>
        <w:t>Neni 3</w:t>
      </w:r>
    </w:p>
    <w:p w:rsidR="00D24E3B" w:rsidRPr="007207E4" w:rsidRDefault="00D24E3B" w:rsidP="00D24E3B">
      <w:pPr>
        <w:pStyle w:val="Paragrafi"/>
        <w:rPr>
          <w:spacing w:val="-4"/>
          <w:sz w:val="14"/>
          <w:lang w:val="sq-AL"/>
        </w:rPr>
      </w:pPr>
    </w:p>
    <w:p w:rsidR="00D24E3B" w:rsidRPr="007207E4" w:rsidRDefault="00D24E3B" w:rsidP="00D24E3B">
      <w:pPr>
        <w:pStyle w:val="Paragrafi"/>
        <w:rPr>
          <w:spacing w:val="-4"/>
          <w:lang w:val="sq-AL"/>
        </w:rPr>
      </w:pPr>
      <w:r w:rsidRPr="007207E4">
        <w:rPr>
          <w:spacing w:val="-4"/>
          <w:lang w:val="sq-AL"/>
        </w:rPr>
        <w:t xml:space="preserve">Neni 62 ndryshohet si më poshtë: </w:t>
      </w:r>
    </w:p>
    <w:p w:rsidR="00D24E3B" w:rsidRPr="007207E4" w:rsidRDefault="00D24E3B" w:rsidP="00D24E3B">
      <w:pPr>
        <w:pStyle w:val="Paragrafi"/>
        <w:rPr>
          <w:spacing w:val="-4"/>
          <w:sz w:val="14"/>
          <w:lang w:val="sq-AL"/>
        </w:rPr>
      </w:pPr>
    </w:p>
    <w:p w:rsidR="00D24E3B" w:rsidRPr="007207E4" w:rsidRDefault="00D24E3B" w:rsidP="00D24E3B">
      <w:pPr>
        <w:pStyle w:val="NeniNr"/>
        <w:rPr>
          <w:lang w:val="sq-AL"/>
        </w:rPr>
      </w:pPr>
      <w:r w:rsidRPr="007207E4">
        <w:rPr>
          <w:lang w:val="sq-AL"/>
        </w:rPr>
        <w:t>“Neni 62</w:t>
      </w:r>
    </w:p>
    <w:p w:rsidR="00D24E3B" w:rsidRPr="007207E4" w:rsidRDefault="00D24E3B" w:rsidP="00D24E3B">
      <w:pPr>
        <w:pStyle w:val="NeniTitull"/>
        <w:rPr>
          <w:lang w:val="sq-AL"/>
        </w:rPr>
      </w:pPr>
      <w:r w:rsidRPr="007207E4">
        <w:rPr>
          <w:lang w:val="sq-AL"/>
        </w:rPr>
        <w:t>Rimbursimi i TVSH-së</w:t>
      </w:r>
    </w:p>
    <w:p w:rsidR="00D24E3B" w:rsidRPr="007207E4" w:rsidRDefault="00D24E3B" w:rsidP="00D24E3B">
      <w:pPr>
        <w:pStyle w:val="NeniTitull"/>
        <w:rPr>
          <w:lang w:val="sq-AL"/>
        </w:rPr>
      </w:pPr>
      <w:r w:rsidRPr="007207E4">
        <w:rPr>
          <w:lang w:val="sq-AL"/>
        </w:rPr>
        <w:t>Rregullat dhe procedura e rimbursimit</w:t>
      </w:r>
    </w:p>
    <w:p w:rsidR="00D24E3B" w:rsidRPr="007207E4" w:rsidRDefault="00D24E3B" w:rsidP="00D24E3B">
      <w:pPr>
        <w:pStyle w:val="Paragrafi"/>
        <w:rPr>
          <w:spacing w:val="-4"/>
          <w:sz w:val="14"/>
          <w:lang w:val="sq-AL"/>
        </w:rPr>
      </w:pPr>
    </w:p>
    <w:p w:rsidR="00D24E3B" w:rsidRPr="007207E4" w:rsidRDefault="00D24E3B" w:rsidP="00D24E3B">
      <w:pPr>
        <w:pStyle w:val="Paragrafi"/>
        <w:rPr>
          <w:spacing w:val="-4"/>
          <w:lang w:val="sq-AL"/>
        </w:rPr>
      </w:pPr>
      <w:r w:rsidRPr="007207E4">
        <w:rPr>
          <w:spacing w:val="-6"/>
          <w:lang w:val="sq-AL"/>
        </w:rPr>
        <w:t>Sikurse përcaktohet në nenin 1 të ligjit nr. 90/2015, datë 23.7.2015, “Për një ndryshim në ligjin nr. 92/2014, “Për tatimin mbi vlerën e shtuar në RSH”, procedura e rimbursimit të TVSH-së kryhet siç përcaktohet në ligjin për procedurat tatimore  dhe udhëzimin nr. 24, datë 2.9.2008, “Për procedurat tatimore në RSH”, të ndryshuar”</w:t>
      </w:r>
      <w:r w:rsidRPr="007207E4">
        <w:rPr>
          <w:spacing w:val="-4"/>
          <w:lang w:val="sq-AL"/>
        </w:rPr>
        <w:t xml:space="preserve"> ”.</w:t>
      </w:r>
    </w:p>
    <w:p w:rsidR="00D24E3B" w:rsidRPr="007207E4" w:rsidRDefault="00D24E3B" w:rsidP="00D24E3B">
      <w:pPr>
        <w:pStyle w:val="NeniNr"/>
        <w:rPr>
          <w:sz w:val="14"/>
          <w:lang w:val="sq-AL"/>
        </w:rPr>
      </w:pPr>
    </w:p>
    <w:p w:rsidR="00D24E3B" w:rsidRPr="007207E4" w:rsidRDefault="00D24E3B" w:rsidP="00D24E3B">
      <w:pPr>
        <w:pStyle w:val="NeniNr"/>
        <w:rPr>
          <w:lang w:val="sq-AL"/>
        </w:rPr>
      </w:pPr>
      <w:r w:rsidRPr="007207E4">
        <w:rPr>
          <w:lang w:val="sq-AL"/>
        </w:rPr>
        <w:t>Neni 4</w:t>
      </w:r>
    </w:p>
    <w:p w:rsidR="00D24E3B" w:rsidRPr="007207E4" w:rsidRDefault="00D24E3B" w:rsidP="00D24E3B">
      <w:pPr>
        <w:pStyle w:val="Paragrafi"/>
        <w:rPr>
          <w:spacing w:val="-4"/>
          <w:sz w:val="14"/>
          <w:lang w:val="sq-AL"/>
        </w:rPr>
      </w:pPr>
    </w:p>
    <w:p w:rsidR="00D24E3B" w:rsidRPr="007207E4" w:rsidRDefault="00D24E3B" w:rsidP="00D24E3B">
      <w:pPr>
        <w:pStyle w:val="Paragrafi"/>
        <w:rPr>
          <w:spacing w:val="-4"/>
          <w:lang w:val="sq-AL"/>
        </w:rPr>
      </w:pPr>
      <w:r w:rsidRPr="007207E4">
        <w:rPr>
          <w:spacing w:val="-4"/>
          <w:lang w:val="sq-AL"/>
        </w:rPr>
        <w:t>Neni 63, “Rimbursimi për marrëveshjet financiare” ndryshon si më poshtë:</w:t>
      </w:r>
      <w:r w:rsidRPr="007207E4">
        <w:rPr>
          <w:spacing w:val="-4"/>
          <w:lang w:val="sq-AL"/>
        </w:rPr>
        <w:tab/>
      </w:r>
      <w:r w:rsidRPr="007207E4">
        <w:rPr>
          <w:spacing w:val="-4"/>
          <w:lang w:val="sq-AL"/>
        </w:rPr>
        <w:tab/>
      </w:r>
      <w:r w:rsidRPr="007207E4">
        <w:rPr>
          <w:spacing w:val="-4"/>
          <w:lang w:val="sq-AL"/>
        </w:rPr>
        <w:tab/>
      </w:r>
      <w:r w:rsidRPr="007207E4">
        <w:rPr>
          <w:spacing w:val="-4"/>
          <w:lang w:val="sq-AL"/>
        </w:rPr>
        <w:tab/>
      </w:r>
    </w:p>
    <w:p w:rsidR="00D24E3B" w:rsidRPr="007207E4" w:rsidRDefault="00D24E3B" w:rsidP="00D24E3B">
      <w:pPr>
        <w:pStyle w:val="Paragrafi"/>
        <w:rPr>
          <w:spacing w:val="-4"/>
          <w:lang w:val="sq-AL"/>
        </w:rPr>
      </w:pPr>
      <w:r w:rsidRPr="007207E4">
        <w:rPr>
          <w:spacing w:val="-6"/>
          <w:lang w:val="sq-AL"/>
        </w:rPr>
        <w:t>“</w:t>
      </w:r>
      <w:r w:rsidRPr="007207E4">
        <w:rPr>
          <w:spacing w:val="-4"/>
          <w:lang w:val="sq-AL"/>
        </w:rPr>
        <w:t>Në rastet e parashikuara në pikën 2, të nenit 77 të ligjit, nëse kërkesa për rimbursim është bërë në kuadër të marrëveshjeve financiare të ratifikuara nga Kuvendi ose në kuadër të marrëveshjeve të granteve të miratuara nga Këshilli i Ministrave, në të cilat parashikohet mospërdorimi i burimeve financiare të huaja për të paguar taksa e tatime, tatimi mbi vlerën e shtuar i paguar u rimbursohet financuesve të huaj nëpërmjet sistemit të thesarit brenda 30 ditëve, sipas rregullave të përcaktuara në këtë udhëzim. Rimbursimi i kryer për këto raste nuk i nënshtrohet analizës së riskut dhe kontrolli tatimor për rimbursimin e kryer nuk është i detyrueshëm përpara rimbursimit.</w:t>
      </w:r>
    </w:p>
    <w:p w:rsidR="00D24E3B" w:rsidRPr="007207E4" w:rsidRDefault="00D24E3B" w:rsidP="00D24E3B">
      <w:pPr>
        <w:pStyle w:val="Paragrafi"/>
        <w:rPr>
          <w:spacing w:val="-4"/>
          <w:lang w:val="sq-AL"/>
        </w:rPr>
      </w:pPr>
      <w:r w:rsidRPr="007207E4">
        <w:rPr>
          <w:spacing w:val="-4"/>
          <w:lang w:val="sq-AL"/>
        </w:rPr>
        <w:t>Çdo procedurë për rimbursimin apo për financimin e TVSH-së për rastet e mëposhtme, pavarësisht nëse kryhen nga Drejtoria e Përgjithshme e Tatimeve apo financohen sipas procedurave të vendimit të Këshillit të Ministrave nr. 509, datë 12.8.1996, nga përfituesi vendës, do të përfundojë brenda 30 ditëve, përfshirë edhe rimbursimin e shumave nga strukturat përgjegjëse të Thesarit.</w:t>
      </w:r>
    </w:p>
    <w:p w:rsidR="00D24E3B" w:rsidRPr="007207E4" w:rsidRDefault="00D24E3B" w:rsidP="00D24E3B">
      <w:pPr>
        <w:pStyle w:val="Paragrafi"/>
        <w:rPr>
          <w:spacing w:val="-4"/>
          <w:lang w:val="sq-AL"/>
        </w:rPr>
      </w:pPr>
      <w:r w:rsidRPr="007207E4">
        <w:rPr>
          <w:spacing w:val="-4"/>
          <w:lang w:val="sq-AL"/>
        </w:rPr>
        <w:t>1. Kur pavarësisht përjashtimit, TVSH-ja përballohet (paguhet) direkt nga donatori:</w:t>
      </w:r>
    </w:p>
    <w:p w:rsidR="00D24E3B" w:rsidRPr="007207E4" w:rsidRDefault="00D24E3B" w:rsidP="00D24E3B">
      <w:pPr>
        <w:pStyle w:val="Paragrafi"/>
        <w:rPr>
          <w:spacing w:val="-4"/>
          <w:lang w:val="sq-AL"/>
        </w:rPr>
      </w:pPr>
      <w:r w:rsidRPr="007207E4">
        <w:rPr>
          <w:spacing w:val="-4"/>
          <w:lang w:val="sq-AL"/>
        </w:rPr>
        <w:t>a) Kur projekti realizohet (zbatohet) nga vetë njësia zbatuese</w:t>
      </w:r>
    </w:p>
    <w:p w:rsidR="009C2D09" w:rsidRDefault="009C2D09" w:rsidP="00D24E3B">
      <w:pPr>
        <w:pStyle w:val="Paragrafi"/>
        <w:rPr>
          <w:spacing w:val="-4"/>
          <w:lang w:val="sq-AL"/>
        </w:rPr>
      </w:pPr>
    </w:p>
    <w:p w:rsidR="00D24E3B" w:rsidRPr="007207E4" w:rsidRDefault="00D24E3B" w:rsidP="00D24E3B">
      <w:pPr>
        <w:pStyle w:val="Paragrafi"/>
        <w:rPr>
          <w:spacing w:val="-4"/>
          <w:lang w:val="sq-AL"/>
        </w:rPr>
      </w:pPr>
      <w:r w:rsidRPr="007207E4">
        <w:rPr>
          <w:spacing w:val="-4"/>
          <w:lang w:val="sq-AL"/>
        </w:rPr>
        <w:lastRenderedPageBreak/>
        <w:t>Njësia zbatuese e projektit për qëllime të rimbursimit të TVSH-së duhet të pajiset me NIPT (certifikatë regjistrimi) në drejtorinë rajonale tatimore përkatëse dhe të dorëzojë deklaratën e TVSH-së në përputhje me ligjin. Njësia zbatuese e projektit çregjistrohet në përfundim të afatit të projektit. TVSH-ja mbulohet (përballohet) direkt nga njësia zbatuese e donatorit apo e projektit në Shqipëri si për blerjet brenda vendit, ashtu dhe për importet, njësia paraqet në Drejtorinë e Rimbursimit të TVSH-së në DPT,  doku-mentacionin e mëposhtëm:</w:t>
      </w:r>
    </w:p>
    <w:p w:rsidR="00D24E3B" w:rsidRPr="007207E4" w:rsidRDefault="00D24E3B" w:rsidP="00D24E3B">
      <w:pPr>
        <w:pStyle w:val="Paragrafi"/>
        <w:rPr>
          <w:spacing w:val="-4"/>
          <w:lang w:val="sq-AL"/>
        </w:rPr>
      </w:pPr>
      <w:r w:rsidRPr="007207E4">
        <w:rPr>
          <w:spacing w:val="-4"/>
          <w:lang w:val="sq-AL"/>
        </w:rPr>
        <w:t>1. Kërkesën për rimbursim, ku theksohet shuma e rimbursimit që kërkohet, veprimtaria e kryer, arsyet për rimbursim etj.</w:t>
      </w:r>
    </w:p>
    <w:p w:rsidR="00D24E3B" w:rsidRPr="007207E4" w:rsidRDefault="00D24E3B" w:rsidP="00D24E3B">
      <w:pPr>
        <w:pStyle w:val="Paragrafi"/>
        <w:rPr>
          <w:spacing w:val="-4"/>
          <w:lang w:val="sq-AL"/>
        </w:rPr>
      </w:pPr>
      <w:r w:rsidRPr="007207E4">
        <w:rPr>
          <w:spacing w:val="-4"/>
          <w:lang w:val="sq-AL"/>
        </w:rPr>
        <w:t>2. Kopjen në shqip të noterizuar të marrëveshjes së ratifikuar në Kuvend ose të marrëveshjes së miratuar nga qeveria. Kontrata e projektit, e hartuar në kuadër të marrëveshjes, duhet të përmbajë emërtimin e projektit apo të projekteve, shumën totale për secilin prej tyre, afatin kohor të fillimit e të përfundimit të projektit. Kopja e kontratës shoqërohet edhe me listën (emrin dhe mbiemrin) e përfaqësuesve zyrtarë të çdo projekti.</w:t>
      </w:r>
    </w:p>
    <w:p w:rsidR="00D24E3B" w:rsidRPr="007207E4" w:rsidRDefault="00D24E3B" w:rsidP="00D24E3B">
      <w:pPr>
        <w:pStyle w:val="Paragrafi"/>
        <w:rPr>
          <w:spacing w:val="-4"/>
          <w:lang w:val="sq-AL"/>
        </w:rPr>
      </w:pPr>
      <w:r w:rsidRPr="007207E4">
        <w:rPr>
          <w:spacing w:val="-4"/>
          <w:lang w:val="sq-AL"/>
        </w:rPr>
        <w:t>3. Deklaratat e TVSH-së, teprica kreditore e mbartur e të cilave duhet të jetë e barabartë me shumën e TVSH-së që kërkohet të rimbursohet.</w:t>
      </w:r>
    </w:p>
    <w:p w:rsidR="00D24E3B" w:rsidRPr="007207E4" w:rsidRDefault="00D24E3B" w:rsidP="00D24E3B">
      <w:pPr>
        <w:pStyle w:val="Paragrafi"/>
        <w:rPr>
          <w:spacing w:val="-4"/>
          <w:lang w:val="sq-AL"/>
        </w:rPr>
      </w:pPr>
      <w:r w:rsidRPr="007207E4">
        <w:rPr>
          <w:spacing w:val="-4"/>
          <w:lang w:val="sq-AL"/>
        </w:rPr>
        <w:t>4. Faturat origjinale të blerjes (në rastin e blerjeve brenda vendit) dhe deklaratat origjinale doganore (për rastet e importeve). Si faturat, ashtu dhe deklaratat doganore të importit, duhet të përmbajnë në mënyrë shumë të dukshme shënimin “Blerja/importi bëhet në kuadrin e marrëveshjes së ratifikuar në Kuvend ose të miratuar nga Këshilli i Ministrave, me nr. __, datë __. __. 20__ dhe për qëllimet e përcaktuara në këtë marrëveshje”. Ky shënim do të bëhet nga përfaqësuesi zyrtar i njësisë së zbatimit të projektit, i njohur nga drejtoria rajonale e tatimeve, në bazë të listës së mësipërme, i cili veç kësaj duhet të shënojë në faturë edhe emrin, mbiemrin dhe nënshkrimin e tij.</w:t>
      </w:r>
    </w:p>
    <w:p w:rsidR="00D24E3B" w:rsidRPr="007207E4" w:rsidRDefault="00D24E3B" w:rsidP="00D24E3B">
      <w:pPr>
        <w:pStyle w:val="Paragrafi"/>
        <w:rPr>
          <w:spacing w:val="-4"/>
          <w:lang w:val="sq-AL"/>
        </w:rPr>
      </w:pPr>
      <w:r w:rsidRPr="007207E4">
        <w:rPr>
          <w:spacing w:val="-4"/>
          <w:lang w:val="sq-AL"/>
        </w:rPr>
        <w:t>b) Kur projekti realizohet nga sipërmarrës të kontraktuar nga njësia zbatuese</w:t>
      </w:r>
    </w:p>
    <w:p w:rsidR="00D24E3B" w:rsidRPr="007207E4" w:rsidRDefault="00D24E3B" w:rsidP="00D24E3B">
      <w:pPr>
        <w:pStyle w:val="Paragrafi"/>
        <w:rPr>
          <w:spacing w:val="-4"/>
          <w:lang w:val="sq-AL"/>
        </w:rPr>
      </w:pPr>
      <w:r w:rsidRPr="007207E4">
        <w:rPr>
          <w:spacing w:val="-4"/>
          <w:lang w:val="sq-AL"/>
        </w:rPr>
        <w:t>Në këtë rast, në kuadër të zbatimit të projektit, është shoqëria sipërmarrëse e punimeve, e cila për zbatimin e projektit sipas kontratës zbaton TVSH-në mbi vlerën e punimeve, shërbimeve apo furnizimit të mallrave të kryer. Shoqëria sipërmarrëse nga TVSH-ja e faturuar zbret TVSH-në e paguar në blerjet që ka bërë për këtë qëllim, të përballuar nga vetë ajo dhe diferenca përfaqëson TVSH-në e pagueshme nga kjo shoqëri, TVSH-ja, e cila deklarohet dhe paguhet sipas ligjit. Faturën origjinale të shitjes, së bashku me situacionin e punimeve, shoqëria sipërmarrëse e punimeve ia paraqet njësisë zbatuese të projektit.</w:t>
      </w:r>
    </w:p>
    <w:p w:rsidR="00D24E3B" w:rsidRPr="007207E4" w:rsidRDefault="00D24E3B" w:rsidP="00D24E3B">
      <w:pPr>
        <w:pStyle w:val="Paragrafi"/>
        <w:rPr>
          <w:spacing w:val="-4"/>
          <w:lang w:val="sq-AL"/>
        </w:rPr>
      </w:pPr>
      <w:r w:rsidRPr="007207E4">
        <w:rPr>
          <w:spacing w:val="-4"/>
          <w:lang w:val="sq-AL"/>
        </w:rPr>
        <w:t>Njësia zbatuese e projektit, për qëllime të rimbursimit të TVSH-së, duhet të pajiset me NIPT (certifikatë regjistrimi) në drejtorinë rajonale tatimore përkatëse dhe të dorëzojë deklaratën e TVSH-së në përputhje me ligjin. Njësia zbatuese e projektit çregjistrohet në përfundim të afatit të projektit. Njësia zbatuese e projektit paraqet në Drejtorinë e Rimbursimit të TVSH-së në DPT  dokumentacionin e mëposhtëm:</w:t>
      </w:r>
    </w:p>
    <w:p w:rsidR="00D24E3B" w:rsidRPr="007207E4" w:rsidRDefault="00D24E3B" w:rsidP="00D24E3B">
      <w:pPr>
        <w:pStyle w:val="Paragrafi"/>
        <w:rPr>
          <w:spacing w:val="-4"/>
          <w:lang w:val="sq-AL"/>
        </w:rPr>
      </w:pPr>
      <w:r w:rsidRPr="007207E4">
        <w:rPr>
          <w:spacing w:val="-4"/>
          <w:lang w:val="sq-AL"/>
        </w:rPr>
        <w:t>1. Kërkesën për rimbursim, ku theksohet shuma e rimbursimit që kërkohet, veprimtaria e kryer, arsyet për rimbursim etj.</w:t>
      </w:r>
    </w:p>
    <w:p w:rsidR="00D24E3B" w:rsidRPr="007207E4" w:rsidRDefault="00D24E3B" w:rsidP="00D24E3B">
      <w:pPr>
        <w:pStyle w:val="Paragrafi"/>
        <w:rPr>
          <w:spacing w:val="-4"/>
          <w:lang w:val="sq-AL"/>
        </w:rPr>
      </w:pPr>
      <w:r w:rsidRPr="007207E4">
        <w:rPr>
          <w:spacing w:val="-4"/>
          <w:lang w:val="sq-AL"/>
        </w:rPr>
        <w:t>2. Kopjen në shqip të noterizuar të marrëveshjes së ratifikuar në Kuvend ose të marrëveshjes së miratuar nga qeveria. Kontrata e projektit, e hartuar në kuadër të marrëveshjes, duhet të përmbajë emërtimin e projektit apo të projekteve, shumën totale për secilin prej tyre, afatin kohor të fillimit e të përfundimit të projektit. Kopja e kontratës shoqërohet edhe me listën (emrin dhe mbiemrin) e përfaqësuesve zyrtarë të çdo projekti.</w:t>
      </w:r>
    </w:p>
    <w:p w:rsidR="00D24E3B" w:rsidRPr="007207E4" w:rsidRDefault="00D24E3B" w:rsidP="00D24E3B">
      <w:pPr>
        <w:pStyle w:val="Paragrafi"/>
        <w:rPr>
          <w:spacing w:val="-4"/>
          <w:lang w:val="sq-AL"/>
        </w:rPr>
      </w:pPr>
      <w:r w:rsidRPr="007207E4">
        <w:rPr>
          <w:spacing w:val="-4"/>
          <w:lang w:val="sq-AL"/>
        </w:rPr>
        <w:t>3. Deklaratat e TVSH-së, teprica kreditore e mbartur e të cilave duhet të jetë e barabartë me shumën e TVSH-së që kërkohet të rimbursohet.</w:t>
      </w:r>
    </w:p>
    <w:p w:rsidR="00D24E3B" w:rsidRPr="007207E4" w:rsidRDefault="00D24E3B" w:rsidP="00D24E3B">
      <w:pPr>
        <w:pStyle w:val="Paragrafi"/>
        <w:rPr>
          <w:spacing w:val="-4"/>
          <w:lang w:val="sq-AL"/>
        </w:rPr>
      </w:pPr>
      <w:r w:rsidRPr="007207E4">
        <w:rPr>
          <w:spacing w:val="-4"/>
          <w:lang w:val="sq-AL"/>
        </w:rPr>
        <w:t>4. Faturat origjinale të blerjes (në rastin e blerjeve brenda vendit) dhe deklaratat origjinale doganore (për rastet e importeve). Si faturat, ashtu dhe deklaratat doganore të importit, duhet të përmbajnë në mënyrë shumë të dukshme shënimin “Blerja/importi bëhet në kuadrin e marrëveshjes së ratifikuar në Kuvend ose të miratuar nga Këshilli i Ministrave me nr. __, datë __. __. 20__ dhe për qëllimet e përcaktuara në këtë marrëveshje”. Ky shënim do të bëhet nga përfaqësuesi zyrtar i njësisë së zbatimit të projektit, i njohur nga drejtoria rajonale e tatimeve, në bazë të listës së mësipërme, i cili veç kësaj duhet të shënojë në faturë edhe emrin, mbiemrin dhe nënshkrimin e tij.</w:t>
      </w:r>
    </w:p>
    <w:p w:rsidR="00D24E3B" w:rsidRPr="007207E4" w:rsidRDefault="00D24E3B" w:rsidP="00D24E3B">
      <w:pPr>
        <w:pStyle w:val="Paragrafi"/>
        <w:rPr>
          <w:spacing w:val="-4"/>
          <w:lang w:val="sq-AL"/>
        </w:rPr>
      </w:pPr>
      <w:r w:rsidRPr="007207E4">
        <w:rPr>
          <w:spacing w:val="-4"/>
          <w:lang w:val="sq-AL"/>
        </w:rPr>
        <w:lastRenderedPageBreak/>
        <w:t>2. TVSH-ja përballohet nga përfituesi vendës i projektit si kosto lokale</w:t>
      </w:r>
    </w:p>
    <w:p w:rsidR="00D24E3B" w:rsidRPr="007207E4" w:rsidRDefault="00D24E3B" w:rsidP="00D24E3B">
      <w:pPr>
        <w:pStyle w:val="Paragrafi"/>
        <w:rPr>
          <w:spacing w:val="-4"/>
          <w:lang w:val="sq-AL"/>
        </w:rPr>
      </w:pPr>
      <w:r w:rsidRPr="007207E4">
        <w:rPr>
          <w:spacing w:val="-4"/>
          <w:lang w:val="sq-AL"/>
        </w:rPr>
        <w:t>Kryerja e punimeve, furnizimi i mallrave apo i shërbimeve për zbatimin e projekteve do të ngarkohet kurdoherë me TVSH-në, e cila në çdo rast do të paguhet nga shoqëria sipërmarrëse e kontraktuar për zbatimin e projektit. Por kjo TVSH do t’i jepet atij përkundrejt paraqitjes së faturës (situacionit) me TVSH-në nga burime të brendshme të financuara nga kosto lokale sipas vendimit të Këshillit të Ministrave nr. 509, datë 12.8.1996. Kështu, kur donatori nuk merr përsipër të përballojë pagesën e TVSH-së, do të veprohet në përputhje me VKM-në nr. 509, datë 12.8.1996. Në bazë të këtij vendimi, TVSH-ja financohet nga përfituesi apo investitori vendës i projektit dhe paguhet nga shoqëria sipërmarrëse e punimeve për zbatimin e projektit.</w:t>
      </w:r>
    </w:p>
    <w:p w:rsidR="00D24E3B" w:rsidRPr="007207E4" w:rsidRDefault="00D24E3B" w:rsidP="00D24E3B">
      <w:pPr>
        <w:pStyle w:val="Paragrafi"/>
        <w:rPr>
          <w:spacing w:val="-4"/>
          <w:lang w:val="sq-AL"/>
        </w:rPr>
      </w:pPr>
      <w:r w:rsidRPr="007207E4">
        <w:rPr>
          <w:spacing w:val="-4"/>
          <w:lang w:val="sq-AL"/>
        </w:rPr>
        <w:t>Tatimi mbi vlerën e shtuar për importimin e materialeve ushtarake për Forcat e Armatosura, të dhuruara nga vendet anëtare të Aleancës së NATO-s apo partnerët, paguhet si kosto lokale nga Ministria e Mbrojtjes.</w:t>
      </w:r>
    </w:p>
    <w:p w:rsidR="00D24E3B" w:rsidRPr="007207E4" w:rsidRDefault="00D24E3B" w:rsidP="00D24E3B">
      <w:pPr>
        <w:pStyle w:val="Paragrafi"/>
        <w:rPr>
          <w:spacing w:val="-4"/>
          <w:lang w:val="sq-AL"/>
        </w:rPr>
      </w:pPr>
      <w:r w:rsidRPr="007207E4">
        <w:rPr>
          <w:spacing w:val="-4"/>
          <w:lang w:val="sq-AL"/>
        </w:rPr>
        <w:t>3. Në rastin e zbatimit të Marrëveshjeve kuadër “Mbi bashkëpunim dhe zhvillim”, midis Këshillit të Ministrave të Republikës së Shqipërisë dhe qeverisë së Republikës së Italisë dhe qeverisë së Republikës së Austrisë, financimet në kuadër të këtyre marrëveshjeve janë të përjashtuara nga TVSH-ja. TVSH-ja do të financohet nga përfituesi vendës në territorin e Republikës së Shqipërisë dhe faturohet e paguhet nga shoqëria sipërmarrëse e furnizimeve për zbatimin e projektit. Skema e zbatimit të TVSH-së do të bëhet në përputhje me vendimin e Këshillit të Ministrave nr. 509, datë 12.8.1996 “Për mënyrën e përballimit të TVSH-së që lidhet me zbatimin e projekteve të financuara nga donatorë e organizma të ndryshëm ndërkombëtarë”.</w:t>
      </w:r>
    </w:p>
    <w:p w:rsidR="00D24E3B" w:rsidRPr="007207E4" w:rsidRDefault="00D24E3B" w:rsidP="00D24E3B">
      <w:pPr>
        <w:pStyle w:val="Paragrafi"/>
        <w:rPr>
          <w:spacing w:val="-4"/>
          <w:lang w:val="sq-AL"/>
        </w:rPr>
      </w:pPr>
      <w:r w:rsidRPr="007207E4">
        <w:rPr>
          <w:spacing w:val="-4"/>
          <w:lang w:val="sq-AL"/>
        </w:rPr>
        <w:t xml:space="preserve">Në zbatim të nenit 26, të ligjit nr. 9840, datë 10.12.2007 “Për ratifikimin e “Marrëveshjes kuadër ndërmjet Këshillit të Ministrave të Republikës së Shqipërisë dhe Komisionit të Komuniteteve Evropiane për rregullat e bashkëpunimit për asistencën për Shqipërinë, në kuadër të zbatimit të Instrumentit të Parazgjerimit (IPA)”” dhe nenit 28 të ligjit nr. 37/2015 “Për ratifikimin e marrëveshjes kuadër ndërmjet Republikës së Shqipërisë, përfaqësuar nga Këshilli i Ministrave i Republikës së Shqipërisë dhe Komisionit Europian për rregullat e zbatimit të mbështetjes financiare të BE-së për Shqipërinë, në kuadër të Instrumentit për Asistencën e Paraanëtarësimit (IPA II), kontratorët (organizatat jofitimprurëse) e projekteve të financuara nga IPA rimbursohen nga Drejtoria e  Rimbursimit të TVSH-së në DPT për TVSH-në e paguar në blerjen e mallrave dhe shërbimeve në kuadër të të tilla projekteve, pas dorëzimit të kërkesës për rimbursim TVSH-je dhe dokumenteve të tjera të nevojshme sipas këtij udhëzimi. </w:t>
      </w:r>
    </w:p>
    <w:p w:rsidR="00D24E3B" w:rsidRPr="007207E4" w:rsidRDefault="00D24E3B" w:rsidP="00D24E3B">
      <w:pPr>
        <w:pStyle w:val="Paragrafi"/>
        <w:rPr>
          <w:spacing w:val="-4"/>
          <w:lang w:val="sq-AL"/>
        </w:rPr>
      </w:pPr>
      <w:r w:rsidRPr="007207E4">
        <w:rPr>
          <w:spacing w:val="-4"/>
          <w:lang w:val="sq-AL"/>
        </w:rPr>
        <w:t xml:space="preserve">Me lidhjen e kontratës me delegacionin e KE-së në Tiranë, OJF-të duhet të bëjnë një kërkesë pranë drejtorisë rajonale tatimore ku janë të regjistruar si OJF, për regjistrim për efekt rimbursimi TVSH-je në kuadër të zbatimit të projektit IPA, duke i bashkëlidhur dokumentet e mëposhtme: </w:t>
      </w:r>
    </w:p>
    <w:p w:rsidR="00D24E3B" w:rsidRPr="007207E4" w:rsidRDefault="00D24E3B" w:rsidP="00D24E3B">
      <w:pPr>
        <w:pStyle w:val="Paragrafi"/>
        <w:rPr>
          <w:spacing w:val="-4"/>
          <w:lang w:val="sq-AL"/>
        </w:rPr>
      </w:pPr>
      <w:r w:rsidRPr="007207E4">
        <w:rPr>
          <w:spacing w:val="-4"/>
          <w:lang w:val="sq-AL"/>
        </w:rPr>
        <w:t xml:space="preserve">a) Një kopje të kontratës së noterizuar midis OJF-ve dhe delegacionit të KE-së në Tiranë, në gjuhën shqipe dhe angleze; </w:t>
      </w:r>
    </w:p>
    <w:p w:rsidR="00D24E3B" w:rsidRPr="007207E4" w:rsidRDefault="00D24E3B" w:rsidP="00D24E3B">
      <w:pPr>
        <w:pStyle w:val="Paragrafi"/>
        <w:rPr>
          <w:spacing w:val="-4"/>
          <w:lang w:val="sq-AL"/>
        </w:rPr>
      </w:pPr>
      <w:r w:rsidRPr="007207E4">
        <w:rPr>
          <w:spacing w:val="-4"/>
          <w:lang w:val="sq-AL"/>
        </w:rPr>
        <w:t xml:space="preserve">b) Emrin e projektit në gjuhën shqipe dhe angleze; </w:t>
      </w:r>
    </w:p>
    <w:p w:rsidR="00D24E3B" w:rsidRPr="007207E4" w:rsidRDefault="00D24E3B" w:rsidP="00D24E3B">
      <w:pPr>
        <w:pStyle w:val="Paragrafi"/>
        <w:rPr>
          <w:spacing w:val="-4"/>
          <w:lang w:val="sq-AL"/>
        </w:rPr>
      </w:pPr>
      <w:r w:rsidRPr="007207E4">
        <w:rPr>
          <w:spacing w:val="-4"/>
          <w:lang w:val="sq-AL"/>
        </w:rPr>
        <w:t xml:space="preserve">c) Shumën e grantit për projektin përkatës dhe periudha e kohëzgjatjes; </w:t>
      </w:r>
    </w:p>
    <w:p w:rsidR="00D24E3B" w:rsidRPr="007207E4" w:rsidRDefault="00D24E3B" w:rsidP="00D24E3B">
      <w:pPr>
        <w:pStyle w:val="Paragrafi"/>
        <w:rPr>
          <w:spacing w:val="-4"/>
          <w:lang w:val="sq-AL"/>
        </w:rPr>
      </w:pPr>
      <w:r w:rsidRPr="007207E4">
        <w:rPr>
          <w:spacing w:val="-4"/>
          <w:lang w:val="sq-AL"/>
        </w:rPr>
        <w:t xml:space="preserve">d) Emrin e organizatës jofitimprurëse përgjegjëse për projektin; </w:t>
      </w:r>
    </w:p>
    <w:p w:rsidR="00D24E3B" w:rsidRPr="007207E4" w:rsidRDefault="00D24E3B" w:rsidP="00D24E3B">
      <w:pPr>
        <w:pStyle w:val="Paragrafi"/>
        <w:rPr>
          <w:spacing w:val="-4"/>
          <w:lang w:val="sq-AL"/>
        </w:rPr>
      </w:pPr>
      <w:r w:rsidRPr="007207E4">
        <w:rPr>
          <w:spacing w:val="-4"/>
          <w:lang w:val="sq-AL"/>
        </w:rPr>
        <w:t xml:space="preserve">e) Dokumentacion që provon statusin jofitimprurës të organizatës. </w:t>
      </w:r>
    </w:p>
    <w:p w:rsidR="00D24E3B" w:rsidRPr="007207E4" w:rsidRDefault="00D24E3B" w:rsidP="00D24E3B">
      <w:pPr>
        <w:pStyle w:val="Paragrafi"/>
        <w:rPr>
          <w:spacing w:val="-4"/>
          <w:lang w:val="sq-AL"/>
        </w:rPr>
      </w:pPr>
      <w:r w:rsidRPr="007207E4">
        <w:rPr>
          <w:spacing w:val="-4"/>
          <w:lang w:val="sq-AL"/>
        </w:rPr>
        <w:t xml:space="preserve">Drejtoria rajonale tatimore regjistron në një regjistër të veçantë të tilla OJF për efekt të rimbursimit të TVSH-së së paguar në kuadër të këtyre projekteve dhe lëshon për OJF-të një certifikatë të regjistrimit të projektit për efekt të rimbursimit të TVSH-së sipas formatit nr. 6 bashkëlidhur këtij udhëzimi. Një kopje e kësaj certifikate i përcillet delegacionit të KE-së në Tiranë dhe Drejtorisë së Rimbursimit të TVSH-së në DPT. </w:t>
      </w:r>
    </w:p>
    <w:p w:rsidR="00D24E3B" w:rsidRPr="007207E4" w:rsidRDefault="00D24E3B" w:rsidP="00D24E3B">
      <w:pPr>
        <w:pStyle w:val="Paragrafi"/>
        <w:rPr>
          <w:spacing w:val="-4"/>
          <w:lang w:val="sq-AL"/>
        </w:rPr>
      </w:pPr>
      <w:bookmarkStart w:id="1" w:name="67"/>
      <w:bookmarkEnd w:id="1"/>
      <w:r w:rsidRPr="007207E4">
        <w:rPr>
          <w:spacing w:val="-4"/>
          <w:lang w:val="sq-AL"/>
        </w:rPr>
        <w:t xml:space="preserve">Organizata jofitimprurëse i paraqet Drejtorisë së Rimbursimit të TVSH-së, në DPT, kërkesën për rimbursimin e TVSH-së së paguar për zbatimin e kësaj kontrate, duke i bashkëlidhur dokumentet e mëposhtme: </w:t>
      </w:r>
    </w:p>
    <w:p w:rsidR="00D24E3B" w:rsidRPr="007207E4" w:rsidRDefault="00D24E3B" w:rsidP="00D24E3B">
      <w:pPr>
        <w:pStyle w:val="Paragrafi"/>
        <w:rPr>
          <w:spacing w:val="-4"/>
          <w:lang w:val="sq-AL"/>
        </w:rPr>
      </w:pPr>
      <w:r w:rsidRPr="007207E4">
        <w:rPr>
          <w:spacing w:val="-4"/>
          <w:lang w:val="sq-AL"/>
        </w:rPr>
        <w:t xml:space="preserve">1. Certifikatën e regjistrimit për efekt të rimbursimit të TVSH-së; </w:t>
      </w:r>
    </w:p>
    <w:p w:rsidR="00D24E3B" w:rsidRPr="007207E4" w:rsidRDefault="00D24E3B" w:rsidP="00D24E3B">
      <w:pPr>
        <w:pStyle w:val="Paragrafi"/>
        <w:rPr>
          <w:spacing w:val="-4"/>
          <w:lang w:val="sq-AL"/>
        </w:rPr>
      </w:pPr>
      <w:r w:rsidRPr="007207E4">
        <w:rPr>
          <w:spacing w:val="-4"/>
          <w:lang w:val="sq-AL"/>
        </w:rPr>
        <w:t xml:space="preserve">2. Kopje të faturave origjinale të blerjeve të mallrave dhe shërbimeve në kuadër të zbatimit të projektit; </w:t>
      </w:r>
    </w:p>
    <w:p w:rsidR="00D24E3B" w:rsidRPr="007207E4" w:rsidRDefault="00D24E3B" w:rsidP="00D24E3B">
      <w:pPr>
        <w:pStyle w:val="Paragrafi"/>
        <w:rPr>
          <w:spacing w:val="-4"/>
          <w:lang w:val="sq-AL"/>
        </w:rPr>
      </w:pPr>
      <w:r w:rsidRPr="007207E4">
        <w:rPr>
          <w:spacing w:val="-4"/>
          <w:lang w:val="sq-AL"/>
        </w:rPr>
        <w:lastRenderedPageBreak/>
        <w:t xml:space="preserve">3. Vërtetimin e lëshuar nga Komisioni Evropian së bashku me listën e konfirmuar të të gjitha faturave të detajuara për shpenzimet e kryera nga OJF-të në kuadër të projektit të financuar nga IPA. </w:t>
      </w:r>
    </w:p>
    <w:p w:rsidR="00D24E3B" w:rsidRPr="007207E4" w:rsidRDefault="00D24E3B" w:rsidP="00D24E3B">
      <w:pPr>
        <w:pStyle w:val="Paragrafi"/>
        <w:rPr>
          <w:spacing w:val="-4"/>
          <w:lang w:val="sq-AL"/>
        </w:rPr>
      </w:pPr>
      <w:r w:rsidRPr="007207E4">
        <w:rPr>
          <w:spacing w:val="-4"/>
          <w:lang w:val="sq-AL"/>
        </w:rPr>
        <w:t xml:space="preserve">Brenda 30 ditëve pas marrjes së kërkesës dhe verifikimit të shumës së pretenduar, Drejtoria e rimbursimit të TVSH-së, në DPT procedon me rimbursimin e TVSH-së. </w:t>
      </w:r>
    </w:p>
    <w:p w:rsidR="00D24E3B" w:rsidRPr="007207E4" w:rsidRDefault="00D24E3B" w:rsidP="00D24E3B">
      <w:pPr>
        <w:pStyle w:val="Paragrafi"/>
        <w:rPr>
          <w:spacing w:val="-4"/>
          <w:lang w:val="sq-AL"/>
        </w:rPr>
      </w:pPr>
    </w:p>
    <w:p w:rsidR="00D24E3B" w:rsidRPr="007207E4" w:rsidRDefault="00D24E3B" w:rsidP="00D24E3B">
      <w:pPr>
        <w:pStyle w:val="Paragrafi"/>
        <w:rPr>
          <w:spacing w:val="-4"/>
          <w:lang w:val="sq-AL"/>
        </w:rPr>
      </w:pPr>
      <w:r w:rsidRPr="007207E4">
        <w:rPr>
          <w:spacing w:val="-4"/>
          <w:lang w:val="sq-AL"/>
        </w:rPr>
        <w:t xml:space="preserve">Në rastet e zbatimit të marrëveshjeve kuadër për bashkëpunim dhe zhvillim, në bazë të të cilave përfitues janë institucionet buxhetore, të cilave, në momentin e importimit, nuk u janë livruar nga Drejtoria e Thesarit fondet buxhetore për pagimin e TVSH-së për importimin e mallrave të përfituara në kuadër të këtyre projekteve, administrata doganore procedon me shtyrje të pagesës së TVSH-së në momentin e importit, për një periudhë deri në tre muaj, me kusht që institucioni buxhetor përfitues të paraqesë: </w:t>
      </w:r>
    </w:p>
    <w:p w:rsidR="00D24E3B" w:rsidRPr="007207E4" w:rsidRDefault="00D24E3B" w:rsidP="00D24E3B">
      <w:pPr>
        <w:pStyle w:val="Paragrafi"/>
        <w:rPr>
          <w:spacing w:val="-4"/>
          <w:lang w:val="sq-AL"/>
        </w:rPr>
      </w:pPr>
      <w:r w:rsidRPr="007207E4">
        <w:rPr>
          <w:spacing w:val="-4"/>
          <w:lang w:val="sq-AL"/>
        </w:rPr>
        <w:t xml:space="preserve">a) pranë Drejtorisë së Përgjithshme të Doganave: kopje të kontratës së lidhur midis institucionit buxhetor përfitues dhe donatorit; </w:t>
      </w:r>
    </w:p>
    <w:p w:rsidR="00D24E3B" w:rsidRPr="007207E4" w:rsidRDefault="00D24E3B" w:rsidP="00D24E3B">
      <w:pPr>
        <w:pStyle w:val="Paragrafi"/>
        <w:rPr>
          <w:spacing w:val="-4"/>
          <w:lang w:val="sq-AL"/>
        </w:rPr>
      </w:pPr>
      <w:r w:rsidRPr="007207E4">
        <w:rPr>
          <w:spacing w:val="-4"/>
          <w:lang w:val="sq-AL"/>
        </w:rPr>
        <w:t xml:space="preserve">b) pranë degës doganore që do të akordojë shtyrjen e TVSH-së: urdhrin e pagesës të vulosur nga dega e thesarit përkatës. </w:t>
      </w:r>
    </w:p>
    <w:p w:rsidR="00D24E3B" w:rsidRPr="007207E4" w:rsidRDefault="00D24E3B" w:rsidP="00D24E3B">
      <w:pPr>
        <w:pStyle w:val="Paragrafi"/>
        <w:rPr>
          <w:spacing w:val="-4"/>
          <w:lang w:val="sq-AL"/>
        </w:rPr>
      </w:pPr>
      <w:r w:rsidRPr="007207E4">
        <w:rPr>
          <w:spacing w:val="-4"/>
          <w:lang w:val="sq-AL"/>
        </w:rPr>
        <w:t>Në qoftë se nuk kryhet pagesa brenda periudhës 3-mujore, njoftohet Ministria e Financave".</w:t>
      </w:r>
    </w:p>
    <w:p w:rsidR="00D24E3B" w:rsidRPr="007207E4" w:rsidRDefault="00D24E3B" w:rsidP="00D24E3B">
      <w:pPr>
        <w:pStyle w:val="Paragrafi"/>
        <w:jc w:val="center"/>
        <w:rPr>
          <w:spacing w:val="-4"/>
          <w:sz w:val="14"/>
          <w:lang w:val="sq-AL"/>
        </w:rPr>
      </w:pPr>
    </w:p>
    <w:p w:rsidR="00D24E3B" w:rsidRPr="007207E4" w:rsidRDefault="00D24E3B" w:rsidP="00D24E3B">
      <w:pPr>
        <w:pStyle w:val="NeniNr"/>
        <w:rPr>
          <w:lang w:val="sq-AL"/>
        </w:rPr>
      </w:pPr>
      <w:r w:rsidRPr="007207E4">
        <w:rPr>
          <w:lang w:val="sq-AL"/>
        </w:rPr>
        <w:t>Neni 5</w:t>
      </w:r>
    </w:p>
    <w:p w:rsidR="00D24E3B" w:rsidRPr="007207E4" w:rsidRDefault="00D24E3B" w:rsidP="00D24E3B">
      <w:pPr>
        <w:pStyle w:val="Paragrafi"/>
        <w:rPr>
          <w:spacing w:val="-4"/>
          <w:sz w:val="14"/>
          <w:lang w:val="sq-AL"/>
        </w:rPr>
      </w:pPr>
    </w:p>
    <w:p w:rsidR="00D24E3B" w:rsidRPr="007207E4" w:rsidRDefault="00D24E3B" w:rsidP="00D24E3B">
      <w:pPr>
        <w:pStyle w:val="Paragrafi"/>
        <w:rPr>
          <w:spacing w:val="-4"/>
          <w:lang w:val="sq-AL"/>
        </w:rPr>
      </w:pPr>
      <w:r w:rsidRPr="007207E4">
        <w:rPr>
          <w:spacing w:val="-4"/>
          <w:lang w:val="sq-AL"/>
        </w:rPr>
        <w:t>Neni 64 “Procedura e rimbursimit dhe e përjashtimit për diplomatët, organizatat ndërkombëtare, NATO-n, diplomatët, organizatat ndërkombëtare dhe NATO-n” riformulohet si më poshtë:</w:t>
      </w:r>
    </w:p>
    <w:p w:rsidR="00D24E3B" w:rsidRPr="007207E4" w:rsidRDefault="00D24E3B" w:rsidP="00D24E3B">
      <w:pPr>
        <w:pStyle w:val="Paragrafi"/>
        <w:rPr>
          <w:spacing w:val="-4"/>
          <w:lang w:val="sq-AL"/>
        </w:rPr>
      </w:pPr>
      <w:r w:rsidRPr="007207E4">
        <w:rPr>
          <w:spacing w:val="-4"/>
          <w:lang w:val="sq-AL"/>
        </w:rPr>
        <w:t xml:space="preserve">"1. Bazuar në nenin 60 të ligjit për qëllime të TVSH-së trajtohen si furnizime të ngjashme me eksportet furnizimet e mëposhtme: </w:t>
      </w:r>
    </w:p>
    <w:p w:rsidR="00D24E3B" w:rsidRPr="007207E4" w:rsidRDefault="00D24E3B" w:rsidP="00D24E3B">
      <w:pPr>
        <w:pStyle w:val="Paragrafi"/>
        <w:rPr>
          <w:spacing w:val="-4"/>
          <w:lang w:val="sq-AL"/>
        </w:rPr>
      </w:pPr>
      <w:r w:rsidRPr="007207E4">
        <w:rPr>
          <w:spacing w:val="-4"/>
          <w:lang w:val="sq-AL"/>
        </w:rPr>
        <w:t>a) furnizimet e mallrave dhe shërbimet e kryera në kuadrin e marrëdhënieve diplomatike dhe konsullore;</w:t>
      </w:r>
    </w:p>
    <w:p w:rsidR="00D24E3B" w:rsidRPr="007207E4" w:rsidRDefault="00D24E3B" w:rsidP="00D24E3B">
      <w:pPr>
        <w:pStyle w:val="Paragrafi"/>
        <w:rPr>
          <w:lang w:val="sq-AL"/>
        </w:rPr>
      </w:pPr>
      <w:r w:rsidRPr="007207E4">
        <w:rPr>
          <w:spacing w:val="-4"/>
          <w:lang w:val="sq-AL"/>
        </w:rPr>
        <w:t>b) furnizimet e mallrave dhe shërbimeve ndaj organizatave ndërkombëtare, si dhe anëtarëve të këtyre organizatave, të njohura si të tilla nga ana e autoriteteve publike të Republikës së Shqipërisë ose nga anëtarët e këtyre organizatave, brenda</w:t>
      </w:r>
      <w:r w:rsidRPr="007207E4">
        <w:rPr>
          <w:lang w:val="sq-AL"/>
        </w:rPr>
        <w:t xml:space="preserve"> limiteve dhe sipas kushteve të marrëveshjeve ndër-kombëtare, në bazë të të cilave janë themeluar;</w:t>
      </w:r>
    </w:p>
    <w:p w:rsidR="00D24E3B" w:rsidRPr="007207E4" w:rsidRDefault="00D24E3B" w:rsidP="00D24E3B">
      <w:pPr>
        <w:pStyle w:val="Paragrafi"/>
        <w:rPr>
          <w:lang w:val="sq-AL"/>
        </w:rPr>
      </w:pPr>
      <w:r w:rsidRPr="007207E4">
        <w:rPr>
          <w:lang w:val="sq-AL"/>
        </w:rPr>
        <w:t>c) Furnizimet e mallrave dhe shërbimeve në Republikën e Shqipërisë, të destinuara për forcat e armatosura të shteteve të tjera anëtare të NATO-s, për t’u përdorur nga këto forca apo personeli civil që i shoqëron ato, si dhe për të furnizuar mensat përkatëse për qëllimin e përbashkët të mbrojtjes.</w:t>
      </w:r>
    </w:p>
    <w:p w:rsidR="00D24E3B" w:rsidRPr="007207E4" w:rsidRDefault="00D24E3B" w:rsidP="00D24E3B">
      <w:pPr>
        <w:pStyle w:val="Paragrafi"/>
        <w:rPr>
          <w:lang w:val="sq-AL"/>
        </w:rPr>
      </w:pPr>
      <w:r w:rsidRPr="007207E4">
        <w:rPr>
          <w:lang w:val="sq-AL"/>
        </w:rPr>
        <w:t>2. Gjithashtu, bazuar në pikën 33 dhe 34, të nenit 56 të ligjit, përjashtohen nga TVSH-ja në import, përkatësisht:</w:t>
      </w:r>
    </w:p>
    <w:p w:rsidR="00D24E3B" w:rsidRPr="007207E4" w:rsidRDefault="00D24E3B" w:rsidP="00D24E3B">
      <w:pPr>
        <w:pStyle w:val="Paragrafi"/>
        <w:rPr>
          <w:lang w:val="sq-AL"/>
        </w:rPr>
      </w:pPr>
    </w:p>
    <w:p w:rsidR="00D24E3B" w:rsidRPr="007207E4" w:rsidRDefault="00D24E3B" w:rsidP="00D24E3B">
      <w:pPr>
        <w:pStyle w:val="Paragrafi"/>
        <w:rPr>
          <w:spacing w:val="-4"/>
          <w:lang w:val="sq-AL"/>
        </w:rPr>
      </w:pPr>
      <w:r w:rsidRPr="007207E4">
        <w:rPr>
          <w:lang w:val="sq-AL"/>
        </w:rPr>
        <w:t xml:space="preserve">a) Importimet e mallrave të kryera në kuadrin e marrëdhënieve diplomatike dhe konsullore, të </w:t>
      </w:r>
      <w:r w:rsidRPr="007207E4">
        <w:rPr>
          <w:spacing w:val="-4"/>
          <w:lang w:val="sq-AL"/>
        </w:rPr>
        <w:t>cilat përfitojnë përjashtim nga taksat doganore, mbi bazën e reciprocitetit, si dhe importimet e mallrave të kryera nga organizatat ndërkombëtare, të njohura si të tilla prej autoriteteve publike të Republikës së Shqipërisë, si dhe nga anëtarët e këtyre organizatave, brenda limiteve dhe sipas kushteve të marrëveshjeve ndërkombëtare, në bazë të cilave janë themeluar.</w:t>
      </w:r>
    </w:p>
    <w:p w:rsidR="00D24E3B" w:rsidRPr="007207E4" w:rsidRDefault="00D24E3B" w:rsidP="00D24E3B">
      <w:pPr>
        <w:pStyle w:val="Paragrafi"/>
        <w:rPr>
          <w:spacing w:val="-4"/>
          <w:lang w:val="sq-AL"/>
        </w:rPr>
      </w:pPr>
      <w:r w:rsidRPr="007207E4">
        <w:rPr>
          <w:spacing w:val="-4"/>
          <w:lang w:val="sq-AL"/>
        </w:rPr>
        <w:t>b) Importimet e mallrave nga forcat e armatosura të shteteve të tjera anëtare të NATO-s, për t’u përdorur nga këto forca apo personeli civil që i shoqëron ato, si dhe për të furnizuar mensat përkatëse për qëllimin e përbashkët të mbrojtjes.</w:t>
      </w:r>
    </w:p>
    <w:p w:rsidR="00D24E3B" w:rsidRPr="007207E4" w:rsidRDefault="00D24E3B" w:rsidP="00D24E3B">
      <w:pPr>
        <w:pStyle w:val="Paragrafi"/>
        <w:rPr>
          <w:spacing w:val="-4"/>
          <w:lang w:val="sq-AL"/>
        </w:rPr>
      </w:pPr>
      <w:r w:rsidRPr="007207E4">
        <w:rPr>
          <w:spacing w:val="-4"/>
          <w:lang w:val="sq-AL"/>
        </w:rPr>
        <w:t>Për të siguruar trajtimin me shkallën tatimore të TVSH-së 0 për qind për furnizimet e mësipërme të kryera brenda vendit, të cilat trajtohen si të ngjashme me eksportet, përcaktohet procedura e mëposhtme e rimbursimit të TVSH-së.</w:t>
      </w:r>
    </w:p>
    <w:p w:rsidR="00D24E3B" w:rsidRPr="007207E4" w:rsidRDefault="00D24E3B" w:rsidP="00D24E3B">
      <w:pPr>
        <w:pStyle w:val="Paragrafi"/>
        <w:rPr>
          <w:spacing w:val="-4"/>
          <w:lang w:val="sq-AL"/>
        </w:rPr>
      </w:pPr>
      <w:r w:rsidRPr="007207E4">
        <w:rPr>
          <w:spacing w:val="-4"/>
          <w:lang w:val="sq-AL"/>
        </w:rPr>
        <w:t xml:space="preserve">Misionet diplomatike, organizatat ndër-kombëtare dhe NATO-ja regjistrohen për TVSH-në dhe të pajisen me Certifikatën e Numrit të Identifikimit pranë autoritetit tatimor. </w:t>
      </w:r>
    </w:p>
    <w:p w:rsidR="00D24E3B" w:rsidRPr="007207E4" w:rsidRDefault="00D24E3B" w:rsidP="00D24E3B">
      <w:pPr>
        <w:pStyle w:val="Paragrafi"/>
        <w:rPr>
          <w:spacing w:val="-4"/>
          <w:lang w:val="sq-AL"/>
        </w:rPr>
      </w:pPr>
      <w:r w:rsidRPr="007207E4">
        <w:rPr>
          <w:spacing w:val="-4"/>
          <w:lang w:val="sq-AL"/>
        </w:rPr>
        <w:t xml:space="preserve">Për blerjet brenda vendit, misionet diplomatike, organizatat ndërkombëtare dhe personeli i tyre, paguajnë TVSH-në në momentin e blerjes, TVSH-në për të cilën do të rimbursohen, me kusht që çdo faturë blerjeje të jetë më e madhe se 10.000 lekë. E drejta e rimbursimit për ambasadat do të jepet </w:t>
      </w:r>
      <w:r w:rsidRPr="007207E4">
        <w:rPr>
          <w:spacing w:val="-4"/>
          <w:lang w:val="sq-AL"/>
        </w:rPr>
        <w:lastRenderedPageBreak/>
        <w:t xml:space="preserve">në bazë të parimit të reciprocitetit. Me procedurat e rimbursimit të TVSH-së së paguar merret Drejtoria e Protokollit në Ministrinë e Punëve të Jashtme, e cila është përgjegjëse edhe për zbatimin e parimit të reciprocitetit. Kjo drejtori do t’i pajisë misionet diplomatike, organizatat ndërkombëtare, e personelin e tyre me formularin “Kërkesë për rimbursim”, sipas modelit bashkëngjitur këtij udhëzimi. Çdo mision diplomatik, organizatë ndërkombëtare për blerjet e bëra nga vetë ato ose nga personeli i tyre, do të dërgojë në drejtorinë e mësipërme dy kopje të formularit “Kërkesë për rimbursim” (të firmosur e të vulosur nga titullari i ambasadës apo i organizatës ndërkombëtare), si edhe faturat origjinale të blerjes. Drejtoria e Protokollit në Ministrinë e Jashtme, kopjen origjinale të formularit “Kërkesë për rimbursim” dhe faturat origjinale të blerjes, i dërgon pranë autoritetit tatimor kompetent të ngarkuar për të kryer rimbursimin, i cili është i detyruar që brenda 30 ditëve nga data e paraqitjes së dokumentacionit të mësipërm nga ana e Drejtorisë së Protokollit të Ministrisë së Punëve të Jashtme, të bëjë rimbursimin e TVSH-së së paguar sipas faturave përkatëse. Brenda këtij afati, autoriteti tatimor verifikon faturën e  lëshuar nga shitësi për misionin diplomatik apo për organizatën ndërkombëtare, regjistrimin e saj në librin e shitjeve, pasqyrimin e të dhënave në deklaratën e TVSH-së për muajin përkatës dhe pagesën e TVSH-së në  llogari të autoritetit tatimor. </w:t>
      </w:r>
    </w:p>
    <w:p w:rsidR="00D24E3B" w:rsidRPr="007207E4" w:rsidRDefault="00D24E3B" w:rsidP="00D24E3B">
      <w:pPr>
        <w:pStyle w:val="Paragrafi"/>
        <w:rPr>
          <w:spacing w:val="-4"/>
          <w:lang w:val="sq-AL"/>
        </w:rPr>
      </w:pPr>
      <w:r w:rsidRPr="007207E4">
        <w:rPr>
          <w:spacing w:val="-4"/>
          <w:lang w:val="sq-AL"/>
        </w:rPr>
        <w:t>Pas miratimit të kërkesës për rimbursim, Drejtoria e Rimbursimit të TVSH-së, në DPT i dërgon zyrtarisht Ministrisë së Punëve të Jashtme formularin nr. 3, “Njoftim për miratimin e rimbursimit të TVSH-së”, një kopje e të cilit dërgohet zyrtarisht dhe në thesar. Ministria e Punëve të Jashtme përpilon urdhërpagesën për rimbursim (në katër kopje), për çdo trup diplomatik, në bazë të formularit nr. 4 dhe e dërgon pranë degës së thesarit, ku kjo e fundit bën pagesat sipas legjislacionit në fuqi. Dega e thesarit, pasi kontrollon përputhshmërinë e listës përmbledhëse, bashkëlidhur urdhërpagesave me atë të formularit nr. 4, kryen pagesat me Sistemin Informatik Financiar të Qeverisë. Në fund të çdo muaji, Drejtoria e Rimbursimit të TVSH-së në DPT dhe dega e thesarit bëjnë rakordimet për pagesat e kryera gjatë periudhës mujore.</w:t>
      </w:r>
    </w:p>
    <w:p w:rsidR="00D24E3B" w:rsidRPr="007207E4" w:rsidRDefault="00D24E3B" w:rsidP="00D24E3B">
      <w:pPr>
        <w:pStyle w:val="Paragrafi"/>
        <w:rPr>
          <w:spacing w:val="-4"/>
          <w:lang w:val="sq-AL"/>
        </w:rPr>
      </w:pPr>
      <w:r w:rsidRPr="007207E4">
        <w:rPr>
          <w:spacing w:val="-4"/>
          <w:lang w:val="sq-AL"/>
        </w:rPr>
        <w:t>2. Për sa u përket blerjeve që personeli i NATO-s dhe bazat e saj brenda territorit të Republikës së Shqipërisë bëjnë brenda vendit, ato nuk do të paguajnë TVSH në pikën e blerjes. Për këtë, në pikën e blerjes, përfaqësuesi i NATO-s është i detyruar t’i dorëzojë shitësit një certifikatë livrimi, sipas modelit bashkëngjitur këtij udhëzimi, mbi bazën e së cilës shitësi harton faturën tatimore me TVSH 0%. Në fund të faturës, shitësi bën shënimin: “Ky përjashtim nga TVSH bazohet në certifikatën e livrimit nr......, datë.......” Zyra e autorizuar për lëshimin e certifikatës së livrimit, pranë Komandës së NATO-s, në Republikën e Shqipërisë, brenda datës 10 të çdo muaji, dërgon pranë Drejtorisë së Përgjithshme të Tatimeve, një listë përmbledhëse së bashku me kopjet e certifikatave të livrimit të lëshuara për blerjet e realizuara në muajin paraardhës, që do të shërbejë për kryqëzimin dhe verifikimin e faturave tatimore të lëshuara me TVSH 0% prej personave të tatueshëm që kanë kryer furnizimet.".</w:t>
      </w:r>
    </w:p>
    <w:p w:rsidR="00D24E3B" w:rsidRPr="007207E4" w:rsidRDefault="00D24E3B" w:rsidP="00D24E3B">
      <w:pPr>
        <w:pStyle w:val="NeniNr"/>
        <w:rPr>
          <w:lang w:val="sq-AL"/>
        </w:rPr>
      </w:pPr>
      <w:r w:rsidRPr="007207E4">
        <w:rPr>
          <w:lang w:val="sq-AL"/>
        </w:rPr>
        <w:t>Neni 6</w:t>
      </w:r>
    </w:p>
    <w:p w:rsidR="00D24E3B" w:rsidRPr="007207E4" w:rsidRDefault="00D24E3B" w:rsidP="00D24E3B">
      <w:pPr>
        <w:pStyle w:val="Paragrafi"/>
        <w:rPr>
          <w:spacing w:val="-4"/>
          <w:sz w:val="14"/>
          <w:lang w:val="sq-AL"/>
        </w:rPr>
      </w:pPr>
    </w:p>
    <w:p w:rsidR="00D24E3B" w:rsidRPr="007207E4" w:rsidRDefault="00D24E3B" w:rsidP="00D24E3B">
      <w:pPr>
        <w:pStyle w:val="Paragrafi"/>
        <w:rPr>
          <w:spacing w:val="-4"/>
          <w:lang w:val="sq-AL"/>
        </w:rPr>
      </w:pPr>
      <w:r w:rsidRPr="007207E4">
        <w:rPr>
          <w:spacing w:val="-4"/>
          <w:lang w:val="sq-AL"/>
        </w:rPr>
        <w:t>1. Kërkesa për rimbursim të TVSH-së, të paraqitura para datës së hyrjes në fuqi të këtij udhëzimi, do të vazhdojnë të trajtohen nga drejtoritë rajonale tatimore.</w:t>
      </w:r>
    </w:p>
    <w:p w:rsidR="00D24E3B" w:rsidRPr="007207E4" w:rsidRDefault="00D24E3B" w:rsidP="00D24E3B">
      <w:pPr>
        <w:pStyle w:val="Paragrafi"/>
        <w:rPr>
          <w:spacing w:val="-4"/>
          <w:lang w:val="sq-AL"/>
        </w:rPr>
      </w:pPr>
      <w:r w:rsidRPr="007207E4">
        <w:rPr>
          <w:spacing w:val="-4"/>
          <w:lang w:val="sq-AL"/>
        </w:rPr>
        <w:t>2. Kërkesat për rimbursim të TVSH-së, të paraqitura në bazë të këtij udhëzimi, do të trajtohen nga Drejtoria e Vlerësimit të të Ardhurave dhe Kontabilitetit, deri në krijimin e Drejtorisë së Rimbursimit të TVSH-së pranë Drejtorisë së Përgjithshme të Tatimeve.</w:t>
      </w:r>
    </w:p>
    <w:p w:rsidR="00D24E3B" w:rsidRPr="007207E4" w:rsidRDefault="00D24E3B" w:rsidP="00D24E3B">
      <w:pPr>
        <w:pStyle w:val="Paragrafi"/>
        <w:rPr>
          <w:spacing w:val="-4"/>
          <w:lang w:val="sq-AL"/>
        </w:rPr>
      </w:pPr>
      <w:r w:rsidRPr="007207E4">
        <w:rPr>
          <w:spacing w:val="-4"/>
          <w:lang w:val="sq-AL"/>
        </w:rPr>
        <w:t>Ky udhëzim hyn në fuqi pas botimit në Fletoren Zyrtare.</w:t>
      </w:r>
    </w:p>
    <w:p w:rsidR="00D24E3B" w:rsidRPr="007207E4" w:rsidRDefault="00D24E3B" w:rsidP="00D24E3B">
      <w:pPr>
        <w:pStyle w:val="Paragrafi"/>
        <w:jc w:val="right"/>
        <w:rPr>
          <w:spacing w:val="-4"/>
          <w:lang w:val="sq-AL"/>
        </w:rPr>
      </w:pPr>
      <w:r w:rsidRPr="007207E4">
        <w:rPr>
          <w:spacing w:val="-4"/>
          <w:lang w:val="sq-AL"/>
        </w:rPr>
        <w:t>MINISTRI I FINANCAVE</w:t>
      </w:r>
    </w:p>
    <w:p w:rsidR="000F6EA9" w:rsidRDefault="00D24E3B" w:rsidP="00D24E3B">
      <w:r w:rsidRPr="007207E4">
        <w:rPr>
          <w:b/>
          <w:spacing w:val="-4"/>
          <w:lang w:val="sq-AL"/>
        </w:rPr>
        <w:t>Shkëlqim Cani</w:t>
      </w:r>
    </w:p>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4E3B"/>
    <w:rsid w:val="000F6EA9"/>
    <w:rsid w:val="009C2D09"/>
    <w:rsid w:val="00D24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E3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24E3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24E3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24E3B"/>
    <w:rPr>
      <w:rFonts w:ascii="Garamond" w:eastAsia="MS Mincho" w:hAnsi="Garamond" w:cs="CG Times"/>
      <w:b/>
      <w:bCs/>
      <w:sz w:val="24"/>
    </w:rPr>
  </w:style>
  <w:style w:type="paragraph" w:customStyle="1" w:styleId="Paragrafi">
    <w:name w:val="Paragrafi"/>
    <w:link w:val="ParagrafiChar"/>
    <w:rsid w:val="00D24E3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24E3B"/>
    <w:rPr>
      <w:rFonts w:ascii="Garamond" w:eastAsia="MS Mincho" w:hAnsi="Garamond" w:cs="CG Times"/>
      <w:sz w:val="24"/>
      <w:lang w:val="en-US"/>
    </w:rPr>
  </w:style>
  <w:style w:type="paragraph" w:customStyle="1" w:styleId="Titulli">
    <w:name w:val="Titulli"/>
    <w:next w:val="Normal"/>
    <w:link w:val="TitulliChar"/>
    <w:rsid w:val="00D24E3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24E3B"/>
    <w:rPr>
      <w:rFonts w:ascii="Garamond" w:eastAsia="MS Mincho" w:hAnsi="Garamond" w:cs="CG Times"/>
      <w:b/>
      <w:bCs/>
      <w:caps/>
      <w:sz w:val="24"/>
    </w:rPr>
  </w:style>
  <w:style w:type="character" w:customStyle="1" w:styleId="AktiChar">
    <w:name w:val="Akti Char"/>
    <w:basedOn w:val="DefaultParagraphFont"/>
    <w:link w:val="Akti"/>
    <w:rsid w:val="00D24E3B"/>
    <w:rPr>
      <w:rFonts w:ascii="Garamond" w:eastAsia="MS Mincho" w:hAnsi="Garamond" w:cs="CG Times"/>
      <w:b/>
      <w:bCs/>
      <w:caps/>
      <w:color w:val="000000"/>
      <w:sz w:val="24"/>
    </w:rPr>
  </w:style>
  <w:style w:type="paragraph" w:customStyle="1" w:styleId="NeniNr">
    <w:name w:val="Neni_Nr"/>
    <w:next w:val="Normal"/>
    <w:link w:val="NeniNrChar"/>
    <w:rsid w:val="00D24E3B"/>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24E3B"/>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24E3B"/>
    <w:rPr>
      <w:rFonts w:ascii="Garamond" w:eastAsia="MS Mincho" w:hAnsi="Garamond" w:cs="CG Times"/>
      <w:sz w:val="24"/>
    </w:rPr>
  </w:style>
  <w:style w:type="paragraph" w:customStyle="1" w:styleId="Titull-Titull">
    <w:name w:val="Titull-Titull"/>
    <w:basedOn w:val="Paragrafi"/>
    <w:qFormat/>
    <w:rsid w:val="00D24E3B"/>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4E3B"/>
    <w:pPr>
      <w:ind w:firstLine="284"/>
      <w:jc w:val="both"/>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24E3B"/>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D24E3B"/>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D24E3B"/>
    <w:rPr>
      <w:rFonts w:ascii="Garamond" w:eastAsia="MS Mincho" w:hAnsi="Garamond" w:cs="CG Times"/>
      <w:b/>
      <w:bCs/>
      <w:sz w:val="24"/>
    </w:rPr>
  </w:style>
  <w:style w:type="paragraph" w:customStyle="1" w:styleId="Paragrafi">
    <w:name w:val="Paragrafi"/>
    <w:link w:val="ParagrafiChar"/>
    <w:rsid w:val="00D24E3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D24E3B"/>
    <w:rPr>
      <w:rFonts w:ascii="Garamond" w:eastAsia="MS Mincho" w:hAnsi="Garamond" w:cs="CG Times"/>
      <w:sz w:val="24"/>
      <w:lang w:val="en-US"/>
    </w:rPr>
  </w:style>
  <w:style w:type="paragraph" w:customStyle="1" w:styleId="Titulli">
    <w:name w:val="Titulli"/>
    <w:next w:val="Normal"/>
    <w:link w:val="TitulliChar"/>
    <w:rsid w:val="00D24E3B"/>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D24E3B"/>
    <w:rPr>
      <w:rFonts w:ascii="Garamond" w:eastAsia="MS Mincho" w:hAnsi="Garamond" w:cs="CG Times"/>
      <w:b/>
      <w:bCs/>
      <w:caps/>
      <w:sz w:val="24"/>
    </w:rPr>
  </w:style>
  <w:style w:type="character" w:customStyle="1" w:styleId="AktiChar">
    <w:name w:val="Akti Char"/>
    <w:basedOn w:val="DefaultParagraphFont"/>
    <w:link w:val="Akti"/>
    <w:rsid w:val="00D24E3B"/>
    <w:rPr>
      <w:rFonts w:ascii="Garamond" w:eastAsia="MS Mincho" w:hAnsi="Garamond" w:cs="CG Times"/>
      <w:b/>
      <w:bCs/>
      <w:caps/>
      <w:color w:val="000000"/>
      <w:sz w:val="24"/>
    </w:rPr>
  </w:style>
  <w:style w:type="paragraph" w:customStyle="1" w:styleId="NeniNr">
    <w:name w:val="Neni_Nr"/>
    <w:next w:val="Normal"/>
    <w:link w:val="NeniNrChar"/>
    <w:rsid w:val="00D24E3B"/>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D24E3B"/>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D24E3B"/>
    <w:rPr>
      <w:rFonts w:ascii="Garamond" w:eastAsia="MS Mincho" w:hAnsi="Garamond" w:cs="CG Times"/>
      <w:sz w:val="24"/>
    </w:rPr>
  </w:style>
  <w:style w:type="paragraph" w:customStyle="1" w:styleId="Titull-Titull">
    <w:name w:val="Titull-Titull"/>
    <w:basedOn w:val="Paragrafi"/>
    <w:qFormat/>
    <w:rsid w:val="00D24E3B"/>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2833</Words>
  <Characters>16150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18946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2019-01-30T14:21:00Z</cp:lastPrinted>
  <dcterms:created xsi:type="dcterms:W3CDTF">2016-01-21T13:08:00Z</dcterms:created>
  <dcterms:modified xsi:type="dcterms:W3CDTF">2019-01-30T14:21:00Z</dcterms:modified>
</cp:coreProperties>
</file>