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F6D" w:rsidRDefault="00F74F6D" w:rsidP="00F74F6D">
      <w:pPr>
        <w:pStyle w:val="NeniTitull"/>
        <w:rPr>
          <w:spacing w:val="-4"/>
          <w:lang w:val="sq-AL"/>
        </w:rPr>
      </w:pPr>
      <w:bookmarkStart w:id="0" w:name="_GoBack"/>
      <w:r>
        <w:rPr>
          <w:spacing w:val="-4"/>
          <w:lang w:val="sq-AL"/>
        </w:rPr>
        <w:t>UDHËZIM PLOTËSUES</w:t>
      </w:r>
    </w:p>
    <w:p w:rsidR="00F74F6D" w:rsidRDefault="00F74F6D" w:rsidP="00F74F6D">
      <w:pPr>
        <w:pStyle w:val="NeniTitull"/>
        <w:rPr>
          <w:spacing w:val="-4"/>
          <w:lang w:val="sq-AL"/>
        </w:rPr>
      </w:pPr>
      <w:r>
        <w:rPr>
          <w:spacing w:val="-4"/>
          <w:lang w:val="sq-AL"/>
        </w:rPr>
        <w:t>Nr. 1, datë 15.1.2016</w:t>
      </w:r>
    </w:p>
    <w:p w:rsidR="00F74F6D" w:rsidRDefault="00F74F6D" w:rsidP="00F74F6D">
      <w:pPr>
        <w:pStyle w:val="Hapesira7"/>
        <w:rPr>
          <w:lang w:val="sq-AL"/>
        </w:rPr>
      </w:pPr>
    </w:p>
    <w:p w:rsidR="00F74F6D" w:rsidRDefault="00F74F6D" w:rsidP="00F74F6D">
      <w:pPr>
        <w:pStyle w:val="NeniTitull"/>
        <w:rPr>
          <w:spacing w:val="-4"/>
          <w:lang w:val="sq-AL"/>
        </w:rPr>
      </w:pPr>
      <w:r>
        <w:rPr>
          <w:spacing w:val="-4"/>
          <w:lang w:val="sq-AL"/>
        </w:rPr>
        <w:t xml:space="preserve">PËR ZBATIMIN E BUXHETIT </w:t>
      </w:r>
    </w:p>
    <w:p w:rsidR="00F74F6D" w:rsidRDefault="00F74F6D" w:rsidP="00F74F6D">
      <w:pPr>
        <w:pStyle w:val="NeniTitull"/>
        <w:rPr>
          <w:spacing w:val="-4"/>
          <w:lang w:val="sq-AL"/>
        </w:rPr>
      </w:pPr>
      <w:r>
        <w:rPr>
          <w:spacing w:val="-4"/>
          <w:lang w:val="sq-AL"/>
        </w:rPr>
        <w:t>TË VITIT 2016</w:t>
      </w:r>
    </w:p>
    <w:p w:rsidR="00F74F6D" w:rsidRDefault="00F74F6D" w:rsidP="00F74F6D">
      <w:pPr>
        <w:pStyle w:val="Hapesira7"/>
        <w:rPr>
          <w:lang w:val="sq-AL"/>
        </w:rPr>
      </w:pPr>
    </w:p>
    <w:p w:rsidR="00F74F6D" w:rsidRDefault="00F74F6D" w:rsidP="00F74F6D">
      <w:pPr>
        <w:pStyle w:val="Paragrafi"/>
        <w:rPr>
          <w:spacing w:val="-4"/>
          <w:lang w:val="sq-AL"/>
        </w:rPr>
      </w:pPr>
      <w:r>
        <w:rPr>
          <w:spacing w:val="-4"/>
          <w:lang w:val="sq-AL"/>
        </w:rPr>
        <w:t>Në mbështetje të pikës 4, të nenit 102, të Kushtetutës, në zbatim të nenit 38, të ligjit nr. 9936, datë 26.6.2008, “Për menaxhimin e sistemit buxhetor në Republikën e Shqipërisë”, nenit 19, të ligjit nr. 147, datë 17.12.2015, “Për buxhetin e vitit 2016” dhe në vijim të udhëzimit të ministrit të Financave nr. 2, datë 6.2.2012, “Për procedurat standarde të zbatimit të buxhetit”, paragrafi 2, ministri i Financave,</w:t>
      </w:r>
    </w:p>
    <w:p w:rsidR="00F74F6D" w:rsidRDefault="00F74F6D" w:rsidP="00F74F6D">
      <w:pPr>
        <w:pStyle w:val="Hapesira7"/>
        <w:rPr>
          <w:lang w:val="sq-AL"/>
        </w:rPr>
      </w:pPr>
    </w:p>
    <w:p w:rsidR="00F74F6D" w:rsidRDefault="00F74F6D" w:rsidP="00F74F6D">
      <w:pPr>
        <w:pStyle w:val="NeniNr"/>
        <w:rPr>
          <w:spacing w:val="-4"/>
          <w:lang w:val="sq-AL"/>
        </w:rPr>
      </w:pPr>
      <w:r>
        <w:rPr>
          <w:spacing w:val="-4"/>
          <w:lang w:val="sq-AL"/>
        </w:rPr>
        <w:t>UDHËZON:</w:t>
      </w:r>
    </w:p>
    <w:p w:rsidR="00F74F6D" w:rsidRDefault="00F74F6D" w:rsidP="00F74F6D">
      <w:pPr>
        <w:pStyle w:val="Hapesira7"/>
        <w:rPr>
          <w:lang w:val="sq-AL"/>
        </w:rPr>
      </w:pPr>
    </w:p>
    <w:p w:rsidR="00F74F6D" w:rsidRDefault="00F74F6D" w:rsidP="00F74F6D">
      <w:pPr>
        <w:pStyle w:val="Paragrafi"/>
        <w:rPr>
          <w:spacing w:val="-4"/>
          <w:lang w:val="sq-AL"/>
        </w:rPr>
      </w:pPr>
      <w:r>
        <w:rPr>
          <w:spacing w:val="-4"/>
          <w:lang w:val="sq-AL"/>
        </w:rPr>
        <w:t>I. Procedura specifike shtesë për zbatimin e Buxhetit të Shtetit</w:t>
      </w:r>
    </w:p>
    <w:p w:rsidR="00F74F6D" w:rsidRDefault="00F74F6D" w:rsidP="00F74F6D">
      <w:pPr>
        <w:pStyle w:val="Paragrafi"/>
        <w:rPr>
          <w:spacing w:val="-4"/>
          <w:lang w:val="sq-AL"/>
        </w:rPr>
      </w:pPr>
      <w:r>
        <w:rPr>
          <w:spacing w:val="-4"/>
          <w:lang w:val="sq-AL"/>
        </w:rPr>
        <w:t>Të përgjithshme</w:t>
      </w:r>
    </w:p>
    <w:p w:rsidR="00F74F6D" w:rsidRDefault="00F74F6D" w:rsidP="00F74F6D">
      <w:pPr>
        <w:pStyle w:val="Paragrafi"/>
        <w:rPr>
          <w:spacing w:val="-4"/>
          <w:lang w:val="sq-AL"/>
        </w:rPr>
      </w:pPr>
      <w:r>
        <w:rPr>
          <w:spacing w:val="-4"/>
          <w:lang w:val="sq-AL"/>
        </w:rPr>
        <w:t>1. Për çdo njësi shpenzuese të krijuar rishtazi, çelet kodi përkatës në Sistemin Informatik Financiar të Qeverisë (SIFQ), pas paraqitjes së kërkesës zyrtare të njësisë së qeverisjes së përgjithshme, e shoqëruar detyrimisht me aktin përkatës ligjor ose nënligjor, apo akte të tjera administrative të krijimit të saj. E njëjta procedurë ndiqet edhe në rastin e mbylljes së një njësie shpenzuese.</w:t>
      </w:r>
    </w:p>
    <w:p w:rsidR="00F74F6D" w:rsidRDefault="00F74F6D" w:rsidP="00F74F6D">
      <w:pPr>
        <w:pStyle w:val="Paragrafi"/>
        <w:rPr>
          <w:spacing w:val="-4"/>
          <w:lang w:val="sq-AL"/>
        </w:rPr>
      </w:pPr>
      <w:r>
        <w:rPr>
          <w:spacing w:val="-4"/>
          <w:lang w:val="sq-AL"/>
        </w:rPr>
        <w:t>2. Për çdo njësi arkëtuese jo shpenzuese të qeverisjes së përgjithshme dhe për çdo njësi arkëtuese jo buxhetore (për shembull, njësitë me vetëfinancim etj.), çelet kodi përkatës në SIFQ në zbatim të aktit përkatës ligjor ose nënligjor apo akte të tjera administrative të krijimit të saj.</w:t>
      </w:r>
    </w:p>
    <w:p w:rsidR="00F74F6D" w:rsidRDefault="00F74F6D" w:rsidP="00F74F6D">
      <w:pPr>
        <w:pStyle w:val="Paragrafi"/>
        <w:rPr>
          <w:spacing w:val="-4"/>
          <w:lang w:val="sq-AL"/>
        </w:rPr>
      </w:pPr>
      <w:r>
        <w:rPr>
          <w:spacing w:val="-4"/>
          <w:lang w:val="sq-AL"/>
        </w:rPr>
        <w:t>3. Njësitë shpenzuese gjatë përdorimit të fondeve buxhetore të planifikuara për “Mallra e shërbime”, me prioritet urdhërojnë pagesat për shërbimet e furnizimit me energji elektrike (në kushtet e mungesës së likuiditetit dhe/ose planit të arkës, respektohet renditja në pikën 139 të udhëzimit nr. 2, datë 6.2.2012, “Për procedurat standarde të zbatimit të buxhetit”). Strukturat përgjegjëse për Thesarin në degë, verifikojnë listën e debitorëve të dërguar nga OSHEE-ja çdo muaj dhe autorizojnë pagesën e faturave të tjera, vetëm nëse njësia shpenzuese nuk rezulton me detyrime të papaguara në këtë listë. Në rast të kundërshtimeve, njësia shpenzuese rakordon me OSHEE-në dhe vetëm pas sqarimit zyrtar të detyrimit vijojnë pagesat e tjera. Në rast se detyrimi është objekt i një çështjeje gjyqësore, njësia shpenzuese duhet të paraqesë një dokument që vërteton se çështja është në proces gjyqësor. Këto përcaktime janë të vlefshme edhe në rastin kur institucionet përfitojnë fonde buxhetore në formën e subvencioneve.</w:t>
      </w:r>
    </w:p>
    <w:p w:rsidR="00F74F6D" w:rsidRDefault="00F74F6D" w:rsidP="00F74F6D">
      <w:pPr>
        <w:pStyle w:val="Paragrafi"/>
        <w:rPr>
          <w:spacing w:val="-4"/>
          <w:lang w:val="sq-AL"/>
        </w:rPr>
      </w:pPr>
      <w:r>
        <w:rPr>
          <w:spacing w:val="-4"/>
          <w:lang w:val="sq-AL"/>
        </w:rPr>
        <w:t>4. Letër krediti i qeverisjes së përgjithshme (LC) është instrument pagese i kërkuar në kushte specifike të zbatimit të buxhetit nga njësitë shpenzuese të qeverisjes së përgjithshme. Ky instrument pagese aplikohet duke transferuar paratë nga llogaria e unifikuar e Thesarit “Depozitë e qeverisë” në bankën e nivelit të dytë, në një llogari bankare të çelur me emërtimin e projektit të kontraktuar në pronësi të njësisë shpenzuese deri në momentin e livrimit të mallit/shërbimit.</w:t>
      </w:r>
    </w:p>
    <w:p w:rsidR="00F74F6D" w:rsidRDefault="00F74F6D" w:rsidP="00F74F6D">
      <w:pPr>
        <w:pStyle w:val="Paragrafi"/>
        <w:rPr>
          <w:spacing w:val="-4"/>
          <w:lang w:val="sq-AL"/>
        </w:rPr>
      </w:pPr>
      <w:r>
        <w:rPr>
          <w:spacing w:val="-4"/>
          <w:lang w:val="sq-AL"/>
        </w:rPr>
        <w:t xml:space="preserve">Detajimi i disa fondeve buxhetore </w:t>
      </w:r>
    </w:p>
    <w:p w:rsidR="00F74F6D" w:rsidRDefault="00F74F6D" w:rsidP="00F74F6D">
      <w:pPr>
        <w:pStyle w:val="Paragrafi"/>
        <w:rPr>
          <w:spacing w:val="-4"/>
          <w:lang w:val="sq-AL"/>
        </w:rPr>
      </w:pPr>
      <w:r>
        <w:rPr>
          <w:spacing w:val="-4"/>
          <w:lang w:val="sq-AL"/>
        </w:rPr>
        <w:t>5. Fondi i planifikuar për shërbimin spitalor në Ministrinë e Shëndetësisë, në artikullin 604, detajohet dhe përdoret me vendim të Këshillit të Ministrave. Në zbatim të VKM-së, Fondi i Sigurimit të Detyrueshëm të Kujdesit Shëndetësor (FDSKSH) paraqet te nëpunësi i parë autorizues, detajimin sipas strukturave buxhetore të miratuara. Fondet për spitalet bëhen të disponueshme në kapitullin 8 (“Burimi i fondit buxhetor”).</w:t>
      </w:r>
    </w:p>
    <w:p w:rsidR="00F74F6D" w:rsidRDefault="00F74F6D" w:rsidP="00F74F6D">
      <w:pPr>
        <w:pStyle w:val="Paragrafi"/>
        <w:rPr>
          <w:spacing w:val="-4"/>
          <w:lang w:val="sq-AL"/>
        </w:rPr>
      </w:pPr>
      <w:r>
        <w:rPr>
          <w:spacing w:val="-4"/>
          <w:lang w:val="sq-AL"/>
        </w:rPr>
        <w:t xml:space="preserve">6. Në buxhetin vjetor të Ministrisë së Arsimit dhe Sporteve, janë planifikuar fondet për investime për arsimin universitar edhe në formën e Fondeve për Zhvillimin e Rajoneve. Institucionet e arsimit të lartë do të përfitojnë këto fonde nëpërmjet paraqitjes së projekteve në Ministrinë e Arsimit dhe Sportit, të cilat miratohen nga Komiteti i Zhvillimit të Rajoneve. Institucionet e arsimit të lartë mund të bashkëfinancojnë për objekte investimesh edhe nga të ardhurat e veta. </w:t>
      </w:r>
    </w:p>
    <w:p w:rsidR="00F74F6D" w:rsidRDefault="00F74F6D" w:rsidP="00F74F6D">
      <w:pPr>
        <w:pStyle w:val="Paragrafi"/>
        <w:rPr>
          <w:spacing w:val="-4"/>
          <w:lang w:val="sq-AL"/>
        </w:rPr>
      </w:pPr>
      <w:r>
        <w:rPr>
          <w:spacing w:val="-4"/>
          <w:lang w:val="sq-AL"/>
        </w:rPr>
        <w:t>7. Zbatimi i vendimeve gjyqësore që lidhen me procesin e legalizimit të ndërtimeve pa leje, si dhe rikthimi i vlerave të arkëtuara subjekteve që u është ndërprerë procesi i legalizimit në përputhje me aktet nënligjore në zbatim të ligjit nr. 9482, datë 3.4.2006, “Për legalizimin, urbanizimin e integrimin e ndërtimeve pa leje”, të ndryshuar, do të përballohen me të ardhurat e realizuara nga transferimi i parcelës ndërtimore, të cilat nuk janë transferuar në llogarinë e kompensimit të pronave.</w:t>
      </w:r>
    </w:p>
    <w:p w:rsidR="00F74F6D" w:rsidRDefault="00F74F6D" w:rsidP="00F74F6D">
      <w:pPr>
        <w:pStyle w:val="Paragrafi"/>
        <w:rPr>
          <w:spacing w:val="-4"/>
          <w:lang w:val="sq-AL"/>
        </w:rPr>
      </w:pPr>
      <w:r>
        <w:rPr>
          <w:spacing w:val="-4"/>
          <w:lang w:val="sq-AL"/>
        </w:rPr>
        <w:t xml:space="preserve">8. Investimet nga Fondi i Zhvillimit të Rajoneve për infrastrukturën vendore çelen në strukturën: Ministria e linjës 00, Program xxxxx, Kapitull 01, të specifikuar me kode projekti. Shkresat e çeljes së këtyre fondeve do të hidhen në SIFQ nga struktura përgjegjëse për Thesarin në degë. Njësitë e qeverisjes vendore nuk kanë të drejtën e ndryshimit të emërtimit të projekteve. Fondet e investimeve të qeverisjes vendore nga Fondi i Zhvillimi të Rajoneve, të papërdorura në vitin 2015, të çelura me kod projekti M99xxxx do të </w:t>
      </w:r>
      <w:r>
        <w:rPr>
          <w:spacing w:val="-4"/>
          <w:lang w:val="sq-AL"/>
        </w:rPr>
        <w:lastRenderedPageBreak/>
        <w:t xml:space="preserve">trashëgohen në 2016, në Kapitull 01. </w:t>
      </w:r>
    </w:p>
    <w:p w:rsidR="00F74F6D" w:rsidRDefault="00F74F6D" w:rsidP="00F74F6D">
      <w:pPr>
        <w:pStyle w:val="Paragrafi"/>
        <w:rPr>
          <w:spacing w:val="-4"/>
          <w:lang w:val="sq-AL"/>
        </w:rPr>
      </w:pPr>
      <w:r>
        <w:rPr>
          <w:spacing w:val="-4"/>
          <w:lang w:val="sq-AL"/>
        </w:rPr>
        <w:t>9. Fondet e investimeve, të akorduara për Fondin Shqiptar të Zhvillimit në programin me kod 04590 “Mbështetje për infrastrukturën urbane dhe rurale”, për infrastrukturën vendore, nga Fondi për Zhvillimin e Rajoneve, të cilat rezultojnë të papërdorura në fund të vitit 2015, do të mbarten në vitin pasardhës në të njëjtën strukturë buxhetore, pas rakordimeve përkatëse të degës së Thesarit me FSHZH-në.</w:t>
      </w:r>
    </w:p>
    <w:p w:rsidR="00F74F6D" w:rsidRDefault="00F74F6D" w:rsidP="00F74F6D">
      <w:pPr>
        <w:pStyle w:val="Paragrafi"/>
        <w:rPr>
          <w:spacing w:val="-4"/>
          <w:lang w:val="sq-AL"/>
        </w:rPr>
      </w:pPr>
      <w:r>
        <w:rPr>
          <w:spacing w:val="-4"/>
          <w:lang w:val="sq-AL"/>
        </w:rPr>
        <w:t>10. Fondet për projektet e investimeve, të akorduara për njësitë e qeverisjes së përgjithshme, me vendime të Komitetit të Zhvillimit të Rajoneve, nga Fondi për Zhvillimin e Rajoneve, për infrastrukturën vendore, shtylla II “Shqipëria dixhitale”, që rezultojnë të papërdorura në fund të vitit 2015, do të mbarten në vitin e ardhshëm në të njëjtën strukturë buxhetore, pas rakordimeve përkatëse të njësisë së qeverisjes së përgjithshme me degën e Thesarit. Një kopje e këtij aktrakordimi paraqitet nga ministria/institucioni qendror në Drejtorinë e Përgjithshme të Buxhetit, gjatë procesit të rakordimit të planit të buxhetit.</w:t>
      </w:r>
    </w:p>
    <w:p w:rsidR="00F74F6D" w:rsidRDefault="00F74F6D" w:rsidP="00F74F6D">
      <w:pPr>
        <w:pStyle w:val="Paragrafi"/>
        <w:rPr>
          <w:spacing w:val="-4"/>
          <w:lang w:val="sq-AL"/>
        </w:rPr>
      </w:pPr>
      <w:r>
        <w:rPr>
          <w:spacing w:val="-4"/>
          <w:lang w:val="sq-AL"/>
        </w:rPr>
        <w:t>11. Në procesin e menaxhimit të investimeve publike njësitë e qeverisjes së përgjithshme mbajnë parasysh kërkesat e urdhrit nr. 166, datë 31.12.2015, “Për krijimin e Bordit të Investimeve”.</w:t>
      </w:r>
    </w:p>
    <w:p w:rsidR="00F74F6D" w:rsidRDefault="00F74F6D" w:rsidP="00F74F6D">
      <w:pPr>
        <w:pStyle w:val="Paragrafi"/>
        <w:rPr>
          <w:spacing w:val="-4"/>
          <w:lang w:val="sq-AL"/>
        </w:rPr>
      </w:pPr>
      <w:r>
        <w:rPr>
          <w:spacing w:val="-4"/>
          <w:lang w:val="sq-AL"/>
        </w:rPr>
        <w:t>12. Detajimi i fondeve për investime të miratuara në ligjin nr.147, datë 17.12.2015, “Për buxhetin e vitit 2016”, si dhe kërkesat për rishpërndarje apo për fonde shtesë për investime, do të paraqiten për konfirmim pranë ministrit të Zhvillimit Ekonomik, Turizmit, Tregtisë dhe Sipërmarrjes. Pas shqyrtimit, konfirmimi përkatës, nga ana e Ministrisë së Zhvillimit Ekonomik, Turizmit, Tregtisë dhe Sipërmarrjes do të paraqitet për miratim pranë ministrit të Financave dhe për njoftim pranë njësive të qeverisjes qendrore. Njësitë e qeverisjes qendrore, në detajimin e planeve të miratuara të investimeve do të mbajnë parasysh këto kritere dhe përparësi në financimin e projekteve:</w:t>
      </w:r>
    </w:p>
    <w:p w:rsidR="00F74F6D" w:rsidRDefault="00F74F6D" w:rsidP="00F74F6D">
      <w:pPr>
        <w:pStyle w:val="Paragrafi"/>
        <w:rPr>
          <w:spacing w:val="-4"/>
          <w:lang w:val="sq-AL"/>
        </w:rPr>
      </w:pPr>
    </w:p>
    <w:p w:rsidR="00F74F6D" w:rsidRDefault="00F74F6D" w:rsidP="00F74F6D">
      <w:pPr>
        <w:pStyle w:val="Paragrafi"/>
        <w:rPr>
          <w:spacing w:val="-4"/>
          <w:lang w:val="sq-AL"/>
        </w:rPr>
      </w:pPr>
      <w:r>
        <w:rPr>
          <w:spacing w:val="-4"/>
          <w:lang w:val="sq-AL"/>
        </w:rPr>
        <w:t>a) Projektet e investimeve të propozuara për financim duhet të jenë pjesë e projekteve të propozuara dhe të shqyrtuara nga Këshilli i Ministrave dhe të paraqitura në Kuvend, për vitin 2016;</w:t>
      </w:r>
    </w:p>
    <w:p w:rsidR="00F74F6D" w:rsidRDefault="00F74F6D" w:rsidP="00F74F6D">
      <w:pPr>
        <w:pStyle w:val="Paragrafi"/>
        <w:rPr>
          <w:spacing w:val="-4"/>
          <w:lang w:val="sq-AL"/>
        </w:rPr>
      </w:pPr>
      <w:r>
        <w:rPr>
          <w:spacing w:val="-4"/>
          <w:lang w:val="sq-AL"/>
        </w:rPr>
        <w:t>b) Në detajimin e investimeve të miratuara nga MZHETTS-ja për njësitë e qeverisjes qendrore do të përfshihen edhe fondet e ngurtësuara, të cilat në total janë 4 miliardë lekë dhe që do të përdoren gjatë vitit 2016 kundrejt arkëtimit të të ardhurave nga dividenti në të njëjtën masë, sipas përcaktimit në nenin 10 të ligjit 147, datë 17.12.2015, “Për ligjin e buxhetit të vitit 2016”.</w:t>
      </w:r>
    </w:p>
    <w:p w:rsidR="00F74F6D" w:rsidRDefault="00F74F6D" w:rsidP="00F74F6D">
      <w:pPr>
        <w:pStyle w:val="Paragrafi"/>
        <w:rPr>
          <w:spacing w:val="-4"/>
          <w:lang w:val="sq-AL"/>
        </w:rPr>
      </w:pPr>
      <w:r>
        <w:rPr>
          <w:spacing w:val="-4"/>
          <w:lang w:val="sq-AL"/>
        </w:rPr>
        <w:t>c) Projektet në vazhdim nga viti 2015 ose më parë, do të financohen me përparësi dhe duhet të jenë pjesë e prioriteteve të propozuara për financim gjatë vitit 2016.</w:t>
      </w:r>
    </w:p>
    <w:p w:rsidR="00F74F6D" w:rsidRDefault="00F74F6D" w:rsidP="00F74F6D">
      <w:pPr>
        <w:pStyle w:val="Paragrafi"/>
        <w:rPr>
          <w:spacing w:val="-4"/>
          <w:lang w:val="sq-AL"/>
        </w:rPr>
      </w:pPr>
      <w:r>
        <w:rPr>
          <w:spacing w:val="-4"/>
          <w:lang w:val="sq-AL"/>
        </w:rPr>
        <w:t>d) Detyrimet lokale për TVSH-në, taksa doganore ose bashkëfinancimet nga buxheti i shtetit për projektet me financim të huaj, do të financohen në përputhje me detyrimet që rrjedhin nga marrëveshjet financiare të projekteve dhe në përputhje me vlerën e financimit të huaj të planifikuar për vitin 2016. Financimi i projekteve me financim të huaj nuk duhet të tejkalojë tavanin e miratuar në ligjin e buxhetit për vitin 2016.</w:t>
      </w:r>
    </w:p>
    <w:p w:rsidR="00F74F6D" w:rsidRDefault="00F74F6D" w:rsidP="00F74F6D">
      <w:pPr>
        <w:pStyle w:val="Paragrafi"/>
        <w:rPr>
          <w:spacing w:val="-4"/>
          <w:lang w:val="sq-AL"/>
        </w:rPr>
      </w:pPr>
      <w:r>
        <w:rPr>
          <w:spacing w:val="-4"/>
          <w:lang w:val="sq-AL"/>
        </w:rPr>
        <w:t>e) Projektet e reja të propozuara për financim duhet të kenë kaluar procedurat e miratimit në kuadër të PBA-së 2016–2018, dhe duhet të jenë në përputhje me prioritetet sektoriale të propozuara nga njësitë e qeverisjes qendrore. Propozimet për financimin e projekteve të reja do të shoqërohen me relacionin dhe formularët përkatës në përputhje me kriteret dhe procedurat e përcaktuara në shtojcën 6 “Për procedurat e menaxhimit të investimeve publike”, të udhëzimit nr. 8, datë 27.2.2015 “Për përgatitjen e Programit Buxhetor Afatmesëm 2016–2018”.</w:t>
      </w:r>
    </w:p>
    <w:p w:rsidR="00F74F6D" w:rsidRDefault="00F74F6D" w:rsidP="00F74F6D">
      <w:pPr>
        <w:pStyle w:val="Paragrafi"/>
        <w:rPr>
          <w:spacing w:val="-4"/>
          <w:lang w:val="sq-AL"/>
        </w:rPr>
      </w:pPr>
      <w:r>
        <w:rPr>
          <w:spacing w:val="-4"/>
          <w:lang w:val="sq-AL"/>
        </w:rPr>
        <w:t>f) Propozimet për projekte të reja të papërfshira në sa më sipër, do të financohen vetëm në kushtet e emergjencës, të shoqëruara me një relacion të hollësishëm për domosdoshmërinë e investimit të kërkuar dhe pas miratimit paraprak nga ana e ministrit të Zhvillimit Ekonomik, Turizmit, Tregtisë dhe Sipërmarrjes (MZHETTS).</w:t>
      </w:r>
    </w:p>
    <w:p w:rsidR="00F74F6D" w:rsidRDefault="00F74F6D" w:rsidP="00F74F6D">
      <w:pPr>
        <w:pStyle w:val="Paragrafi"/>
        <w:rPr>
          <w:spacing w:val="-4"/>
          <w:lang w:val="sq-AL"/>
        </w:rPr>
      </w:pPr>
      <w:r>
        <w:rPr>
          <w:spacing w:val="-4"/>
          <w:lang w:val="sq-AL"/>
        </w:rPr>
        <w:t xml:space="preserve">Projektet e reja që plotësojnë kushtet e mësipërme dhe janë me vlerë deri në 700 milionë lekë, do të financohen vetëm pas miratimit paraprak të ministrit të </w:t>
      </w:r>
      <w:bookmarkStart w:id="1" w:name="OLE_LINK2"/>
      <w:bookmarkStart w:id="2" w:name="OLE_LINK1"/>
      <w:r>
        <w:rPr>
          <w:spacing w:val="-4"/>
          <w:lang w:val="sq-AL"/>
        </w:rPr>
        <w:t>Zhvillimit Ekonomik, Turizmit, Tregtisë dhe Sipërmarrjes</w:t>
      </w:r>
      <w:bookmarkEnd w:id="1"/>
      <w:bookmarkEnd w:id="2"/>
      <w:r>
        <w:rPr>
          <w:spacing w:val="-4"/>
          <w:lang w:val="sq-AL"/>
        </w:rPr>
        <w:t>. Projektet prioritare me vlerë mbi 700 milionë lekë do të financohen vetëm pas shqyrtimit dhe miratimit paraprak në Komitetin Ndërministror për Zhvi-llimin Ekonomik.</w:t>
      </w:r>
    </w:p>
    <w:p w:rsidR="00F74F6D" w:rsidRDefault="00F74F6D" w:rsidP="00F74F6D">
      <w:pPr>
        <w:pStyle w:val="Paragrafi"/>
        <w:rPr>
          <w:spacing w:val="-4"/>
          <w:lang w:val="sq-AL"/>
        </w:rPr>
      </w:pPr>
      <w:r>
        <w:rPr>
          <w:spacing w:val="-4"/>
          <w:lang w:val="sq-AL"/>
        </w:rPr>
        <w:t xml:space="preserve">Shtesat në planin e miratuar të projekteve të investimeve publike në kuadër të kontratave për punime shtesë ose të ndryshimeve në planin e projekteve, si dhe rialokimet e fondeve ndërmjet projekteve gjatë zbatimit të buxhetit, do të bëhen me miratim paraprak të ministrit të Zhvillimit Ekonomik, Turizmit, Tregtisë dhe Sipërmarrjes, bazuar në relacionin dhe argumentet mbi domosdoshmërinë e tyre. </w:t>
      </w:r>
    </w:p>
    <w:p w:rsidR="00F74F6D" w:rsidRDefault="00F74F6D" w:rsidP="00F74F6D">
      <w:pPr>
        <w:pStyle w:val="Paragrafi"/>
        <w:rPr>
          <w:spacing w:val="-4"/>
          <w:lang w:val="sq-AL"/>
        </w:rPr>
      </w:pPr>
      <w:r>
        <w:rPr>
          <w:spacing w:val="-4"/>
          <w:lang w:val="sq-AL"/>
        </w:rPr>
        <w:t>Nëse projekti i propozuar nuk ka qenë pjesë e PBA-së 2016–2018 dhe nëse nuk plotëson asnjë nga kushtet e mësipërme, kërkesa për financim duhet të paraqitet vetëm në kuadër të rishikimit të buxhetit vjetor.</w:t>
      </w:r>
    </w:p>
    <w:p w:rsidR="00F74F6D" w:rsidRDefault="00F74F6D" w:rsidP="00F74F6D">
      <w:pPr>
        <w:pStyle w:val="Paragrafi"/>
        <w:rPr>
          <w:spacing w:val="-4"/>
          <w:lang w:val="sq-AL"/>
        </w:rPr>
      </w:pPr>
      <w:r>
        <w:rPr>
          <w:spacing w:val="-4"/>
          <w:lang w:val="sq-AL"/>
        </w:rPr>
        <w:t xml:space="preserve">13. E drejta e njësisë së qeverisjes së përgjithshme për rishpërndarjen e fondeve për investime, të miratuara për vitin buxhetor, ushtrohet deri në datën 15 nëntor të vitit, e cila konsiderohet data e fundit e </w:t>
      </w:r>
      <w:r>
        <w:rPr>
          <w:spacing w:val="-4"/>
          <w:lang w:val="sq-AL"/>
        </w:rPr>
        <w:lastRenderedPageBreak/>
        <w:t>paraqitjes së kërkesës për rialokim pranë Ministrisë së Zhvillimit Ekonomik, Turizmit, Tregtisë dhe Sipërmarrjes.</w:t>
      </w:r>
    </w:p>
    <w:p w:rsidR="00F74F6D" w:rsidRDefault="00F74F6D" w:rsidP="00F74F6D">
      <w:pPr>
        <w:pStyle w:val="Paragrafi"/>
        <w:rPr>
          <w:spacing w:val="-4"/>
          <w:lang w:val="sq-AL"/>
        </w:rPr>
      </w:pPr>
      <w:r>
        <w:rPr>
          <w:spacing w:val="-4"/>
          <w:lang w:val="sq-AL"/>
        </w:rPr>
        <w:t xml:space="preserve">14. Projektvendimet e Këshillit të Ministrave, të cilat lidhen me investime publike, duhet të paraqiten për mendim në Ministrinë e Financave, pas marrjes së miratimit nga Ministria e Zhvillimit Ekonomik, Turizmit, Tregtisë dhe Sipërmarrjes. Ministria e linjës duhet të paraqesë pranë Ministrisë së Financave një kopje të shkresës së MZHETTS-së dhe konfirmimi nga MZHETTS-ja duhet të jetë pjesë e relacionit shoqërues të projektvendimit të paraqitur për miratim. </w:t>
      </w:r>
    </w:p>
    <w:p w:rsidR="00F74F6D" w:rsidRDefault="00F74F6D" w:rsidP="00F74F6D">
      <w:pPr>
        <w:pStyle w:val="Paragrafi"/>
        <w:rPr>
          <w:spacing w:val="-4"/>
          <w:lang w:val="sq-AL"/>
        </w:rPr>
      </w:pPr>
      <w:r>
        <w:rPr>
          <w:spacing w:val="-4"/>
          <w:lang w:val="sq-AL"/>
        </w:rPr>
        <w:t>15. Fondet për projektet e reja të investimeve për blerjen e pajisjeve elektronike/informatike, të cilat nuk e kanë ndjekur ciklin e planifikimit të investimeve publike dhe që lidhen me Teknologjinë e Informacionit, bëhen efektive pas konfirmimit nga Agjencia Kombëtare e Shoqërisë së Informacionit.</w:t>
      </w:r>
    </w:p>
    <w:p w:rsidR="00F74F6D" w:rsidRDefault="00F74F6D" w:rsidP="00F74F6D">
      <w:pPr>
        <w:pStyle w:val="Paragrafi"/>
        <w:rPr>
          <w:spacing w:val="-4"/>
          <w:lang w:val="sq-AL"/>
        </w:rPr>
      </w:pPr>
      <w:r>
        <w:rPr>
          <w:spacing w:val="-4"/>
          <w:lang w:val="sq-AL"/>
        </w:rPr>
        <w:t>Në rastet kur në marrëveshjen dypalëshe, të nënshkruar për zbatimin e projekteve me financim të huaj, është përcaktuar që disbursimi nga donatori/kreditori do të bëhet pasi të jetë kryer shpenzimi dhe pasi të jetë vlerësuar performanca e projektit, atëherë për kryerjen e shpenzimit, ministritë/institucionet, në rast se nuk kanë parashikuar fondet përkatëse në planin e buxhetit vjetor, do të shqyrtojnë mundësinë e një rialokimi për të siguruar fondet e nevojshme.</w:t>
      </w:r>
    </w:p>
    <w:p w:rsidR="00F74F6D" w:rsidRDefault="00F74F6D" w:rsidP="00F74F6D">
      <w:pPr>
        <w:pStyle w:val="Paragrafi"/>
        <w:rPr>
          <w:spacing w:val="-4"/>
          <w:lang w:val="sq-AL"/>
        </w:rPr>
      </w:pPr>
      <w:r>
        <w:rPr>
          <w:spacing w:val="-4"/>
          <w:lang w:val="sq-AL"/>
        </w:rPr>
        <w:t>Fondet e rimbursuara nga financuesi sipas projekteve përkatëse, do të regjistrohen në një zë të veçantë për t’u dalluar nga grantet dhe kreditë e tjera, me emërtimin “Rimbursim i shpenzimeve pas vlerësimit të performancës”.</w:t>
      </w:r>
    </w:p>
    <w:p w:rsidR="00F74F6D" w:rsidRDefault="00F74F6D" w:rsidP="00F74F6D">
      <w:pPr>
        <w:pStyle w:val="Paragrafi"/>
        <w:rPr>
          <w:spacing w:val="-4"/>
          <w:lang w:val="sq-AL"/>
        </w:rPr>
      </w:pPr>
      <w:r>
        <w:rPr>
          <w:spacing w:val="-4"/>
          <w:lang w:val="sq-AL"/>
        </w:rPr>
        <w:t>Numri i punonjësve buxhetorë dhe shpenzimet e personelit</w:t>
      </w:r>
    </w:p>
    <w:p w:rsidR="00F74F6D" w:rsidRDefault="00F74F6D" w:rsidP="00F74F6D">
      <w:pPr>
        <w:pStyle w:val="Paragrafi"/>
        <w:rPr>
          <w:spacing w:val="-4"/>
          <w:lang w:val="sq-AL"/>
        </w:rPr>
      </w:pPr>
      <w:r>
        <w:rPr>
          <w:spacing w:val="-4"/>
          <w:lang w:val="sq-AL"/>
        </w:rPr>
        <w:t xml:space="preserve">16. Numri maksimal i punonjësve për çdo ministri dhe institucion qendror detajohet nga ministritë dhe institucionet qendrore në përputhje me emërtesën e institucionit dhe numrin përkatës të saj të përcaktuar në urdhrin e miratimit të strukturës së çdo institucioni varësie. Si rregull, ky numër i shtrin efektet financiare duke filluar nga data 1 shkurt 2016, ndërsa në muajin janar, për pagesat e punonjësve do të operohet me numrin e punonjësve të muajit dhjetor të vitit 2015. </w:t>
      </w:r>
    </w:p>
    <w:p w:rsidR="00F74F6D" w:rsidRDefault="00F74F6D" w:rsidP="00F74F6D">
      <w:pPr>
        <w:pStyle w:val="Paragrafi"/>
        <w:rPr>
          <w:spacing w:val="-4"/>
          <w:lang w:val="sq-AL"/>
        </w:rPr>
      </w:pPr>
      <w:r>
        <w:rPr>
          <w:spacing w:val="-4"/>
          <w:lang w:val="sq-AL"/>
        </w:rPr>
        <w:t>17. Në zbatim të nenit 11, të ligjit nr. 147, datë 17.12.2015 “Për buxhetin e vitit 2016”, për vitin 2016 nuk do të miratohet asnjë ndryshim në strukturat organike të njësive të qeverisjes qendrore me efekte financiare shtesë në koston e personelit. Këtij rregulli i nënshtrohen edhe ato struktura në të cilat, paga për funksion jepet ose është sipas gradës përkatëse, ku çdo rritje në gradë do të bëhet efektive vetëm nëse nuk shoqërohet me efekte financiare shtesë në koston e përllogaritur, sipas gradave të miratuara. Përjashtim bëjnë institucionet e reja të krijuara gjatë vitit buxhetor.</w:t>
      </w:r>
    </w:p>
    <w:p w:rsidR="00F74F6D" w:rsidRDefault="00F74F6D" w:rsidP="00F74F6D">
      <w:pPr>
        <w:pStyle w:val="Paragrafi"/>
        <w:rPr>
          <w:spacing w:val="-4"/>
          <w:lang w:val="sq-AL"/>
        </w:rPr>
      </w:pPr>
      <w:r>
        <w:rPr>
          <w:spacing w:val="-4"/>
          <w:lang w:val="sq-AL"/>
        </w:rPr>
        <w:t xml:space="preserve">18. Efektet financiare të ndryshimit të strukturave të njësive të qeverisjes qendrore vlerë-sohen nga struktura përgjegjëse për buxhetin në Ministrinë e Financave.  </w:t>
      </w:r>
    </w:p>
    <w:p w:rsidR="00F74F6D" w:rsidRDefault="00F74F6D" w:rsidP="00F74F6D">
      <w:pPr>
        <w:pStyle w:val="Paragrafi"/>
        <w:rPr>
          <w:spacing w:val="-4"/>
          <w:lang w:val="sq-AL"/>
        </w:rPr>
      </w:pPr>
      <w:r>
        <w:rPr>
          <w:spacing w:val="-4"/>
          <w:lang w:val="sq-AL"/>
        </w:rPr>
        <w:t>19. Numri rezervë i punonjësve përcaktohet në ligjin vjetor të buxhetit dhe alokohet me vendim të Këshillit të Ministrave. Procedurat e detajimit dhe të miratimit përcaktohen në të njëjtën mënyrë si për punonjësit në organik.</w:t>
      </w:r>
    </w:p>
    <w:p w:rsidR="00F74F6D" w:rsidRDefault="00F74F6D" w:rsidP="00F74F6D">
      <w:pPr>
        <w:pStyle w:val="Paragrafi"/>
        <w:rPr>
          <w:spacing w:val="-4"/>
          <w:lang w:val="sq-AL"/>
        </w:rPr>
      </w:pPr>
      <w:r>
        <w:rPr>
          <w:spacing w:val="-4"/>
          <w:lang w:val="sq-AL"/>
        </w:rPr>
        <w:t xml:space="preserve">20. Punonjësit me kontratë të përkohshme pune, mbi numrin organik të miratuar për njësitë shpenzuese, miratohen me vendim të Këshillit të Ministrave. </w:t>
      </w:r>
    </w:p>
    <w:p w:rsidR="00F74F6D" w:rsidRDefault="00F74F6D" w:rsidP="00F74F6D">
      <w:pPr>
        <w:pStyle w:val="Paragrafi"/>
        <w:rPr>
          <w:lang w:val="sq-AL"/>
        </w:rPr>
      </w:pPr>
      <w:r>
        <w:rPr>
          <w:spacing w:val="-4"/>
          <w:lang w:val="sq-AL"/>
        </w:rPr>
        <w:t xml:space="preserve">Punonjësit të cilët merren me anketime të ndryshme në Institutin e Statistikës, punonjësit që përfshihen në procesin zgjedhor nga Komisioni Qendror i Zgjedhjeve, instruktorët e qendrave të formimit profesional, si dhe mësuesit në dispo-zicion në arsimin parauniversitar dhe arsimin pro-fesional nuk përfshihen në këtë vendim. Miratimi i numrit të këtyre punonjësve, afatet kohore dhe të </w:t>
      </w:r>
      <w:r>
        <w:rPr>
          <w:lang w:val="sq-AL"/>
        </w:rPr>
        <w:t>tjera specifikime për kontraktimin me kohë të pjesshme të tyre, bëhet sipas udhëzimit të përbashkët të institucionit qendror përgjegjës dhe Ministrisë së Financave.</w:t>
      </w:r>
    </w:p>
    <w:p w:rsidR="00F74F6D" w:rsidRDefault="00F74F6D" w:rsidP="00F74F6D">
      <w:pPr>
        <w:pStyle w:val="Paragrafi"/>
        <w:rPr>
          <w:lang w:val="sq-AL"/>
        </w:rPr>
      </w:pPr>
      <w:r>
        <w:rPr>
          <w:lang w:val="sq-AL"/>
        </w:rPr>
        <w:t xml:space="preserve">Efektet financiare për punonjësit e kontraktuar përballohen nga shpenzimet korrente të miratuara në buxhetin e vitit 2016, të njësive të qeverisjes qendrore dhe regjistrohen në të njëjtën mënyrë si shpenzimet e personelit organik. Efektet financiare për punonjësit e kontraktuar për qendrat e transferimit të teknologjisë bujqësore, Shtëpinë e Pushimit Durrës (të MPB-së), Shtëpinë e Pushimit të SHISH-it dhe Shërbimit Gjeologjik Shqiptar, përballohen nga të ardhurat e vetë institucionit. Për punonjësit e kontraktuar për ALUIZNI-n dhe qendrat e formimit profesional efektet financiare përballohen pjesërisht nga të ardhurat dhe pjesërisht nga fondet buxhetore të miratuara për vitin 2016. </w:t>
      </w:r>
    </w:p>
    <w:p w:rsidR="00F74F6D" w:rsidRDefault="00F74F6D" w:rsidP="00F74F6D">
      <w:pPr>
        <w:pStyle w:val="Paragrafi"/>
        <w:rPr>
          <w:lang w:val="sq-AL"/>
        </w:rPr>
      </w:pPr>
      <w:r>
        <w:rPr>
          <w:lang w:val="sq-AL"/>
        </w:rPr>
        <w:t xml:space="preserve">21. Çdo ndryshim i numrit të punonjësve nga një njësi shpenzuese tek tjetra, shoqërohet me aktin përkatës të strukturës së miratuar të njësive shpenzuese. Nga ky rregull përjashtohen: </w:t>
      </w:r>
    </w:p>
    <w:p w:rsidR="00F74F6D" w:rsidRDefault="00F74F6D" w:rsidP="00F74F6D">
      <w:pPr>
        <w:pStyle w:val="Paragrafi"/>
        <w:rPr>
          <w:lang w:val="sq-AL"/>
        </w:rPr>
      </w:pPr>
      <w:r>
        <w:rPr>
          <w:lang w:val="sq-AL"/>
        </w:rPr>
        <w:t>a) Institucioni i Prokurorisë së Përgjithshme dhe i gjykatave, për transferimin e prokurorëve dhe gjyqtarëve nga një njësi shpenzuese në një tjetër. Miratimi i ndryshimit të numrit të punonjësve organikë bëhet pas vlerësimit të kostos financiare nga struktura përgjegjëse për buxhetin dhe pas paraqitjes së kërkesës së institucionit të shoqëruar me urdhrin përkatës të emërimit të prokurorit / gjyqtarit.</w:t>
      </w:r>
    </w:p>
    <w:p w:rsidR="00F74F6D" w:rsidRDefault="00F74F6D" w:rsidP="00F74F6D">
      <w:pPr>
        <w:pStyle w:val="Paragrafi"/>
        <w:rPr>
          <w:spacing w:val="-4"/>
          <w:lang w:val="sq-AL"/>
        </w:rPr>
      </w:pPr>
      <w:r>
        <w:rPr>
          <w:spacing w:val="-4"/>
          <w:lang w:val="sq-AL"/>
        </w:rPr>
        <w:t xml:space="preserve">b) Transferimi i numrit të punonjësve mësimorë organik, nga një shkollë në tjetrën, bëhet pas vlerësimit </w:t>
      </w:r>
      <w:r>
        <w:rPr>
          <w:spacing w:val="-4"/>
          <w:lang w:val="sq-AL"/>
        </w:rPr>
        <w:lastRenderedPageBreak/>
        <w:t xml:space="preserve">të kostos financiare nga struktura përgjegjëse për buxhetin dhe pas paraqitjes së kërkesës së institucionit qendror. </w:t>
      </w:r>
    </w:p>
    <w:p w:rsidR="00F74F6D" w:rsidRDefault="00F74F6D" w:rsidP="00F74F6D">
      <w:pPr>
        <w:pStyle w:val="Paragrafi"/>
        <w:rPr>
          <w:spacing w:val="-4"/>
          <w:lang w:val="sq-AL"/>
        </w:rPr>
      </w:pPr>
      <w:r>
        <w:rPr>
          <w:spacing w:val="-4"/>
          <w:lang w:val="sq-AL"/>
        </w:rPr>
        <w:t xml:space="preserve">22. Fondi i pagave dhe i sigurimeve shoqërore përdoret nga çdo njësi shpenzuese për numrin faktik mujor të punonjësve në organikë, brenda numrit limit të miratuar. Nuk lejohet përdorimi i fondit të lirë që rezulton nga strukturat e paplotë-suara apo nga reduktimi i strukturave aktuale. Vetëm në raste specifike, përdorimi i këtij fondi miratohet nga Ministria e Financave. Fondi i pagave dhe i sigurimeve shoqërore përdoret për pagesën e punonjësve me kontratë të përkohshme pune, kur është parashikuar një fond i tillë nga Ministria e Financave. </w:t>
      </w:r>
    </w:p>
    <w:p w:rsidR="00F74F6D" w:rsidRDefault="00F74F6D" w:rsidP="00F74F6D">
      <w:pPr>
        <w:pStyle w:val="Paragrafi"/>
        <w:rPr>
          <w:spacing w:val="-4"/>
          <w:lang w:val="sq-AL"/>
        </w:rPr>
      </w:pPr>
      <w:r>
        <w:rPr>
          <w:spacing w:val="-4"/>
          <w:lang w:val="sq-AL"/>
        </w:rPr>
        <w:t>23. Në zbatimin e fondit limit të pagave të mbahen në konsideratë rregullat e përcaktuara në shtojcën nr. 3, bashkëlidhur këtij udhëzimi.</w:t>
      </w:r>
    </w:p>
    <w:p w:rsidR="00F74F6D" w:rsidRDefault="00F74F6D" w:rsidP="00F74F6D">
      <w:pPr>
        <w:pStyle w:val="Paragrafi"/>
        <w:rPr>
          <w:spacing w:val="-4"/>
          <w:lang w:val="sq-AL"/>
        </w:rPr>
      </w:pPr>
      <w:r>
        <w:rPr>
          <w:spacing w:val="-4"/>
          <w:lang w:val="sq-AL"/>
        </w:rPr>
        <w:t>24. Plotësimi i borderosë së pagave të bëhet sipas shtojcës nr. 4 bashkëlidhur këtij udhëzimi.</w:t>
      </w:r>
    </w:p>
    <w:p w:rsidR="00F74F6D" w:rsidRDefault="00F74F6D" w:rsidP="00F74F6D">
      <w:pPr>
        <w:pStyle w:val="Paragrafi"/>
        <w:rPr>
          <w:spacing w:val="-4"/>
          <w:lang w:val="sq-AL"/>
        </w:rPr>
      </w:pPr>
      <w:r>
        <w:rPr>
          <w:spacing w:val="-4"/>
          <w:lang w:val="sq-AL"/>
        </w:rPr>
        <w:t>25. Për punonjësit me kontratë hartohet bordero e veçantë.</w:t>
      </w:r>
    </w:p>
    <w:p w:rsidR="00F74F6D" w:rsidRDefault="00F74F6D" w:rsidP="00F74F6D">
      <w:pPr>
        <w:pStyle w:val="Paragrafi"/>
        <w:rPr>
          <w:spacing w:val="-4"/>
          <w:lang w:val="sq-AL"/>
        </w:rPr>
      </w:pPr>
      <w:r>
        <w:rPr>
          <w:spacing w:val="-4"/>
          <w:lang w:val="sq-AL"/>
        </w:rPr>
        <w:t>Fondi i veçantë</w:t>
      </w:r>
    </w:p>
    <w:p w:rsidR="00F74F6D" w:rsidRDefault="00F74F6D" w:rsidP="00F74F6D">
      <w:pPr>
        <w:pStyle w:val="Paragrafi"/>
        <w:rPr>
          <w:spacing w:val="-4"/>
          <w:lang w:val="sq-AL"/>
        </w:rPr>
      </w:pPr>
      <w:r>
        <w:rPr>
          <w:spacing w:val="-4"/>
          <w:lang w:val="sq-AL"/>
        </w:rPr>
        <w:t xml:space="preserve">26. Fondi i veçantë i njësive shpenzuese nuk është pjesë e fondit të pagave, pasi ky fond do të alokohet dhe përdoret me miratim të ministrit të Financave. </w:t>
      </w:r>
    </w:p>
    <w:p w:rsidR="00F74F6D" w:rsidRDefault="00F74F6D" w:rsidP="00F74F6D">
      <w:pPr>
        <w:pStyle w:val="Paragrafi"/>
        <w:rPr>
          <w:spacing w:val="-4"/>
          <w:lang w:val="sq-AL"/>
        </w:rPr>
      </w:pPr>
      <w:r>
        <w:rPr>
          <w:spacing w:val="-4"/>
          <w:lang w:val="sq-AL"/>
        </w:rPr>
        <w:t>27. Limiti maksimal i fondit të veçantë, i parashikuar për t’u përdorur për çdo njësi të qeverisjes qendrore, është përcaktuar në tabelën 1, bashkëlidhur këtij udhëzimi. Njësitë e qeverisjes qendrore njoftojnë të gjitha njësitë shpenzuese të varësisë për limitin maksimal të fondit të veçantë për t’u shpenzuar prej tyre. Përdorimi i fondit të veçantë bëhet në përputhje me kriteret e përcaktuara në vendimin e Këshillit të Ministrave nr. 929, datë 17.11.2010 “Për krijimin dhe përdorimin e fondit të veçantë”, i ndryshuar.</w:t>
      </w:r>
    </w:p>
    <w:p w:rsidR="00F74F6D" w:rsidRDefault="00F74F6D" w:rsidP="00F74F6D">
      <w:pPr>
        <w:pStyle w:val="Paragrafi"/>
        <w:rPr>
          <w:spacing w:val="-4"/>
          <w:lang w:val="sq-AL"/>
        </w:rPr>
      </w:pPr>
      <w:r>
        <w:rPr>
          <w:spacing w:val="-4"/>
          <w:lang w:val="sq-AL"/>
        </w:rPr>
        <w:t xml:space="preserve">28. Kërkesat për përdorimin e fondit të veçantë brenda limitit të njoftuar do të paraqiten rast pas rasti nga njësitë e qeverisjes qendrore te nëpunësi i parë autorizues, i cili i shqyrton nëpërmjet strukturës përgjegjëse për buxhetin dhe i propozon për miratim te ministri i Financave. Kjo kërkesë duhet të përmbajë edhe informacionin lidhur me shumën e përdorur nga fondi i veçantë deri në momentin e paraqitjes së kësaj kërkese. </w:t>
      </w:r>
    </w:p>
    <w:p w:rsidR="00F74F6D" w:rsidRDefault="00F74F6D" w:rsidP="00F74F6D">
      <w:pPr>
        <w:pStyle w:val="Paragrafi"/>
        <w:rPr>
          <w:spacing w:val="-4"/>
          <w:lang w:val="sq-AL"/>
        </w:rPr>
      </w:pPr>
      <w:r>
        <w:rPr>
          <w:spacing w:val="-4"/>
          <w:lang w:val="sq-AL"/>
        </w:rPr>
        <w:t xml:space="preserve">29. Në fondin limit të përcaktuar sipas pikës 27, nuk përfshihet fondi i veçantë i njësive të qeverisjes vendore, i Fondeve të Sigurimeve Shoqërore, i Fondit të Sigurimeve Shëndetësore, i universiteteve, i Qendrës Kombëtare të Regjistrimit për Bashkitë dhe i Qendrës Kombëtare të Licencimit për Bashkitë. Për këto institucione, kërkesa për përdorim nga fondi i veçantë me destinacion të përcaktuar në shkresë, paraqitet nga njësia shpenzuese në degën e Thesarit, duke respektuar kriteret e VKM-së nr. 929, datë 17.11.2010, i ndryshuar. Në rast të përdorimit, ai transferohet nga vetë njësitë nga artikulli 600 në artikujt 602 dhe 606, sipas natyrës së shpenzimit. Një kopje e kësaj kërkese paraqitet nga dega e Thesarit, në Drejtorinë e Përgjithshme të Buxhetit për t’u regjistruar në Sistemin Informatik Financiar të Qeverisë.  </w:t>
      </w:r>
    </w:p>
    <w:p w:rsidR="00F74F6D" w:rsidRDefault="00F74F6D" w:rsidP="00F74F6D">
      <w:pPr>
        <w:pStyle w:val="Paragrafi"/>
        <w:rPr>
          <w:spacing w:val="-4"/>
          <w:lang w:val="sq-AL"/>
        </w:rPr>
      </w:pPr>
      <w:r>
        <w:rPr>
          <w:spacing w:val="-4"/>
          <w:lang w:val="sq-AL"/>
        </w:rPr>
        <w:t>Kontrolle financiare paraprake shtesë në procesin e menaxhimit të fondeve publike</w:t>
      </w:r>
    </w:p>
    <w:p w:rsidR="00F74F6D" w:rsidRDefault="00F74F6D" w:rsidP="00F74F6D">
      <w:pPr>
        <w:pStyle w:val="Paragrafi"/>
        <w:rPr>
          <w:spacing w:val="-4"/>
          <w:lang w:val="sq-AL"/>
        </w:rPr>
      </w:pPr>
      <w:r>
        <w:rPr>
          <w:spacing w:val="-4"/>
          <w:lang w:val="sq-AL"/>
        </w:rPr>
        <w:t>30. Me qëllim menaxhimin financiar eficient të fondeve publike dhe parandalimit të krijimit të detyrimeve të papaguara në kohë, në nenin 10 të ligjit nr. 147, datë 17.12.2015, “Për buxhetin e vitit 2016”, janë miratuar tavanet buxhetore për çdo program, të ndara për shpenzime korente dhe shpenzime kapitale për vitet 2017 dhe 2018.</w:t>
      </w:r>
    </w:p>
    <w:p w:rsidR="00F74F6D" w:rsidRDefault="00F74F6D" w:rsidP="00F74F6D">
      <w:pPr>
        <w:pStyle w:val="Paragrafi"/>
        <w:rPr>
          <w:spacing w:val="-4"/>
          <w:lang w:val="sq-AL"/>
        </w:rPr>
      </w:pPr>
      <w:r>
        <w:rPr>
          <w:spacing w:val="-4"/>
          <w:lang w:val="sq-AL"/>
        </w:rPr>
        <w:t>31. Me vendimin nr. 110, datë 27.2.2014, të Këshillit të Ministrave, janë përcaktuar kufijtë për limitet e angazhimeve shumëvjeçare. Për zbatimin e këtyre rregullave çdo njësi e qeverisjes qendrore, gjatë detajimit të buxhetit vjetor, detajon edhe tavanet për limitet e angazhimit për institucionet e varësisë. Ndërsa detajimi i buxhetit 2016 bëhet pjesë e Sistemit Informatik Financiar të Qeverisë, limitet e angazhimit për vitet 2017 dhe 2018, depozitohen në degët e Thesarit të rretheve për t’u regjistruar në një pasqyrë të veçantë jashtë Sistemit Informatik Financiar të Qeverisë, deri në momentin që sistemi do të zgjerohet duke përfshirë edhe këto vite. Për vitin 2019, limiti i angazhimit depozitohet me miratimin nga Këshilli i Ministrave të tavaneve përgatitore 2017–2019.</w:t>
      </w:r>
    </w:p>
    <w:p w:rsidR="00F74F6D" w:rsidRDefault="00F74F6D" w:rsidP="00F74F6D">
      <w:pPr>
        <w:pStyle w:val="Paragrafi"/>
        <w:rPr>
          <w:spacing w:val="-4"/>
          <w:lang w:val="sq-AL"/>
        </w:rPr>
      </w:pPr>
      <w:r>
        <w:rPr>
          <w:spacing w:val="-4"/>
          <w:lang w:val="sq-AL"/>
        </w:rPr>
        <w:t>32. Kontrolli mbi limitet e angazhimit përfshin këtë procedurë:</w:t>
      </w:r>
    </w:p>
    <w:p w:rsidR="00F74F6D" w:rsidRDefault="00F74F6D" w:rsidP="00F74F6D">
      <w:pPr>
        <w:pStyle w:val="Paragrafi"/>
        <w:rPr>
          <w:spacing w:val="-4"/>
          <w:lang w:val="sq-AL"/>
        </w:rPr>
      </w:pPr>
      <w:r>
        <w:rPr>
          <w:spacing w:val="-4"/>
          <w:lang w:val="sq-AL"/>
        </w:rPr>
        <w:t>- Çdo njësi e qeverisjes së përgjithshme depoziton regjistrin e prokurimeve publike zyrtarisht dhe elektronikisht në Agjencinë e Prokurimit Publik dhe degën e Thesarit në fillim të çdo viti buxhetor, si dhe çdo ndryshim të tij gjatë vitit, përpara fillimit të procedurës së prokurimit. Në çdo rast, shuma totale e prokurimeve duhet të jetë e barabartë ose më e vogël se fondet e miratuara për vitin buxhetor.</w:t>
      </w:r>
    </w:p>
    <w:p w:rsidR="00F74F6D" w:rsidRDefault="00F74F6D" w:rsidP="00F74F6D">
      <w:pPr>
        <w:pStyle w:val="Paragrafi"/>
        <w:rPr>
          <w:spacing w:val="-4"/>
          <w:lang w:val="sq-AL"/>
        </w:rPr>
      </w:pPr>
      <w:r>
        <w:rPr>
          <w:spacing w:val="-4"/>
          <w:lang w:val="sq-AL"/>
        </w:rPr>
        <w:t>- Në rast se parashikohen prokurime për kontrata shumëvjeçare, ato duhet të paraqiten në regjistër, duke specifikuar veçmas fondin e nevojshëm për vitin buxhetor 2016 dhe fondet e parashikuara për secilin vit buxhetor, deri në plotësimin e shërbimeve/punimeve të planifikuara.</w:t>
      </w:r>
    </w:p>
    <w:p w:rsidR="00F74F6D" w:rsidRDefault="00F74F6D" w:rsidP="00F74F6D">
      <w:pPr>
        <w:pStyle w:val="Paragrafi"/>
        <w:rPr>
          <w:spacing w:val="-4"/>
          <w:lang w:val="sq-AL"/>
        </w:rPr>
      </w:pPr>
      <w:r>
        <w:rPr>
          <w:spacing w:val="-4"/>
          <w:lang w:val="sq-AL"/>
        </w:rPr>
        <w:t xml:space="preserve">- Dega e Thesarit kryen kontrollin e totalit të fondeve të paraqitura në regjistrin e prokurimeve me totalin e fondeve të miratuara në buxhetin e njësisë dhe vetëm pasi vuloset nga Thesari urdhri i prokurimit, njësia mund të fillojë procesin e prokurimit në Agjencinë e Prokurimeve Publike. </w:t>
      </w:r>
    </w:p>
    <w:p w:rsidR="00F74F6D" w:rsidRDefault="00F74F6D" w:rsidP="00F74F6D">
      <w:pPr>
        <w:pStyle w:val="Paragrafi"/>
        <w:rPr>
          <w:spacing w:val="-4"/>
          <w:lang w:val="sq-AL"/>
        </w:rPr>
      </w:pPr>
      <w:r>
        <w:rPr>
          <w:spacing w:val="-4"/>
          <w:lang w:val="sq-AL"/>
        </w:rPr>
        <w:lastRenderedPageBreak/>
        <w:t xml:space="preserve">- Institucionet buxhetore, të cilat operojnë direkt në SIFQ, regjistrojnë në sistem çdo vlerë prokurimi të përcaktuar në planin e miratuar të prokurimeve të institucionit dhe pasi marrin numrin unik të regjistrimit në SIFQ dhe vulën e Thesarit, procedojnë me dërgimin në Agjencinë e Prokurimeve Publike. </w:t>
      </w:r>
    </w:p>
    <w:p w:rsidR="00F74F6D" w:rsidRDefault="00F74F6D" w:rsidP="00F74F6D">
      <w:pPr>
        <w:pStyle w:val="Paragrafi"/>
        <w:rPr>
          <w:spacing w:val="-4"/>
          <w:lang w:val="sq-AL"/>
        </w:rPr>
      </w:pPr>
      <w:r>
        <w:rPr>
          <w:spacing w:val="-4"/>
          <w:lang w:val="sq-AL"/>
        </w:rPr>
        <w:t xml:space="preserve">- Të gjithë urdhrat e prokurimit që nxirren gjatë vitit për mallrat, shërbimet dhe investimet duhet të paraqiten në degën e Thesarit, së bashku me ftesën për prokurim, të cilat duhet: i) t’i përmbahen listës së prokurimeve të dorëzuar në Thesar; ii) të kontrollohen për përputhshmëri me regjistrin e prokurimeve dhe të vulosen nga dega e Thesarit, përpara procedimit, sipas rregullave të prokurimit publik. </w:t>
      </w:r>
    </w:p>
    <w:p w:rsidR="00F74F6D" w:rsidRDefault="00F74F6D" w:rsidP="00F74F6D">
      <w:pPr>
        <w:pStyle w:val="Paragrafi"/>
        <w:rPr>
          <w:spacing w:val="-4"/>
          <w:lang w:val="sq-AL"/>
        </w:rPr>
      </w:pPr>
      <w:r>
        <w:rPr>
          <w:spacing w:val="-4"/>
          <w:lang w:val="sq-AL"/>
        </w:rPr>
        <w:t xml:space="preserve">- Dega e Thesarit informon strukturën përgjegjëse të buxhetit në Ministrinë e Financave, një herë në muaj, brenda 10 ditëve të para të muajit pasardhës, mbi urdhrat e prokurimit të miratuara prej saj, sipas strukturës buxhetore. </w:t>
      </w:r>
    </w:p>
    <w:p w:rsidR="00F74F6D" w:rsidRDefault="00F74F6D" w:rsidP="00F74F6D">
      <w:pPr>
        <w:pStyle w:val="Paragrafi"/>
        <w:rPr>
          <w:spacing w:val="-4"/>
          <w:lang w:val="sq-AL"/>
        </w:rPr>
      </w:pPr>
      <w:r>
        <w:rPr>
          <w:spacing w:val="-4"/>
          <w:lang w:val="sq-AL"/>
        </w:rPr>
        <w:t xml:space="preserve">- Nëse në degën e Thesarit paraqitet një urdhërprokurimi i pambuluar me fonde buxhetore, atëherë dega e Thesarit refuzon me shkrim dokumentin e paraqitur dhe për këtë njofton Agjencinë e Prokurimit Publik. Në asnjë rast, Agjencia e Prokurimit Publik nuk fillon procedurën zyrtare të prokurimit, pa pasur më parë një miratim të degës përkatëse të Thesarit. </w:t>
      </w:r>
    </w:p>
    <w:p w:rsidR="00F74F6D" w:rsidRDefault="00F74F6D" w:rsidP="00F74F6D">
      <w:pPr>
        <w:pStyle w:val="Paragrafi"/>
        <w:rPr>
          <w:spacing w:val="-4"/>
          <w:lang w:val="sq-AL"/>
        </w:rPr>
      </w:pPr>
      <w:r>
        <w:rPr>
          <w:spacing w:val="-4"/>
          <w:lang w:val="sq-AL"/>
        </w:rPr>
        <w:t>33. Kontratat e lidhura nga njësitë e qeverisjes së përgjithshme duhet të paraqiten dhe të procedohen në degën e Thesarit përkatës sipas kërkesave të udhëzimit standard të zbatimit të buxhetit. Në rast vonese, dega e Thesarit procedon me regjistrimin në SIFQ dhe njofton menjëherë nëpunësin e parë autorizues, i cili ndërmerr masa administrative ose inspektim financiar sipas kuadrit ligjor në fuqi. Në të njëjtën mënyrë veprohet edhe për paraqitjen me vonesë në degën e Thesarit të dokumenteve që vërtetojnë shpenzimin e kryer.</w:t>
      </w:r>
    </w:p>
    <w:p w:rsidR="00F74F6D" w:rsidRDefault="00F74F6D" w:rsidP="00F74F6D">
      <w:pPr>
        <w:pStyle w:val="Paragrafi"/>
        <w:rPr>
          <w:spacing w:val="-4"/>
          <w:lang w:val="sq-AL"/>
        </w:rPr>
      </w:pPr>
      <w:r>
        <w:rPr>
          <w:spacing w:val="-4"/>
          <w:lang w:val="sq-AL"/>
        </w:rPr>
        <w:t>34. Ministria e Financave zhvillon monitorime çdo katër muaj te të gjitha ministritë e linjës, nëse ka detyrime financiare të krijuara rishtas dhe të papaguara në kohë, për të përcaktuar pagesat e reja të kërkueshme që rrjedhin nga faturat ose pretendimet e marra pas datës 1 janar 2016 dhe kryen një analizë, duke përcaktuar përgjegjësinë dhe vendosur masa administrative sipas kuadrit ligjor në fuqi.</w:t>
      </w:r>
    </w:p>
    <w:p w:rsidR="00F74F6D" w:rsidRDefault="00F74F6D" w:rsidP="00F74F6D">
      <w:pPr>
        <w:pStyle w:val="Paragrafi"/>
        <w:rPr>
          <w:spacing w:val="-4"/>
          <w:lang w:val="sq-AL"/>
        </w:rPr>
      </w:pPr>
    </w:p>
    <w:p w:rsidR="00F74F6D" w:rsidRDefault="00F74F6D" w:rsidP="00F74F6D">
      <w:pPr>
        <w:pStyle w:val="Paragrafi"/>
        <w:rPr>
          <w:spacing w:val="-4"/>
          <w:lang w:val="sq-AL"/>
        </w:rPr>
      </w:pPr>
      <w:r>
        <w:rPr>
          <w:spacing w:val="-4"/>
          <w:lang w:val="sq-AL"/>
        </w:rPr>
        <w:t>35. Rregullat dhe procedurat më të detajuara për regjistrimin dhe raportimin e limiteve të angazhimit përcaktohen me udhëzim të veçantë.</w:t>
      </w:r>
    </w:p>
    <w:p w:rsidR="00F74F6D" w:rsidRDefault="00F74F6D" w:rsidP="00F74F6D">
      <w:pPr>
        <w:pStyle w:val="Paragrafi"/>
        <w:rPr>
          <w:spacing w:val="-4"/>
          <w:lang w:val="sq-AL"/>
        </w:rPr>
      </w:pPr>
      <w:r>
        <w:rPr>
          <w:spacing w:val="-4"/>
          <w:lang w:val="sq-AL"/>
        </w:rPr>
        <w:t>Menaxhimi i likuiditetit</w:t>
      </w:r>
    </w:p>
    <w:p w:rsidR="00F74F6D" w:rsidRDefault="00F74F6D" w:rsidP="00F74F6D">
      <w:pPr>
        <w:pStyle w:val="Paragrafi"/>
        <w:rPr>
          <w:spacing w:val="-4"/>
          <w:lang w:val="sq-AL"/>
        </w:rPr>
      </w:pPr>
      <w:r>
        <w:rPr>
          <w:spacing w:val="-4"/>
          <w:lang w:val="sq-AL"/>
        </w:rPr>
        <w:t xml:space="preserve">36. Njësia e qeverisjes së përgjithshme paraqet urdhërshpenzimin, duke përcaktuar qartë datën e pagesës së faturës sipas kontratës. </w:t>
      </w:r>
    </w:p>
    <w:p w:rsidR="00F74F6D" w:rsidRDefault="00F74F6D" w:rsidP="00F74F6D">
      <w:pPr>
        <w:pStyle w:val="Paragrafi"/>
        <w:rPr>
          <w:spacing w:val="-4"/>
          <w:lang w:val="sq-AL"/>
        </w:rPr>
      </w:pPr>
      <w:r>
        <w:rPr>
          <w:spacing w:val="-4"/>
          <w:lang w:val="sq-AL"/>
        </w:rPr>
        <w:t>Në SIFQ regjistrohet data e faturës së furnitorit, data e urdhërshpenzimit të përgatitur dhe paraqitur në Thesar nga njësia e qeverisjes së përgjithshme, data e regjistrimit të urdhërshpenzimit në SIFQ, si dhe data në të cilën duhet të kryhet pagesa për faturën respektive, e cila duhet të jetë në përputhje me kushtet e kontratës. Ky rregull zbatohet edhe nga institucionet buxhetore që kanë akses të drejtpërdrejt në SIFQ.</w:t>
      </w:r>
    </w:p>
    <w:p w:rsidR="00F74F6D" w:rsidRDefault="00F74F6D" w:rsidP="00F74F6D">
      <w:pPr>
        <w:pStyle w:val="Paragrafi"/>
        <w:rPr>
          <w:spacing w:val="-4"/>
          <w:lang w:val="sq-AL"/>
        </w:rPr>
      </w:pPr>
      <w:r>
        <w:rPr>
          <w:spacing w:val="-4"/>
          <w:lang w:val="sq-AL"/>
        </w:rPr>
        <w:t xml:space="preserve">37. Niveli (“buffer”) i gjendjes monetare të llogarisë së unifikuar të Thesarit “Depozitë e qeverisë” përcaktohet si mesatarja mujore e shpenzimeve të planifikuara dhe të miratuara në ligjin vjetor të buxhetit për zërat: shpenzime korrente të personelit, si dhe shpenzime sociale për ndihmën ekonomike dhe papunësinë (pagesat e shërbimit të borxhit mbulohen me emetimet e ankandeve të letrave me vlerë të qeverisjes qendrore), që përbën kufirin maksimal në fillim të çdo muaji. Kufiri minimal përcaktohet në bazë të të dhënave të parashikimit të flukseve monetare hyrëse dhe dalëse të llogarisë së unifikuar të Thesarit “Depozitë e qeverisë” (versionit pesimist të Thesarit) në masën e mesatares së parashikimit të tre ditëve (rreth tre miliardë lekë) të pikut të muajit të mëparshëm. </w:t>
      </w:r>
    </w:p>
    <w:p w:rsidR="00F74F6D" w:rsidRDefault="00F74F6D" w:rsidP="00F74F6D">
      <w:pPr>
        <w:pStyle w:val="Paragrafi"/>
        <w:rPr>
          <w:spacing w:val="-4"/>
          <w:lang w:val="sq-AL"/>
        </w:rPr>
      </w:pPr>
      <w:r>
        <w:rPr>
          <w:spacing w:val="-4"/>
          <w:lang w:val="sq-AL"/>
        </w:rPr>
        <w:t>38. Për sa përcaktuar më sipër, niveli i “buffer” mund të jetë fleksibël gjatë zbatimit në përshtatje me kushtet aktuale.</w:t>
      </w:r>
    </w:p>
    <w:p w:rsidR="00F74F6D" w:rsidRDefault="00F74F6D" w:rsidP="00F74F6D">
      <w:pPr>
        <w:pStyle w:val="Paragrafi"/>
        <w:rPr>
          <w:spacing w:val="-4"/>
          <w:lang w:val="sq-AL"/>
        </w:rPr>
      </w:pPr>
      <w:r>
        <w:rPr>
          <w:spacing w:val="-4"/>
          <w:lang w:val="sq-AL"/>
        </w:rPr>
        <w:t>Transaksionet në valutë të huaj</w:t>
      </w:r>
    </w:p>
    <w:p w:rsidR="00F74F6D" w:rsidRDefault="00F74F6D" w:rsidP="00F74F6D">
      <w:pPr>
        <w:pStyle w:val="Paragrafi"/>
        <w:rPr>
          <w:spacing w:val="-4"/>
          <w:lang w:val="sq-AL"/>
        </w:rPr>
      </w:pPr>
      <w:r>
        <w:rPr>
          <w:spacing w:val="-4"/>
          <w:lang w:val="sq-AL"/>
        </w:rPr>
        <w:t>39. Gjatë procesit të menaxhimit të shpenzi-meve të projekteve me financim të huaj, që administrohen me skemë të pjesshme Thesari, transfertat nga llogaritë speciale në Bankën e Shqipërisë në llogaritë bankare të projekteve me financim të huaj, kryhen në monedhën shqiptare nga struktura qendrore përgjegjëse për Thesarin, përveç kontratave të lidhura në valutë të huaj dhe të shprehura në nenin e veçantë të kontratës për mënyrën e pagesës, sipas paragrafit 145 të udhëzimit të ministrit të Financave nr. 2, datë 6.2.2012.</w:t>
      </w:r>
    </w:p>
    <w:p w:rsidR="00F74F6D" w:rsidRDefault="00F74F6D" w:rsidP="00F74F6D">
      <w:pPr>
        <w:pStyle w:val="Paragrafi"/>
        <w:rPr>
          <w:spacing w:val="-4"/>
          <w:lang w:val="sq-AL"/>
        </w:rPr>
      </w:pPr>
    </w:p>
    <w:p w:rsidR="00F74F6D" w:rsidRDefault="00F74F6D" w:rsidP="00F74F6D">
      <w:pPr>
        <w:pStyle w:val="Paragrafi"/>
        <w:rPr>
          <w:spacing w:val="-4"/>
          <w:lang w:val="sq-AL"/>
        </w:rPr>
      </w:pPr>
      <w:r>
        <w:rPr>
          <w:spacing w:val="-4"/>
          <w:lang w:val="sq-AL"/>
        </w:rPr>
        <w:t>Llogaritë speciale</w:t>
      </w:r>
    </w:p>
    <w:p w:rsidR="00F74F6D" w:rsidRDefault="00F74F6D" w:rsidP="00F74F6D">
      <w:pPr>
        <w:pStyle w:val="Paragrafi"/>
        <w:rPr>
          <w:b/>
          <w:spacing w:val="-4"/>
          <w:lang w:val="sq-AL"/>
        </w:rPr>
      </w:pPr>
      <w:r>
        <w:rPr>
          <w:spacing w:val="-4"/>
          <w:lang w:val="sq-AL"/>
        </w:rPr>
        <w:t>Llogaria speciale e të përndjekurve politikë</w:t>
      </w:r>
    </w:p>
    <w:p w:rsidR="00F74F6D" w:rsidRDefault="00F74F6D" w:rsidP="00F74F6D">
      <w:pPr>
        <w:pStyle w:val="Paragrafi"/>
        <w:rPr>
          <w:spacing w:val="-4"/>
          <w:lang w:val="sq-AL"/>
        </w:rPr>
      </w:pPr>
      <w:r>
        <w:rPr>
          <w:spacing w:val="-4"/>
          <w:lang w:val="sq-AL"/>
        </w:rPr>
        <w:t xml:space="preserve">40. Nëpunësi autorizues i Ministrisë së Mirëqenies Sociale dhe Rinisë përdor fondet e planifikuara për të përndjekurit politikë në grupin 25, në masën dhe sipas listëpagesave të miratuara nga nëpunësi i parë autorizues. </w:t>
      </w:r>
    </w:p>
    <w:p w:rsidR="00F74F6D" w:rsidRDefault="00F74F6D" w:rsidP="00F74F6D">
      <w:pPr>
        <w:pStyle w:val="Paragrafi"/>
        <w:rPr>
          <w:spacing w:val="-4"/>
          <w:lang w:val="sq-AL"/>
        </w:rPr>
      </w:pPr>
      <w:r>
        <w:rPr>
          <w:spacing w:val="-4"/>
          <w:lang w:val="sq-AL"/>
        </w:rPr>
        <w:t xml:space="preserve">41. Në udhëzimin nr. 9, datë 11.4.2012 “Për procedurat e përllogaritjeve dhe pagesave të </w:t>
      </w:r>
      <w:r>
        <w:rPr>
          <w:spacing w:val="-4"/>
          <w:lang w:val="sq-AL"/>
        </w:rPr>
        <w:lastRenderedPageBreak/>
        <w:t xml:space="preserve">dëmshpërblimeve për ish-të dënuarit politikë të regjimit komunist”, pikat 14 dhe 15 bashkohen dhe ndryshojnë si më poshtë: “Struktura përgjegjëse në Ministrinë e Financave harton listëpagesën dhe mbi bazën e tyre përpilon përmbledhësen për çdo bankë. Përmbledhësja totale e pagesave, e detajuar për çdo bankë të nivelit të dytë, i dërgohet nëpunësit autorizues të Ministrisë së Mirëqenies Sociale dhe Rinisë për procedimin e pagesës në llogaritë e bankave të nivelit të dytë, nëpërmjet strukturës përgjegjëse të Thesarit në degë”. </w:t>
      </w:r>
    </w:p>
    <w:p w:rsidR="00F74F6D" w:rsidRDefault="00F74F6D" w:rsidP="00F74F6D">
      <w:pPr>
        <w:pStyle w:val="Paragrafi"/>
        <w:rPr>
          <w:spacing w:val="-4"/>
          <w:lang w:val="sq-AL"/>
        </w:rPr>
      </w:pPr>
      <w:r>
        <w:rPr>
          <w:spacing w:val="-4"/>
          <w:lang w:val="sq-AL"/>
        </w:rPr>
        <w:t>42. Në prioritetet e pagesave sipas pikës 139, të udhëzimit nr. 2, datë 6.2.2012, të konsiderohet prioritet “transaksioni i pagesës për dëmshpër-blimin e ish-të dënuarve”, në renditje direkt pas pagesës “ndihmë ekonomike”.</w:t>
      </w:r>
    </w:p>
    <w:p w:rsidR="00F74F6D" w:rsidRDefault="00F74F6D" w:rsidP="00F74F6D">
      <w:pPr>
        <w:pStyle w:val="Paragrafi"/>
        <w:rPr>
          <w:spacing w:val="-4"/>
          <w:lang w:val="sq-AL"/>
        </w:rPr>
      </w:pPr>
      <w:r>
        <w:rPr>
          <w:spacing w:val="-4"/>
          <w:lang w:val="sq-AL"/>
        </w:rPr>
        <w:t>43. Çdo pagese e procesuar në bankat e nivelit të dytë që rezulton me instruksione të gabuara bankare të kthehet brenda 24 orëve për t’u riprocesuar pas korrigjimit të gabimit.</w:t>
      </w:r>
    </w:p>
    <w:p w:rsidR="00F74F6D" w:rsidRDefault="00F74F6D" w:rsidP="00F74F6D">
      <w:pPr>
        <w:pStyle w:val="Paragrafi"/>
        <w:rPr>
          <w:spacing w:val="-4"/>
          <w:lang w:val="sq-AL"/>
        </w:rPr>
      </w:pPr>
      <w:r>
        <w:rPr>
          <w:spacing w:val="-4"/>
          <w:lang w:val="sq-AL"/>
        </w:rPr>
        <w:t>Llogaria speciale e shpronësimeve në Bankën e Shqipërisë</w:t>
      </w:r>
    </w:p>
    <w:p w:rsidR="00F74F6D" w:rsidRDefault="00F74F6D" w:rsidP="00F74F6D">
      <w:pPr>
        <w:pStyle w:val="Paragrafi"/>
        <w:rPr>
          <w:spacing w:val="-4"/>
          <w:lang w:val="sq-AL"/>
        </w:rPr>
      </w:pPr>
      <w:r>
        <w:rPr>
          <w:spacing w:val="-4"/>
          <w:lang w:val="sq-AL"/>
        </w:rPr>
        <w:t>44. Llogaria “Fondi i shpronësimeve” në Bankën e Shqipërisë përbëhet nga:</w:t>
      </w:r>
    </w:p>
    <w:p w:rsidR="00F74F6D" w:rsidRDefault="00F74F6D" w:rsidP="00F74F6D">
      <w:pPr>
        <w:pStyle w:val="Paragrafi"/>
        <w:rPr>
          <w:spacing w:val="-4"/>
          <w:lang w:val="sq-AL"/>
        </w:rPr>
      </w:pPr>
      <w:r>
        <w:rPr>
          <w:spacing w:val="-4"/>
          <w:lang w:val="sq-AL"/>
        </w:rPr>
        <w:t>a) Gjendja e trashëguar nga vitet e kaluara e papërdorur, por e angazhuar tërësisht me vendime të Këshillit të Ministrave, që ka mbetur në llogarinë e unifikuar të Thesarit “Depozitë e qeverisë” në Bankën e Shqipërisë, e cila do të përdoret me paraqitjen e listës së përfituesve në zbatim të VKM-ve të miratuara. Strukturat përgjegjëse të njësive shpenzuese të qeverisjes së përgjithshme duhet të saktësojnë listat përpara tri viteve të mëparshme dhe të raportojnë zyrtarisht (me protokoll dhe në format elektronik) gjendjen e saktësuar në strukturën përgjegjëse për Thesarin në Ministrinë e Financave.</w:t>
      </w:r>
    </w:p>
    <w:p w:rsidR="00F74F6D" w:rsidRDefault="00F74F6D" w:rsidP="00F74F6D">
      <w:pPr>
        <w:pStyle w:val="Paragrafi"/>
        <w:rPr>
          <w:spacing w:val="-4"/>
          <w:lang w:val="sq-AL"/>
        </w:rPr>
      </w:pPr>
      <w:r>
        <w:rPr>
          <w:spacing w:val="-4"/>
          <w:lang w:val="sq-AL"/>
        </w:rPr>
        <w:t>b) Shuma e papërdorur deri në datën 31 dhjetor të vitit 2015 e krijuar me aktin normativ nr. 2, datë 11.12.2015, “Për disa shtesa dhe ndryshime në ligjin nr. 160, datë 27.11.2014, “Për buxhetin e vitit 2015”, të ndryshuar” do të përdoret me vendime të Këshillit të Ministrave në vitin 2016.</w:t>
      </w:r>
    </w:p>
    <w:p w:rsidR="00F74F6D" w:rsidRDefault="00F74F6D" w:rsidP="00F74F6D">
      <w:pPr>
        <w:pStyle w:val="Paragrafi"/>
        <w:rPr>
          <w:spacing w:val="-4"/>
          <w:lang w:val="sq-AL"/>
        </w:rPr>
      </w:pPr>
      <w:r>
        <w:rPr>
          <w:spacing w:val="-4"/>
          <w:lang w:val="sq-AL"/>
        </w:rPr>
        <w:t>Llogari të veçanta në bankat e nivelit të dytë</w:t>
      </w:r>
    </w:p>
    <w:p w:rsidR="00F74F6D" w:rsidRDefault="00F74F6D" w:rsidP="00F74F6D">
      <w:pPr>
        <w:pStyle w:val="Paragrafi"/>
        <w:rPr>
          <w:spacing w:val="-4"/>
          <w:lang w:val="sq-AL"/>
        </w:rPr>
      </w:pPr>
      <w:r>
        <w:rPr>
          <w:spacing w:val="-4"/>
          <w:lang w:val="sq-AL"/>
        </w:rPr>
        <w:t>45. Bazuar në fondet buxhetore në dispozicion, nëpunësit autorizues të njësive të qeverisjes së përgjithshme urdhërojnë kryerjen e shpenzimeve deri më datën 31 dhjetor, përveç rasteve specifike të mëposhtme:</w:t>
      </w:r>
    </w:p>
    <w:p w:rsidR="00F74F6D" w:rsidRDefault="00F74F6D" w:rsidP="00F74F6D">
      <w:pPr>
        <w:pStyle w:val="Paragrafi"/>
        <w:rPr>
          <w:spacing w:val="-4"/>
          <w:lang w:val="sq-AL"/>
        </w:rPr>
      </w:pPr>
      <w:r>
        <w:rPr>
          <w:spacing w:val="-4"/>
          <w:lang w:val="sq-AL"/>
        </w:rPr>
        <w:t>a) Ekzistenca e dokumentacionit që provon shpenzimin e ndodhur (fatura e furnitorit) nuk mund të shoqërohet me marrjen në dorëzim të mallit/shërbimit brenda datës 31 dhjetor 2015 për kushte specifike të prodhimit të mallit (si furnizimet strategjike: armatime, helikopterë, rezonanca magnetike etj.) apo kryerjes së shërbimit (mirë-mbajtjes së objekteve të rëndësisë strategjike etj.)</w:t>
      </w:r>
    </w:p>
    <w:p w:rsidR="00F74F6D" w:rsidRDefault="00F74F6D" w:rsidP="00F74F6D">
      <w:pPr>
        <w:pStyle w:val="Paragrafi"/>
        <w:rPr>
          <w:spacing w:val="-4"/>
          <w:lang w:val="sq-AL"/>
        </w:rPr>
      </w:pPr>
      <w:r>
        <w:rPr>
          <w:spacing w:val="-4"/>
          <w:lang w:val="sq-AL"/>
        </w:rPr>
        <w:t>b) Përdorimi i mallit apo kryerja e shërbimit ndikon në mosfunksionimin normal të njësisë shpenzuese të qeverisjes së përgjithshme dhe është i pamundur planifikimi për vitin e ardhshëm buxhetor.</w:t>
      </w:r>
    </w:p>
    <w:p w:rsidR="00F74F6D" w:rsidRDefault="00F74F6D" w:rsidP="00F74F6D">
      <w:pPr>
        <w:pStyle w:val="Paragrafi"/>
        <w:rPr>
          <w:spacing w:val="-4"/>
          <w:lang w:val="sq-AL"/>
        </w:rPr>
      </w:pPr>
      <w:r>
        <w:rPr>
          <w:spacing w:val="-4"/>
          <w:lang w:val="sq-AL"/>
        </w:rPr>
        <w:t>46. Për rastet e përmendura në pikën e mësipërme lejohet përdorimi i formës së pagesës me letër krediti sipas përcaktimeve të nënshkruara në kontratën me operatorët ekonomikë në bazë të urdhrit të ministrit të Financave, në zbatim të pikës 147, të udhëzimit të përhershëm nr. 2, datë 6.2.2015, “Për procedurat standarde të zbatimit të buxhetit”.</w:t>
      </w:r>
    </w:p>
    <w:p w:rsidR="00F74F6D" w:rsidRDefault="00F74F6D" w:rsidP="00F74F6D">
      <w:pPr>
        <w:pStyle w:val="Paragrafi"/>
        <w:rPr>
          <w:spacing w:val="-4"/>
          <w:lang w:val="sq-AL"/>
        </w:rPr>
      </w:pPr>
      <w:r>
        <w:rPr>
          <w:spacing w:val="-4"/>
          <w:lang w:val="sq-AL"/>
        </w:rPr>
        <w:t>47. Struktura përgjegjëse për Thesarin në degë pranon njohjen dhe regjistrimin në Sistemin Informatik Financiar të Qeverisë të shpenzimeve për llogari të vitit 2015, që konstatohen në zbatim të pikës së mësipërme. Regjistrimi i faturave duhet të përfundojë dhe të kryhet rakordimi përfundimtar me institucionin, sipas afatit të caktuar në udhëzimin e mbylljes së llogarive vjetore. Pagesa kryhet nga llogaria e unifikuar e Thesarit “Depozitë e qeverisë” në një llogari të veçantë të çelur në bankën e nivelit të dytë me emërtimin e projektit të kontratës, sipas përcaktimeve të nënshkruara me operatorin ekonomik.</w:t>
      </w:r>
    </w:p>
    <w:p w:rsidR="00F74F6D" w:rsidRDefault="00F74F6D" w:rsidP="00F74F6D">
      <w:pPr>
        <w:pStyle w:val="Paragrafi"/>
        <w:rPr>
          <w:spacing w:val="-4"/>
          <w:lang w:val="sq-AL"/>
        </w:rPr>
      </w:pPr>
      <w:r>
        <w:rPr>
          <w:spacing w:val="-4"/>
          <w:lang w:val="sq-AL"/>
        </w:rPr>
        <w:t>48. Gjendja më 31 dhjetor e llogarive të veçanta bankare në pronësi të njësive shpenzuese të qeverisjes së përgjithshme që krijohen nga përdorimi i formës së pagesës me letër krediti si më sipër raportohet në të dhënat e treguesve fiskale të konsoliduar të qeverisjes së përgjithshme në zërin “Të tjera” të burimeve të brendshme të financimit.</w:t>
      </w:r>
    </w:p>
    <w:p w:rsidR="00F74F6D" w:rsidRDefault="00F74F6D" w:rsidP="00F74F6D">
      <w:pPr>
        <w:pStyle w:val="Paragrafi"/>
        <w:rPr>
          <w:spacing w:val="-4"/>
          <w:lang w:val="sq-AL"/>
        </w:rPr>
      </w:pPr>
    </w:p>
    <w:p w:rsidR="00F74F6D" w:rsidRDefault="00F74F6D" w:rsidP="00F74F6D">
      <w:pPr>
        <w:pStyle w:val="Paragrafi"/>
        <w:rPr>
          <w:spacing w:val="-4"/>
          <w:lang w:val="sq-AL"/>
        </w:rPr>
      </w:pPr>
      <w:r>
        <w:rPr>
          <w:spacing w:val="-4"/>
          <w:lang w:val="sq-AL"/>
        </w:rPr>
        <w:t>Të ardhurat jashtë limitit</w:t>
      </w:r>
    </w:p>
    <w:p w:rsidR="00F74F6D" w:rsidRDefault="00F74F6D" w:rsidP="00F74F6D">
      <w:pPr>
        <w:pStyle w:val="Paragrafi"/>
        <w:rPr>
          <w:spacing w:val="-4"/>
          <w:lang w:val="sq-AL"/>
        </w:rPr>
      </w:pPr>
      <w:r>
        <w:rPr>
          <w:spacing w:val="-4"/>
          <w:lang w:val="sq-AL"/>
        </w:rPr>
        <w:t>49. Në të ardhurat jashtë limitit, të cilat mbarten në vitin buxhetor pasardhës, përveç përcaktimit në udhëzimin e “Procedurave standarde të zbatimit të buxhetit”, përfshihen edhe të hyrat e mëposhtme:</w:t>
      </w:r>
    </w:p>
    <w:p w:rsidR="00F74F6D" w:rsidRDefault="00F74F6D" w:rsidP="00F74F6D">
      <w:pPr>
        <w:pStyle w:val="Paragrafi"/>
        <w:rPr>
          <w:spacing w:val="-4"/>
          <w:lang w:val="sq-AL"/>
        </w:rPr>
      </w:pPr>
      <w:r>
        <w:rPr>
          <w:spacing w:val="-4"/>
          <w:lang w:val="sq-AL"/>
        </w:rPr>
        <w:t>a) Të hyrat që mblidhen nga zyrat e përmbarimit për llogari të të tretëve;</w:t>
      </w:r>
    </w:p>
    <w:p w:rsidR="00F74F6D" w:rsidRDefault="00F74F6D" w:rsidP="00F74F6D">
      <w:pPr>
        <w:pStyle w:val="Paragrafi"/>
        <w:rPr>
          <w:spacing w:val="-4"/>
          <w:lang w:val="sq-AL"/>
        </w:rPr>
      </w:pPr>
      <w:r>
        <w:rPr>
          <w:spacing w:val="-4"/>
          <w:lang w:val="sq-AL"/>
        </w:rPr>
        <w:t>b) Të ardhurat që institucionet sportive arkëtojnë nga pjesa që u takon me ligj nga loto sportive ose nga sponsorizimet e tjera;</w:t>
      </w:r>
    </w:p>
    <w:p w:rsidR="00F74F6D" w:rsidRDefault="00F74F6D" w:rsidP="00F74F6D">
      <w:pPr>
        <w:pStyle w:val="Paragrafi"/>
        <w:rPr>
          <w:spacing w:val="-4"/>
          <w:lang w:val="sq-AL"/>
        </w:rPr>
      </w:pPr>
      <w:r>
        <w:rPr>
          <w:spacing w:val="-4"/>
          <w:lang w:val="sq-AL"/>
        </w:rPr>
        <w:t>c) Fondet e akorduara nga Kompania Energjetike Shqiptare për përballimin e dëmeve nga përmbytjet;</w:t>
      </w:r>
    </w:p>
    <w:p w:rsidR="00F74F6D" w:rsidRDefault="00F74F6D" w:rsidP="00F74F6D">
      <w:pPr>
        <w:pStyle w:val="Paragrafi"/>
        <w:rPr>
          <w:spacing w:val="-6"/>
          <w:lang w:val="sq-AL"/>
        </w:rPr>
      </w:pPr>
      <w:r>
        <w:rPr>
          <w:spacing w:val="-6"/>
          <w:lang w:val="sq-AL"/>
        </w:rPr>
        <w:t xml:space="preserve">d) Të ardhurat nga organizmat e vlerësimit të konformitetit për Drejtorinë e Përgjithshme të Akreditimit, që përdoren për pagesën e vlerësuesve të kontraktuar nga kjo drejtori në zbatim të ligjit nr. 9824, datë 1.11.2007 “Për akreditimin e organizmave të vlerësimit të konformitetit në Republikën e Shqipërisë”, VKM-së nr. 1716, </w:t>
      </w:r>
      <w:r>
        <w:rPr>
          <w:spacing w:val="-6"/>
          <w:lang w:val="sq-AL"/>
        </w:rPr>
        <w:lastRenderedPageBreak/>
        <w:t>datë 3.10.2008 “Për mënyrën e organizimit dhe funksionimit të Drejtorisë së Përgjithshme të Akreditimit” dhe standardit S SH ISO 17011:2005 që rregullon veprimtarinë e organizmave akreditues;</w:t>
      </w:r>
    </w:p>
    <w:p w:rsidR="00F74F6D" w:rsidRDefault="00F74F6D" w:rsidP="00F74F6D">
      <w:pPr>
        <w:pStyle w:val="Paragrafi"/>
        <w:rPr>
          <w:spacing w:val="-4"/>
          <w:lang w:val="sq-AL"/>
        </w:rPr>
      </w:pPr>
      <w:r>
        <w:rPr>
          <w:spacing w:val="-4"/>
          <w:lang w:val="sq-AL"/>
        </w:rPr>
        <w:t>e) Të ardhurat e realizuara nga procesi i legalizimit të ndërtimeve pa leje “Për transferimin e parcelës ndërtimore”, sipas aktrakordimit midis zyrës qendrore të Agjencisë së Legalizimit, Urbanizimit, Integrimit të Ndërtimeve Informale (ALUIZNI) dhe strukturave përgjegjëse për Thesarin në degë, të cilat nuk janë transferuar në llogarinë speciale të fondit të kompensimit të pronave, pranë Bankës së Shqipërisë;</w:t>
      </w:r>
    </w:p>
    <w:p w:rsidR="00F74F6D" w:rsidRDefault="00F74F6D" w:rsidP="00F74F6D">
      <w:pPr>
        <w:pStyle w:val="Paragrafi"/>
        <w:rPr>
          <w:spacing w:val="-4"/>
          <w:lang w:val="sq-AL"/>
        </w:rPr>
      </w:pPr>
      <w:r>
        <w:rPr>
          <w:spacing w:val="-4"/>
          <w:lang w:val="sq-AL"/>
        </w:rPr>
        <w:t>f) Të ardhurat nga Parku Kombëtar i Butrintit;</w:t>
      </w:r>
    </w:p>
    <w:p w:rsidR="00F74F6D" w:rsidRDefault="00F74F6D" w:rsidP="00F74F6D">
      <w:pPr>
        <w:pStyle w:val="Paragrafi"/>
        <w:rPr>
          <w:spacing w:val="-4"/>
          <w:lang w:val="sq-AL"/>
        </w:rPr>
      </w:pPr>
      <w:r>
        <w:rPr>
          <w:spacing w:val="-4"/>
          <w:lang w:val="sq-AL"/>
        </w:rPr>
        <w:t>g) Të ardhurat nga pagesat e kryera nga deklaruesit për shërbimin e kryerjes së analizave laboratorike për verifikime doganore, në zbatim të marrëveshjes së asistencës ndërmjet Agjencisë së Doganave Italiane, Inspektoratit Qendror Teknik, Institutit të Ndërtimit, Universitetit të Tiranës, Universitetit “Aleksandër Xhuvani” Elbasan dhe strukturës përgjegjëse për doganat shqiptare në fushën e laboratorëve kimikë doganorë;</w:t>
      </w:r>
    </w:p>
    <w:p w:rsidR="00F74F6D" w:rsidRDefault="00F74F6D" w:rsidP="00F74F6D">
      <w:pPr>
        <w:pStyle w:val="Paragrafi"/>
        <w:rPr>
          <w:spacing w:val="-4"/>
          <w:lang w:val="sq-AL"/>
        </w:rPr>
      </w:pPr>
      <w:r>
        <w:rPr>
          <w:spacing w:val="-4"/>
          <w:lang w:val="sq-AL"/>
        </w:rPr>
        <w:t>h) Të ardhurat e realizuara nga shitja e mallrave rezervë shtetërore gjatë procesit të freskimit të mallrave rezervë dhe që përdoren për zëvendë-simin e mallrave të shitura;</w:t>
      </w:r>
    </w:p>
    <w:p w:rsidR="00F74F6D" w:rsidRDefault="00F74F6D" w:rsidP="00F74F6D">
      <w:pPr>
        <w:pStyle w:val="Paragrafi"/>
        <w:rPr>
          <w:spacing w:val="-4"/>
          <w:lang w:val="sq-AL"/>
        </w:rPr>
      </w:pPr>
      <w:r>
        <w:rPr>
          <w:spacing w:val="-4"/>
          <w:lang w:val="sq-AL"/>
        </w:rPr>
        <w:t>i) Të ardhurat gjendje të mbledhura nga arkëtimi i detyrimeve nga furnizimi me karburant pa akcizë për mekanikën bujqësore, serrat me ngrohje dhe subjektet, që kanë kaldaja në linjat e përpunimit të qumështit, të cilat trajtohen sipas VKM-së nr. 438, datë 20.5.2015, “Për krijimin e fondit Kombëtar të garancisë për kreditimin e bujqësisë dhe zhvillimin rural”;</w:t>
      </w:r>
    </w:p>
    <w:p w:rsidR="00F74F6D" w:rsidRDefault="00F74F6D" w:rsidP="00F74F6D">
      <w:pPr>
        <w:pStyle w:val="Paragrafi"/>
        <w:rPr>
          <w:spacing w:val="-4"/>
          <w:lang w:val="sq-AL"/>
        </w:rPr>
      </w:pPr>
      <w:r>
        <w:rPr>
          <w:spacing w:val="-4"/>
          <w:lang w:val="sq-AL"/>
        </w:rPr>
        <w:t>j) Të ardhurat nga INSIG-u për pagesat që do të kryhen për rastet e dëmtimit të mjeteve të siguruara;</w:t>
      </w:r>
    </w:p>
    <w:p w:rsidR="00F74F6D" w:rsidRDefault="00F74F6D" w:rsidP="00F74F6D">
      <w:pPr>
        <w:pStyle w:val="Paragrafi"/>
        <w:rPr>
          <w:spacing w:val="-4"/>
          <w:lang w:val="sq-AL"/>
        </w:rPr>
      </w:pPr>
      <w:r>
        <w:rPr>
          <w:spacing w:val="-4"/>
          <w:lang w:val="sq-AL"/>
        </w:rPr>
        <w:t>k) Të ardhurat e realizuara nga pagesat e kryera nga operatori ekonomik për mbulimin e shpenzimeve për punonjësit e rekrutuar në mbështetje të kontratës specifike të nënshkruar midis tyre dhe Drejtorisë së Përgjithshme të Doganave, në zbatim të VKM-së nr. 143, datë 13.2.2013, “Për disa shtesa në vendimin nr. 205, datë 13.4.1999, të Këshillit të Ministrave, “Për dispozitat zbatuese të Kodit Doganor””;</w:t>
      </w:r>
    </w:p>
    <w:p w:rsidR="00F74F6D" w:rsidRDefault="00F74F6D" w:rsidP="00F74F6D">
      <w:pPr>
        <w:pStyle w:val="Paragrafi"/>
        <w:rPr>
          <w:spacing w:val="-4"/>
          <w:lang w:val="sq-AL"/>
        </w:rPr>
      </w:pPr>
      <w:r>
        <w:rPr>
          <w:spacing w:val="-4"/>
          <w:lang w:val="sq-AL"/>
        </w:rPr>
        <w:t>l) Të ardhurat e realizuara nga fondet e transferuara nga ana e partive politike për llogari të Komisionit Qendror të Zgjedhjeve, të cilat përdoren për kryerjen e pagesave të ekspertëve kontabël të licencuar në zbatim të ligjit nr. 10374, datë 10.2.2011, “Për partitë politike”, të ndryshuar;</w:t>
      </w:r>
    </w:p>
    <w:p w:rsidR="00F74F6D" w:rsidRDefault="00F74F6D" w:rsidP="00F74F6D">
      <w:pPr>
        <w:pStyle w:val="Paragrafi"/>
        <w:rPr>
          <w:spacing w:val="-4"/>
          <w:lang w:val="sq-AL"/>
        </w:rPr>
      </w:pPr>
      <w:r>
        <w:rPr>
          <w:spacing w:val="-4"/>
          <w:lang w:val="sq-AL"/>
        </w:rPr>
        <w:t xml:space="preserve">m) Të ardhurat e institucioneve, të realizuara nga fondet e akorduara nga “Fondi i Posaçëm për Parandalimin e Kriminalitetit dhe Edukimit Ligjor”; </w:t>
      </w:r>
    </w:p>
    <w:p w:rsidR="00F74F6D" w:rsidRDefault="00F74F6D" w:rsidP="00F74F6D">
      <w:pPr>
        <w:pStyle w:val="Paragrafi"/>
        <w:rPr>
          <w:spacing w:val="-4"/>
          <w:lang w:val="sq-AL"/>
        </w:rPr>
      </w:pPr>
      <w:r>
        <w:rPr>
          <w:spacing w:val="-4"/>
          <w:lang w:val="sq-AL"/>
        </w:rPr>
        <w:t>n) Të ardhurat si mjete në ruajtje, të realizuara nga shitja e objekteve nën administrimin e ndërmarrjeve, në zbatim të VKM-së nr. 418, datë 9.7.1998, të ndryshuar;</w:t>
      </w:r>
    </w:p>
    <w:p w:rsidR="00F74F6D" w:rsidRDefault="00F74F6D" w:rsidP="00F74F6D">
      <w:pPr>
        <w:pStyle w:val="Paragrafi"/>
        <w:rPr>
          <w:spacing w:val="-4"/>
          <w:lang w:val="sq-AL"/>
        </w:rPr>
      </w:pPr>
      <w:r>
        <w:rPr>
          <w:spacing w:val="-4"/>
          <w:lang w:val="sq-AL"/>
        </w:rPr>
        <w:t xml:space="preserve">o) Të ardhurat e arkëtuara nga shërbimet e realizuara nga Agjencia Publike e Akreditimit të Arsimit të Lartë; </w:t>
      </w:r>
    </w:p>
    <w:p w:rsidR="00F74F6D" w:rsidRDefault="00F74F6D" w:rsidP="00F74F6D">
      <w:pPr>
        <w:pStyle w:val="Paragrafi"/>
        <w:rPr>
          <w:spacing w:val="-4"/>
          <w:lang w:val="sq-AL"/>
        </w:rPr>
      </w:pPr>
      <w:r>
        <w:rPr>
          <w:spacing w:val="-4"/>
          <w:lang w:val="sq-AL"/>
        </w:rPr>
        <w:t>p) Të ardhurat e përftuara nga kontributet e detyrueshme që nga krijimi i “Fondit të çështjeve të mira”, si edhe të ardhurat e institucioneve buxhetore të realizuara nga fondet e akorduara nga “Fondi i çështjeve të mira”, në zbatim të VKM-së nr.192, datë 4.3.2015, “Për përcaktimin e proce-durave dhe kritereve për përzgjedhjen e projekteve, organizatave apo eventeve nga “Bordi i çështjeve të mira të Lotarisë Kombëtare””;</w:t>
      </w:r>
    </w:p>
    <w:p w:rsidR="00F74F6D" w:rsidRDefault="00F74F6D" w:rsidP="00F74F6D">
      <w:pPr>
        <w:pStyle w:val="Paragrafi"/>
        <w:rPr>
          <w:lang w:val="sq-AL"/>
        </w:rPr>
      </w:pPr>
      <w:r>
        <w:rPr>
          <w:spacing w:val="-4"/>
          <w:lang w:val="sq-AL"/>
        </w:rPr>
        <w:t>q</w:t>
      </w:r>
      <w:r>
        <w:rPr>
          <w:lang w:val="sq-AL"/>
        </w:rPr>
        <w:t>) Të ardhurat e Ministrisë së Energjisë dhe Industrisë që sigurohen nga zbatimi i VKM-së nr. 522, datë 30.6.2010, të Këshillit të Ministrave, “Për shpronësimin, për interes publik, të pronarëve të pasurive të paluajtshme, pronë private që preken nga shpronësimi për qëllim ndërtimi, pronësisë, shfrytëzimit, mirëmbajtjes dhe transferimit në favor të shtetit, të projektit të një hidrocentrali të ri në Ashtë, në qarkun e Shkodrës”, të ndryshuar”;</w:t>
      </w:r>
    </w:p>
    <w:p w:rsidR="00F74F6D" w:rsidRDefault="00F74F6D" w:rsidP="00F74F6D">
      <w:pPr>
        <w:pStyle w:val="Paragrafi"/>
        <w:rPr>
          <w:lang w:val="sq-AL"/>
        </w:rPr>
      </w:pPr>
      <w:r>
        <w:rPr>
          <w:lang w:val="sq-AL"/>
        </w:rPr>
        <w:t>r) Të ardhurat e Ministrisë së Energjisë dhe Industrisë që sigurohen në zbatim të pikës 4, nenit 27, të ligjit nr. 9632, datë 30.10.2006, “Për sistemin e taksave vendore”, ndryshuar me ligjin nr. 10073, datë 9.2.2009, “Për një shtesë në ligjin nr. 9632, datë 30.10.2006, “Për sistemin e taksave vendore” në të cilin thuhet: “Detyrimi për taksën i takon investitorit. E ardhura nga taksat, për çdo rast, mblidhet nga organi që lëshon lejen e ndërtimit dhe arkëtohet, për çdo rast për llogari të bashkisë ose të komunës, që mbulon territorin ku bëhet investimi”.</w:t>
      </w:r>
    </w:p>
    <w:p w:rsidR="00F74F6D" w:rsidRDefault="00F74F6D" w:rsidP="00F74F6D">
      <w:pPr>
        <w:pStyle w:val="Paragrafi"/>
        <w:rPr>
          <w:spacing w:val="-4"/>
          <w:lang w:val="sq-AL"/>
        </w:rPr>
      </w:pPr>
      <w:r>
        <w:rPr>
          <w:spacing w:val="-4"/>
          <w:lang w:val="sq-AL"/>
        </w:rPr>
        <w:t xml:space="preserve">50. Në të ardhurat jashtë limitit që nuk mbarten në vitin buxhetor pasardhës, përveç përcaktimit në udhëzimin e “Procedurave standarde të zbatimit të buxhetit”, përfshihen edhe të ardhurat e mëposhtme: </w:t>
      </w:r>
    </w:p>
    <w:p w:rsidR="00F74F6D" w:rsidRDefault="00F74F6D" w:rsidP="00F74F6D">
      <w:pPr>
        <w:pStyle w:val="Paragrafi"/>
        <w:rPr>
          <w:spacing w:val="-4"/>
          <w:lang w:val="sq-AL"/>
        </w:rPr>
      </w:pPr>
      <w:r>
        <w:rPr>
          <w:spacing w:val="-4"/>
          <w:lang w:val="sq-AL"/>
        </w:rPr>
        <w:t>a) Të ardhura nga shitja e dokumentacionit tatimor, pullave fiskale dhe biletave të transportit rrugor;</w:t>
      </w:r>
    </w:p>
    <w:p w:rsidR="00F74F6D" w:rsidRDefault="00F74F6D" w:rsidP="00F74F6D">
      <w:pPr>
        <w:pStyle w:val="Paragrafi"/>
        <w:rPr>
          <w:spacing w:val="-4"/>
          <w:lang w:val="sq-AL"/>
        </w:rPr>
      </w:pPr>
      <w:r>
        <w:rPr>
          <w:spacing w:val="-4"/>
          <w:lang w:val="sq-AL"/>
        </w:rPr>
        <w:t>b) Të ardhurat nga shtëpitë e pushimit të Ministrisë së Brendshme, Shërbimit Informativ Shtetëror, si dhe të ardhurat nga shërbimi i transportit të mjeteve të bllokuara (karroatreci) dhe të ardhurat nga parkimi”;</w:t>
      </w:r>
    </w:p>
    <w:p w:rsidR="00F74F6D" w:rsidRDefault="00F74F6D" w:rsidP="00F74F6D">
      <w:pPr>
        <w:pStyle w:val="Paragrafi"/>
        <w:rPr>
          <w:spacing w:val="-4"/>
          <w:lang w:val="sq-AL"/>
        </w:rPr>
      </w:pPr>
      <w:r>
        <w:rPr>
          <w:spacing w:val="-4"/>
          <w:lang w:val="sq-AL"/>
        </w:rPr>
        <w:t>c) Të ardhurat nga privatizimi që përdoren për likuidimin e detyrimeve që rrjedhin nga zbatimi i vendimeve gjyqësore nga Ministria e Financave që lidhen me procesin e privatizimit, si dhe të ardhurat që përdoren për likuidimin e shpenzimeve të kryera për këtë proces;</w:t>
      </w:r>
    </w:p>
    <w:p w:rsidR="00F74F6D" w:rsidRDefault="00F74F6D" w:rsidP="00F74F6D">
      <w:pPr>
        <w:pStyle w:val="Paragrafi"/>
        <w:rPr>
          <w:spacing w:val="-4"/>
          <w:lang w:val="sq-AL"/>
        </w:rPr>
      </w:pPr>
      <w:r>
        <w:rPr>
          <w:spacing w:val="-4"/>
          <w:lang w:val="sq-AL"/>
        </w:rPr>
        <w:t xml:space="preserve">d) Të ardhurat deri në 10 milionë lekë, që siguron çdo vit Drejtoria e Përgjithshme e Metrologjisë nga </w:t>
      </w:r>
      <w:r>
        <w:rPr>
          <w:spacing w:val="-4"/>
          <w:lang w:val="sq-AL"/>
        </w:rPr>
        <w:lastRenderedPageBreak/>
        <w:t>shërbime metrologjie, në zbatim të VKM-së nr. 571, datë 29.8.2012;</w:t>
      </w:r>
    </w:p>
    <w:p w:rsidR="00F74F6D" w:rsidRDefault="00F74F6D" w:rsidP="00F74F6D">
      <w:pPr>
        <w:pStyle w:val="Paragrafi"/>
        <w:rPr>
          <w:lang w:val="sq-AL"/>
        </w:rPr>
      </w:pPr>
      <w:r>
        <w:rPr>
          <w:lang w:val="sq-AL"/>
        </w:rPr>
        <w:t>e) Të ardhurat e gjykatave nga tarifa e shërbimeve që kryen administrata gjyqësore të përcaktuara në udhëzimin nr. 13, datë 12.2.2009;</w:t>
      </w:r>
    </w:p>
    <w:p w:rsidR="00F74F6D" w:rsidRDefault="00F74F6D" w:rsidP="00F74F6D">
      <w:pPr>
        <w:pStyle w:val="Paragrafi"/>
        <w:rPr>
          <w:spacing w:val="-4"/>
          <w:lang w:val="sq-AL"/>
        </w:rPr>
      </w:pPr>
      <w:r>
        <w:rPr>
          <w:spacing w:val="-4"/>
          <w:lang w:val="sq-AL"/>
        </w:rPr>
        <w:t>f) Të ardhurat e realizuara nga ALUIZNI në zbatim të ligjit nr. 9482, datë 3.4.2006, “Për legalizimin, urbanizimin dhe integrimin e ndërtimeve pa leje”, të ndryshuar; VKM-së nr. 860, datë 10.12.2014, “Për përcaktimin e mënyrës së mbledhjes dhe administrimit të të ardhurave për ndërtimet pa leje dhe vlerave të zbatueshme për legalizim” dhe ligjit nr. 10186, datë 5.11.2009 “Për rregullimin e pronësisë mbi truallin shtetëror në zonat me përparësi turizmin”, të ndryshuar, që përbëhen nga:</w:t>
      </w:r>
    </w:p>
    <w:p w:rsidR="00F74F6D" w:rsidRDefault="00F74F6D" w:rsidP="00F74F6D">
      <w:pPr>
        <w:pStyle w:val="Paragrafi"/>
        <w:rPr>
          <w:spacing w:val="-4"/>
          <w:lang w:val="sq-AL"/>
        </w:rPr>
      </w:pPr>
      <w:r>
        <w:rPr>
          <w:spacing w:val="-4"/>
          <w:lang w:val="sq-AL"/>
        </w:rPr>
        <w:t>- Të ardhurat e arkëtuara nga pagesa e tarifës së shërbimit për ndërtimet pa leje me funksion social-ekonomik, si dhe çdo penalitet tjetër që shoqëron procesin e legalizimit;</w:t>
      </w:r>
    </w:p>
    <w:p w:rsidR="00F74F6D" w:rsidRDefault="00F74F6D" w:rsidP="00F74F6D">
      <w:pPr>
        <w:pStyle w:val="Paragrafi"/>
        <w:rPr>
          <w:spacing w:val="-4"/>
          <w:lang w:val="sq-AL"/>
        </w:rPr>
      </w:pPr>
      <w:r>
        <w:rPr>
          <w:spacing w:val="-4"/>
          <w:lang w:val="sq-AL"/>
        </w:rPr>
        <w:t>- Nga 30 për qind e fondit të të ardhurave të arkëtuara nga kalimi i së drejtës së pronësisë së parcelës ndërtimore informale, si dhe nga 20 për qind i fondit të të ardhurave të arkëtuara nga kalimi i së drejtës së pronësisë së truallit në zonat e stimuluara të turizmit, pasi të derdhet në buxhetin e shtetit shuma prej 170.000.000 lekësh.</w:t>
      </w:r>
    </w:p>
    <w:p w:rsidR="00F74F6D" w:rsidRDefault="00F74F6D" w:rsidP="00F74F6D">
      <w:pPr>
        <w:pStyle w:val="Paragrafi"/>
        <w:rPr>
          <w:spacing w:val="-4"/>
          <w:lang w:val="sq-AL"/>
        </w:rPr>
      </w:pPr>
      <w:r>
        <w:rPr>
          <w:spacing w:val="-4"/>
          <w:lang w:val="sq-AL"/>
        </w:rPr>
        <w:t xml:space="preserve">Këto të ardhura do të përdoren nga ALUIZNI për përballimin e shpenzimeve të evidentimit në terren dhe të hartimit të dokumentacionit për ndërtimet pa leje, si dhe të efekteve financiare për punonjësit me kontratë të përkohshme. </w:t>
      </w:r>
    </w:p>
    <w:p w:rsidR="00F74F6D" w:rsidRDefault="00F74F6D" w:rsidP="00F74F6D">
      <w:pPr>
        <w:pStyle w:val="Paragrafi"/>
        <w:rPr>
          <w:spacing w:val="-4"/>
          <w:lang w:val="sq-AL"/>
        </w:rPr>
      </w:pPr>
      <w:r>
        <w:rPr>
          <w:spacing w:val="-4"/>
          <w:lang w:val="sq-AL"/>
        </w:rPr>
        <w:t>g) Të ardhurat e Ministrisë së Mbrojtjes që do të sigurohen nga shitja e armëve, teknikës, pajisjeve, municioneve dhe lëndëve eksplozive të Forcave të Armatosura për përdorim ushtarak/ jo për përdorim ushtarak/për çmontim e çmilitarizim, shitja e pjesëve të këmbimit të teknikës dhe pajisjeve, shitja e materialeve që përfitohen nga asgjësimi e shkatërrimi i armëve, teknikës, pajisjeve, municioneve dhe lëndëve eksplozive, sipas vendimit të Këshillit të Ministrave nr. 463, datë 9.7.2014;</w:t>
      </w:r>
    </w:p>
    <w:p w:rsidR="00F74F6D" w:rsidRDefault="00F74F6D" w:rsidP="00F74F6D">
      <w:pPr>
        <w:pStyle w:val="Paragrafi"/>
        <w:rPr>
          <w:spacing w:val="-4"/>
          <w:lang w:val="sq-AL"/>
        </w:rPr>
      </w:pPr>
      <w:r>
        <w:rPr>
          <w:spacing w:val="-4"/>
          <w:lang w:val="sq-AL"/>
        </w:rPr>
        <w:t>h) Të ardhurat që siguron Ministria e Zhvillimit Ekonomik, Turizmit, Tregtisë dhe Sipërmarrjes nga kontratat e qirasë të lidhura nga ndërmarrjet dhe shoqëritë shtetërore me kapital 100 për qind shtetëror, të cilat MZHETTS-ja i përdor në zbatim të VKM-së nr. 54, datë 5.2.2014, “Për mbulimin e shpenzimeve të shoqërive me kapital 100 për qind, që rezultojnë me vështirësi financiare, si edhe për pagesën e ekspertëve që hartojnë vlerësimin e investimeve të kryera nga qiramarrësit për kontratat e qirasë ose të enfiteozës të lidhura për pasuri ku sipërfaqja e truallit është mbi 500 m²”;</w:t>
      </w:r>
    </w:p>
    <w:p w:rsidR="00F74F6D" w:rsidRDefault="00F74F6D" w:rsidP="00F74F6D">
      <w:pPr>
        <w:pStyle w:val="Paragrafi"/>
        <w:rPr>
          <w:spacing w:val="-4"/>
          <w:lang w:val="sq-AL"/>
        </w:rPr>
      </w:pPr>
      <w:r>
        <w:rPr>
          <w:spacing w:val="-4"/>
          <w:lang w:val="sq-AL"/>
        </w:rPr>
        <w:t>i) Të ardhurat që përdor Drejtoria e Përgjithshme e Patentave dhe Markave nga arkëtimi i pagesës së tarifave të miratuara për regjistrimin e objekteve të pronësisë industriale, në zbatim të VKM-së nr. 883, datë 13.5.2009, “Për pronësinë industriale”, i ndryshuar;</w:t>
      </w:r>
    </w:p>
    <w:p w:rsidR="00F74F6D" w:rsidRDefault="00F74F6D" w:rsidP="00F74F6D">
      <w:pPr>
        <w:pStyle w:val="Paragrafi"/>
        <w:rPr>
          <w:spacing w:val="-4"/>
          <w:lang w:val="sq-AL"/>
        </w:rPr>
      </w:pPr>
      <w:r>
        <w:rPr>
          <w:spacing w:val="-4"/>
          <w:lang w:val="sq-AL"/>
        </w:rPr>
        <w:t>j) Shuma deri në 2% e të ardhurave tatimore të mbledhura, bazuar në nenin 21 të ligjit nr. 9920, datë 19.5.2008, “Për procedurat tatimore në Republikën e Shqipërisë”, i ndryshuar dhe VKM-së nr. 991, datë 9.12.2015, të cilat përdoren nga Drejtoria e Përgjithshme e Tatimeve;</w:t>
      </w:r>
    </w:p>
    <w:p w:rsidR="00F74F6D" w:rsidRDefault="00F74F6D" w:rsidP="00F74F6D">
      <w:pPr>
        <w:pStyle w:val="Paragrafi"/>
        <w:rPr>
          <w:spacing w:val="-4"/>
          <w:lang w:val="sq-AL"/>
        </w:rPr>
      </w:pPr>
      <w:r>
        <w:rPr>
          <w:spacing w:val="-4"/>
          <w:lang w:val="sq-AL"/>
        </w:rPr>
        <w:t>k) Të ardhurat nga shërbimi pyjor në zbatim të ligjit nr. 9385, datë 4.5.2005, i ndryshuar.</w:t>
      </w:r>
    </w:p>
    <w:p w:rsidR="00F74F6D" w:rsidRDefault="00F74F6D" w:rsidP="00F74F6D">
      <w:pPr>
        <w:pStyle w:val="Paragrafi"/>
        <w:rPr>
          <w:spacing w:val="-4"/>
          <w:lang w:val="sq-AL"/>
        </w:rPr>
      </w:pPr>
      <w:r>
        <w:rPr>
          <w:spacing w:val="-4"/>
          <w:lang w:val="sq-AL"/>
        </w:rPr>
        <w:t xml:space="preserve">II. Kritere dhe procedura specifike shtesë për zbatimin e buxhetit vendor    </w:t>
      </w:r>
    </w:p>
    <w:p w:rsidR="00F74F6D" w:rsidRDefault="00F74F6D" w:rsidP="00F74F6D">
      <w:pPr>
        <w:pStyle w:val="Paragrafi"/>
        <w:rPr>
          <w:spacing w:val="-4"/>
          <w:lang w:val="sq-AL"/>
        </w:rPr>
      </w:pPr>
      <w:r>
        <w:rPr>
          <w:spacing w:val="-4"/>
          <w:lang w:val="sq-AL"/>
        </w:rPr>
        <w:t>51. Transferta e pakushtëzuar për njësitë e qeverisjes vendore (bashki dhe qarqe), çelet në strukturën: Ministria e linjës 00, Program 04960, Kapitull 01, e ndarë në katër tremujorë, si vijon:</w:t>
      </w:r>
    </w:p>
    <w:p w:rsidR="00F74F6D" w:rsidRDefault="00F74F6D" w:rsidP="00F74F6D">
      <w:pPr>
        <w:pStyle w:val="Paragrafi"/>
        <w:rPr>
          <w:spacing w:val="-4"/>
          <w:lang w:val="sq-AL"/>
        </w:rPr>
      </w:pPr>
      <w:r>
        <w:rPr>
          <w:spacing w:val="-4"/>
          <w:lang w:val="sq-AL"/>
        </w:rPr>
        <w:t>a) Për bashkitë dhe qarqet në tremujorin e parë 30%, të dytin 25%, të tretin 23% dhe të katërtin 22%.</w:t>
      </w:r>
    </w:p>
    <w:p w:rsidR="00F74F6D" w:rsidRDefault="00F74F6D" w:rsidP="00F74F6D">
      <w:pPr>
        <w:pStyle w:val="Paragrafi"/>
        <w:rPr>
          <w:spacing w:val="-4"/>
          <w:lang w:val="sq-AL"/>
        </w:rPr>
      </w:pPr>
      <w:r>
        <w:rPr>
          <w:spacing w:val="-4"/>
          <w:lang w:val="sq-AL"/>
        </w:rPr>
        <w:t>Kur njësia e qeverisjes vendore kërkon avancim të limitit tremujor të transfertës së pakushtëzuar, duhet t’i drejtojë zyrtarisht nëpunësit të parë autorizues një kërkesë të argumentuar për avancim fondi. Nëpunësi i parë autorizues pas marrjes së kërkesës nga njësia e qeverisjes vendore bën vlerësimin e kërkesës dhe vendos për avancimin ose jo të fondeve.</w:t>
      </w:r>
    </w:p>
    <w:p w:rsidR="00F74F6D" w:rsidRDefault="00F74F6D" w:rsidP="00F74F6D">
      <w:pPr>
        <w:pStyle w:val="Paragrafi"/>
        <w:rPr>
          <w:spacing w:val="-4"/>
          <w:lang w:val="sq-AL"/>
        </w:rPr>
      </w:pPr>
      <w:r>
        <w:rPr>
          <w:spacing w:val="-4"/>
          <w:lang w:val="sq-AL"/>
        </w:rPr>
        <w:t>52. Transferta specifike për njësitë e qeverisjes vendore (bashkitë), bashkëlidhur, çelet në strukturën: Ministria e linjës 00, Program xxxxx, Kapitull 01, e ndarë në katër 3-mujorë, si vijon:</w:t>
      </w:r>
    </w:p>
    <w:p w:rsidR="00F74F6D" w:rsidRDefault="00F74F6D" w:rsidP="00F74F6D">
      <w:pPr>
        <w:pStyle w:val="Paragrafi"/>
        <w:rPr>
          <w:spacing w:val="-4"/>
          <w:lang w:val="sq-AL"/>
        </w:rPr>
      </w:pPr>
      <w:r>
        <w:rPr>
          <w:spacing w:val="-4"/>
          <w:lang w:val="sq-AL"/>
        </w:rPr>
        <w:t>a) Për bashkitë në tremujorin e parë 30 %, të dytin 25%, të tretin 23% dhe të katërtin 22%.</w:t>
      </w:r>
    </w:p>
    <w:p w:rsidR="00F74F6D" w:rsidRDefault="00F74F6D" w:rsidP="00F74F6D">
      <w:pPr>
        <w:pStyle w:val="Paragrafi"/>
        <w:rPr>
          <w:spacing w:val="-4"/>
          <w:lang w:val="sq-AL"/>
        </w:rPr>
      </w:pPr>
      <w:r>
        <w:rPr>
          <w:spacing w:val="-4"/>
          <w:lang w:val="sq-AL"/>
        </w:rPr>
        <w:t>53. Fondet e papërdorura të transfertës së pakushtëzuar të trashëguar nga viti 2015, të regjistrohen në Kapitullin 01, për t’iu shtuar fondeve të transfertës nga qeverisja qendrore për vitin 2016.</w:t>
      </w:r>
    </w:p>
    <w:p w:rsidR="00F74F6D" w:rsidRDefault="00F74F6D" w:rsidP="00F74F6D">
      <w:pPr>
        <w:pStyle w:val="Paragrafi"/>
        <w:rPr>
          <w:spacing w:val="-4"/>
          <w:lang w:val="sq-AL"/>
        </w:rPr>
      </w:pPr>
      <w:r>
        <w:rPr>
          <w:spacing w:val="-4"/>
          <w:lang w:val="sq-AL"/>
        </w:rPr>
        <w:t>54. Sipas aneksit 4, të ligjit nr. 147, datë 17.12.2015, “Për buxhetin e vitit 2016” në transfertën specifike të bashkive: Berat, Cërrik, Dibër, Durrës, Elbasan, Fier, Gjirokastër, Gramsh, Has, Kavajë, Kolonjë, Korçë, Kukës, Lezhë, Lushnjë, Malësi e Madhe, Mat, Mirëditë, Përmet, Pukë, Sarandë, Shkodër, Skrapar, Tepelenë, Tiranë, Vau i Dejës, Vlorë, janë të përfshira edhe fondet për paga dhe sigurime shoqërore të personelit të konvikteve të arsimit parauniversitar.</w:t>
      </w:r>
    </w:p>
    <w:p w:rsidR="00F74F6D" w:rsidRDefault="00F74F6D" w:rsidP="00F74F6D">
      <w:pPr>
        <w:pStyle w:val="Paragrafi"/>
        <w:rPr>
          <w:spacing w:val="-4"/>
          <w:lang w:val="sq-AL"/>
        </w:rPr>
      </w:pPr>
      <w:r>
        <w:rPr>
          <w:spacing w:val="-4"/>
          <w:lang w:val="sq-AL"/>
        </w:rPr>
        <w:t>55. Sipas aneksit 4, të ligjit nr. 147, datë 17.12.2015, “Për buxhetin e vitit 2016”, në transfertën specifike të bashkive: Berat, Elbasan, Kuçovë, Kukës dhe Shkodër, janë të përfshira edhe fondet për paga dhe sigurime shoqërore të personelit të shërbimit dhe shpenzimet operative për qendrat: “Lira”, Berat, “Balash”, Elbasan dhe qendrat ditore të fëmijëve me aftësi të kufizuara për bashkitë: Kuçovë, Kukës dhe Shkodër.</w:t>
      </w:r>
    </w:p>
    <w:p w:rsidR="00F74F6D" w:rsidRDefault="00F74F6D" w:rsidP="00F74F6D">
      <w:pPr>
        <w:pStyle w:val="Paragrafi"/>
        <w:rPr>
          <w:spacing w:val="-4"/>
          <w:lang w:val="sq-AL"/>
        </w:rPr>
      </w:pPr>
      <w:r>
        <w:rPr>
          <w:spacing w:val="-4"/>
          <w:lang w:val="sq-AL"/>
        </w:rPr>
        <w:lastRenderedPageBreak/>
        <w:t>56. Sipas aneksit 4, të ligjit nr. 147, datë 17.12.2015, “Për buxhetin e vitit 2016”, në transfertën specifike të bashkive janë të përfshira fondet për paga dhe sigurime shoqërore të personelit arsimor në arsimin parashkollor, të shërbimeve mbështetëse në arsimin bazë, arsimin 9-vjeçar (parashkollori dhe qendrat kulturore) dhe të personelit të shërbimeve mbështetëse për arsimin e mesëm, fondet për paga, sigurime shoqërore, shpenzime operative të personelit të shërbimit për mbrojtjen nga zjarri, fondet për paga, sigurime shoqërore dhe shpenzime operative të personelit të drejtorive rajonale të shërbimit pyjor, fondet për paga, sigurime shoqërore dhe shpenzime operative për ujitjen dhe kullimin, fondet për paga, sigurime shoqërore, shpenzime operative dhe investime për rrugët rurale.</w:t>
      </w:r>
    </w:p>
    <w:p w:rsidR="00F74F6D" w:rsidRDefault="00F74F6D" w:rsidP="00F74F6D">
      <w:pPr>
        <w:pStyle w:val="Paragrafi"/>
        <w:rPr>
          <w:spacing w:val="-4"/>
          <w:lang w:val="sq-AL"/>
        </w:rPr>
      </w:pPr>
      <w:r>
        <w:rPr>
          <w:spacing w:val="-4"/>
          <w:lang w:val="sq-AL"/>
        </w:rPr>
        <w:t>57. Në detajimin e planit për investime me projekte përdoret kod i specifikuar me emërtimin e projektit përkatës.</w:t>
      </w:r>
    </w:p>
    <w:p w:rsidR="00F74F6D" w:rsidRDefault="00F74F6D" w:rsidP="00F74F6D">
      <w:pPr>
        <w:pStyle w:val="Paragrafi"/>
        <w:rPr>
          <w:spacing w:val="-4"/>
          <w:lang w:val="sq-AL"/>
        </w:rPr>
      </w:pPr>
      <w:r>
        <w:rPr>
          <w:spacing w:val="-4"/>
          <w:lang w:val="sq-AL"/>
        </w:rPr>
        <w:t>58. Çdo njësi e qeverisjes vendore rishikon dhe përgatit buxhetin përfundimtar për miratim në këshillin e saj. Buxheti i miratuar nga Këshilli, depozitohet në Ministrinë e Financave sipas procedurave të përcaktuara në udhëzimin e ministrit të Financave “Për procedurat standarde të zbatimit të buxhetit”.</w:t>
      </w:r>
    </w:p>
    <w:p w:rsidR="00F74F6D" w:rsidRDefault="00F74F6D" w:rsidP="00F74F6D">
      <w:pPr>
        <w:pStyle w:val="Paragrafi"/>
        <w:rPr>
          <w:spacing w:val="-4"/>
          <w:lang w:val="sq-AL"/>
        </w:rPr>
      </w:pPr>
      <w:r>
        <w:rPr>
          <w:spacing w:val="-4"/>
          <w:lang w:val="sq-AL"/>
        </w:rPr>
        <w:t>59. Në vijim të përcaktimeve në udhëzimin e ministrit të Financave, “Për procedurat standarde të zbatimit të buxhetit” (pjesa e buxhetit vendor), procedura plotësuese për vitin 2016, janë si vijon:</w:t>
      </w:r>
    </w:p>
    <w:p w:rsidR="00F74F6D" w:rsidRDefault="00F74F6D" w:rsidP="00F74F6D">
      <w:pPr>
        <w:pStyle w:val="Paragrafi"/>
        <w:rPr>
          <w:spacing w:val="-4"/>
          <w:lang w:val="sq-AL"/>
        </w:rPr>
      </w:pPr>
      <w:r>
        <w:rPr>
          <w:spacing w:val="-4"/>
          <w:lang w:val="sq-AL"/>
        </w:rPr>
        <w:t>a) Për funksionet e deleguara, “Shpenzimet për mbrojtjen sociale”, Ministria e Mirëqenies Sociale dhe Rinisë, për vitin 2016, detajon fondet e mbrojtjes sociale në mënyrë periodike, për çdo njësi të qeverisjes vendore, si dhe në mënyrë specifike për ndihmën ekonomike dhe për pagesën e paaftësisë. Njësitë e qeverisjes vendore janë të detyruara të respektojnë destinacionin e përcaktuar nga Ministria e Mirëqenies Sociale dhe Rinisë. Fondet e mbrojtjes sociale delegohen si transfertë e kushtëzuar për çdo njësi të qeverisjes vendore. Ministria e Mirëqenies Sociale dhe Rinisë, në detajimin e fondeve të mbrojtjes sociale, në mënyrë periodike, do të vlerësojë nevojat e njësive të qeverisjes vendore, duke mbajtur parasysh gjendjen e varfërisë, të cilat vlerësohen bashkërisht, duke dhënë pesha specifike të qarta, objektive, transparente dhe mbi bazë kriteresh të përcaktuara;</w:t>
      </w:r>
    </w:p>
    <w:p w:rsidR="00F74F6D" w:rsidRDefault="00F74F6D" w:rsidP="00F74F6D">
      <w:pPr>
        <w:pStyle w:val="Paragrafi"/>
        <w:rPr>
          <w:spacing w:val="-4"/>
          <w:lang w:val="sq-AL"/>
        </w:rPr>
      </w:pPr>
      <w:r>
        <w:rPr>
          <w:spacing w:val="-4"/>
          <w:lang w:val="sq-AL"/>
        </w:rPr>
        <w:t>b) Fondet e ndihmës ekonomike dhe të paaftësisë që shpërndahen në njësitë e qeverisjes vendore, si dhe kriteret e parimet e përdorura për shpërndarjen e tyre bëhen publike për të gjitha bashkitë;</w:t>
      </w:r>
    </w:p>
    <w:p w:rsidR="00F74F6D" w:rsidRDefault="00F74F6D" w:rsidP="00F74F6D">
      <w:pPr>
        <w:pStyle w:val="Paragrafi"/>
        <w:rPr>
          <w:spacing w:val="-4"/>
          <w:lang w:val="sq-AL"/>
        </w:rPr>
      </w:pPr>
      <w:bookmarkStart w:id="3" w:name="OLE_LINK4"/>
      <w:bookmarkStart w:id="4" w:name="OLE_LINK3"/>
      <w:r>
        <w:rPr>
          <w:spacing w:val="-4"/>
          <w:lang w:val="sq-AL"/>
        </w:rPr>
        <w:t>c) Ministria e Mirëqenies Sociale dhe Rinisë</w:t>
      </w:r>
      <w:bookmarkEnd w:id="3"/>
      <w:bookmarkEnd w:id="4"/>
      <w:r>
        <w:rPr>
          <w:spacing w:val="-4"/>
          <w:lang w:val="sq-AL"/>
        </w:rPr>
        <w:t xml:space="preserve"> financon bashkitë për funksionimin dhe mirëmbajtjen e ambienteve të qendrave të përkujdesjes shoqërore, që u shërbejnë individëve, me qëllim sigurimin dhe ofrimin e standardeve. Financimi të bëhet me paraqitjen e projekteve dhe nivelin e financimit të bashkisë;</w:t>
      </w:r>
    </w:p>
    <w:p w:rsidR="00F74F6D" w:rsidRDefault="00F74F6D" w:rsidP="00F74F6D">
      <w:pPr>
        <w:pStyle w:val="Paragrafi"/>
        <w:rPr>
          <w:spacing w:val="-4"/>
          <w:lang w:val="sq-AL"/>
        </w:rPr>
      </w:pPr>
      <w:r>
        <w:rPr>
          <w:spacing w:val="-4"/>
          <w:lang w:val="sq-AL"/>
        </w:rPr>
        <w:t>d) Ministria e Mirëqenies Sociale dhe Rinisë brenda buxhetit të miratuar të vitit 2016, mund të bashkëfinancojë ose të financojë qendra sociale në njësitë e qeverisjes vendore.</w:t>
      </w:r>
    </w:p>
    <w:p w:rsidR="00F74F6D" w:rsidRDefault="00F74F6D" w:rsidP="00F74F6D">
      <w:pPr>
        <w:pStyle w:val="Paragrafi"/>
        <w:rPr>
          <w:spacing w:val="-4"/>
          <w:lang w:val="sq-AL"/>
        </w:rPr>
      </w:pPr>
      <w:r>
        <w:rPr>
          <w:spacing w:val="-4"/>
          <w:lang w:val="sq-AL"/>
        </w:rPr>
        <w:t>60. Fondet për Zhvillimin e Rajoneve do të shpërndahen në bazë të kritereve dhe procedurave të parashikuara në aneksin nr. 3, të ligjit nr. 147, datë 17.12.2015, “Për buxhetin e vitit 2016”.</w:t>
      </w:r>
    </w:p>
    <w:p w:rsidR="00F74F6D" w:rsidRDefault="00F74F6D" w:rsidP="00F74F6D">
      <w:pPr>
        <w:pStyle w:val="Paragrafi"/>
        <w:rPr>
          <w:spacing w:val="-4"/>
          <w:lang w:val="sq-AL"/>
        </w:rPr>
      </w:pPr>
      <w:r>
        <w:rPr>
          <w:spacing w:val="-4"/>
          <w:lang w:val="sq-AL"/>
        </w:rPr>
        <w:t>61. Në bazë të nenit 15, të ligjit nr.147, datë 17.12.2015, “Për buxhetin e vitit 2016”, personeli administrativ i këshillit të qarkut nuk mund të jetë më shumë se 10 veta. Në personelin administrativ bëjnë pjesë punonjësit jo të zgjedhur. Paga e personelit administrativ e këshillave të qarqeve e muajit dhjetor 2015, që u jepet punonjësve në muajin janar 2016, do të jetë me numrin dhe strukturën e vitit 2015. Për punonjësit që mund të shkurtohen nga ristrukturimi i këshillave të qarqeve dhe që përfitojnë trajtim financiar sipas legjislacionit në fuqi, fondet përballohen nga buxheti i këshillit të qarkut (nga transferta e pakushtëzuar, kuotat e anëtarësisë dhe burime të tjera).</w:t>
      </w:r>
    </w:p>
    <w:p w:rsidR="00F74F6D" w:rsidRDefault="00F74F6D" w:rsidP="00F74F6D">
      <w:pPr>
        <w:pStyle w:val="Paragrafi"/>
        <w:rPr>
          <w:spacing w:val="-4"/>
          <w:lang w:val="sq-AL"/>
        </w:rPr>
      </w:pPr>
      <w:r>
        <w:rPr>
          <w:spacing w:val="-4"/>
          <w:lang w:val="sq-AL"/>
        </w:rPr>
        <w:t>62. Sipas vendimit të Këshillit të Ministrave nr. 915, datë 11.11.2015, “Për transferimin në pronësi, nga këshillat e qarqeve te bashkitë, të rrjetit të rrugëve rurale dhe të aseteve të luajtshme e të paluajtshme të ndërmarrjeve të mirëmbajtjes së këtyre rrugëve”, nëse ka efekte financiare, pas ndërprerjes së marrëdhënieve të punës për punonjësit e këtyre ndërmarrjeve, bazuar në procedurat e parashikuara në Kodin e Punës, do të përballohen nga buxheti i këshillave të qarqeve.</w:t>
      </w:r>
    </w:p>
    <w:p w:rsidR="00F74F6D" w:rsidRDefault="00F74F6D" w:rsidP="00F74F6D">
      <w:pPr>
        <w:pStyle w:val="Paragrafi"/>
        <w:rPr>
          <w:spacing w:val="-4"/>
          <w:lang w:val="sq-AL"/>
        </w:rPr>
      </w:pPr>
      <w:r>
        <w:rPr>
          <w:spacing w:val="-4"/>
          <w:lang w:val="sq-AL"/>
        </w:rPr>
        <w:t>63. Sipas vendimit të Këshillit të Ministrave nr. 915, datë 11.11.2015, “Për transferimin në pronësi, nga këshillat e qarqeve te bashkitë, të rrjetit të rrugëve rurale dhe të aseteve të luajtshme e të paluajtshme të ndërmarrjeve të mirëmbajtjes së këtyre rrugëve”, bashkitë duhet të marrin masat e nevojshme për ushtrimin e këtij funksioni.</w:t>
      </w:r>
    </w:p>
    <w:p w:rsidR="00F74F6D" w:rsidRDefault="00F74F6D" w:rsidP="00F74F6D">
      <w:pPr>
        <w:pStyle w:val="Paragrafi"/>
        <w:rPr>
          <w:spacing w:val="-4"/>
          <w:lang w:val="sq-AL"/>
        </w:rPr>
      </w:pPr>
      <w:r>
        <w:rPr>
          <w:spacing w:val="-4"/>
          <w:lang w:val="sq-AL"/>
        </w:rPr>
        <w:t xml:space="preserve">64. Sipas nenit 15, të ligjit nr. 147, datë 17.12.2015, “Për buxhetin e vitit 2016”, bashkitë duhet të përdorin jo më pak se 40 për qind të transfertës së pakushtëzuar, për investime publike. </w:t>
      </w:r>
    </w:p>
    <w:p w:rsidR="00F74F6D" w:rsidRDefault="00F74F6D" w:rsidP="00F74F6D">
      <w:pPr>
        <w:pStyle w:val="Paragrafi"/>
        <w:rPr>
          <w:spacing w:val="-4"/>
          <w:lang w:val="sq-AL"/>
        </w:rPr>
      </w:pPr>
      <w:r>
        <w:rPr>
          <w:spacing w:val="-4"/>
          <w:lang w:val="sq-AL"/>
        </w:rPr>
        <w:t>65. Njësitë e qeverisjes vendore janë të detyruara të përdorin fondet e akorduara si transfertë specifike, sipas tabelës 3 të ligjit, si kosto për personelin administrativ/shpenzime operative për çdo funksion, i cili transferohet nga ministria përkatëse.</w:t>
      </w:r>
    </w:p>
    <w:p w:rsidR="00F74F6D" w:rsidRDefault="00F74F6D" w:rsidP="00F74F6D">
      <w:pPr>
        <w:pStyle w:val="Paragrafi"/>
        <w:rPr>
          <w:spacing w:val="-4"/>
          <w:lang w:val="sq-AL"/>
        </w:rPr>
      </w:pPr>
      <w:r>
        <w:rPr>
          <w:spacing w:val="-4"/>
          <w:lang w:val="sq-AL"/>
        </w:rPr>
        <w:t xml:space="preserve">66. Gjatë zbatimit të buxhetit, njësitë e qeverisjes vendore nuk mund të ndryshojnë destinacionin e përdorimit të transfertave specifike ose t’i kalojnë nga njëri funksion tek tjetri. Këto fonde do të përdoren sipas destinacionit të përcaktuar në tabelën nr. 3 të ligjit të buxhetit të vitit 2016. Fondet e veta (transferta e </w:t>
      </w:r>
      <w:r>
        <w:rPr>
          <w:spacing w:val="-4"/>
          <w:lang w:val="sq-AL"/>
        </w:rPr>
        <w:lastRenderedPageBreak/>
        <w:t xml:space="preserve">pakushtëzuar dhe të ardhurat e veta), bashkitë mund t’i përdorin për përmirësimin apo rritjen e cilësisë së funksioneve, të cilat financohen me transferta specifike. </w:t>
      </w:r>
    </w:p>
    <w:p w:rsidR="00F74F6D" w:rsidRDefault="00F74F6D" w:rsidP="00F74F6D">
      <w:pPr>
        <w:pStyle w:val="Paragrafi"/>
        <w:rPr>
          <w:spacing w:val="-4"/>
          <w:lang w:val="sq-AL"/>
        </w:rPr>
      </w:pPr>
      <w:r>
        <w:rPr>
          <w:spacing w:val="-4"/>
          <w:lang w:val="sq-AL"/>
        </w:rPr>
        <w:t>67. Sipas ligjit nr. 157, datë 27.11.2014, “Për disa shtesa dhe ndryshime në ligjin nr. 9975, datë 28.7.2008, “Për taksat kombëtare’, të ndryshuar”, 5 për qind e të ardhurave nga renta minerare i takojnë pushtetit vendor ku zhvillohet veprimtaria. Të ardhurat nga renta minerare përdoren për investime nga njësitë e qeverisjes vendore. Renta minerare e mbledhur në muajin dhjetor 2015, të cilën drejtoritë rajonale të tatimeve/doganave e raportojnë pranë Ministrisë së Financave, në vitin 2016, të llogaritet si rentë për vitin 2016, kurse renta që do të mblidhet në muajin dhjetor 2016, të llogaritet si rentë për vitin 2017. Procedura më të detajuara në lidhje me rentën minerare janë në udhëzimin e ministrit të Financave nr. 27, datë 16.12.2014, “Për disa shtesa dhe ndryshime në udhëzimin nr. 26, datë 4.9.2008, “Për taksat kombëtare”, të ndryshuar”.</w:t>
      </w:r>
    </w:p>
    <w:p w:rsidR="00F74F6D" w:rsidRDefault="00F74F6D" w:rsidP="00F74F6D">
      <w:pPr>
        <w:pStyle w:val="Paragrafi"/>
        <w:rPr>
          <w:spacing w:val="-4"/>
          <w:lang w:val="sq-AL"/>
        </w:rPr>
      </w:pPr>
      <w:r>
        <w:rPr>
          <w:spacing w:val="-4"/>
          <w:lang w:val="sq-AL"/>
        </w:rPr>
        <w:t>68. Për llogaritjen e të ardhurave nga taksat dhe tarifat vendore do të merret parasysh ligji nr. 142, datë 17.12.2015, “Për disa ndryshime dhe shtesa në ligjin nr. 9632, datë 30.1.2006, “Për sistemin e taksave vendore”, të ndryshuar”.</w:t>
      </w:r>
    </w:p>
    <w:p w:rsidR="00F74F6D" w:rsidRDefault="00F74F6D" w:rsidP="00F74F6D">
      <w:pPr>
        <w:pStyle w:val="Paragrafi"/>
        <w:rPr>
          <w:spacing w:val="-4"/>
          <w:lang w:val="sq-AL"/>
        </w:rPr>
      </w:pPr>
      <w:r>
        <w:rPr>
          <w:spacing w:val="-4"/>
          <w:lang w:val="sq-AL"/>
        </w:rPr>
        <w:t>69. Sipas nenit 15 të ligjit nr. 147, datë 17.12.2015, “Për buxhetin e vitit 2016”, brenda muajit janar 2016, nga buxheti i Ministrisë së Bujqësisë, Zhvillimit Rural dhe Administrimit të Ujërave, Këshilli i Ministrave ndan dhe detajon fondin, si dhe numrin e punonjësve për drejtoritë e bujqësisë, midis pushtetit qendror dhe bashkive, të cilat i shtohen transfertës specifike në tabelën 3 të ligjit.</w:t>
      </w:r>
    </w:p>
    <w:p w:rsidR="00F74F6D" w:rsidRDefault="00F74F6D" w:rsidP="00F74F6D">
      <w:pPr>
        <w:pStyle w:val="Paragrafi"/>
        <w:rPr>
          <w:spacing w:val="-4"/>
          <w:lang w:val="sq-AL"/>
        </w:rPr>
      </w:pPr>
      <w:r>
        <w:rPr>
          <w:spacing w:val="-4"/>
          <w:lang w:val="sq-AL"/>
        </w:rPr>
        <w:t>70. Bashkitë kanë kompetencë të plotë për të siguruar mirëmbajtjen dhe funksionimin e të gjitha ambienteve të arsimit parauniversitar, në komunitetin e tyre. Fondet për mirëmbajtjen dhe funksionimin e ambienteve të arsimit para-universitar janë të përfshira në burimet e veta vendore. Çdo bashki vendos nivelin e financimit që ajo akordon për këtë funksion nga të gjitha burimet e disponueshme në buxhetin e tyre. Ministritë përgjegjëse për arsimin parauniversitar, Ministria e Arsimit dhe Sportit dhe Ministria e Mirëqenies Sociale dhe Rinisë, përgatisin dhe nxjerrin standarde kombëtare të sigurisë dhe të shëndetit të zbatueshme për ambientet e arsimit parauniversitar. Këto standarde nuk duhet të kufizojnë vendimmarrjen e bashkive në fushat me interes të qartë vendor. Shpenzimet e lidhura me funksionimin dhe mirëmbajtjen e ambienteve të arsimit parauniversitar miratohen si pjesë e buxhetit të çdo bashkie.</w:t>
      </w:r>
    </w:p>
    <w:p w:rsidR="00F74F6D" w:rsidRDefault="00F74F6D" w:rsidP="00F74F6D">
      <w:pPr>
        <w:pStyle w:val="Paragrafi"/>
        <w:rPr>
          <w:spacing w:val="-4"/>
          <w:lang w:val="sq-AL"/>
        </w:rPr>
      </w:pPr>
      <w:r>
        <w:rPr>
          <w:spacing w:val="-4"/>
          <w:lang w:val="sq-AL"/>
        </w:rPr>
        <w:t>71. Të gjitha njësitë e qeverisjes vendore të marrin masat e nevojshme për zbatimin e kërkesës ligjore, për njoftimin paraprak të detyrimit tatimor të miratuar me vendim të Këshillit Vendor, për të gjithë tatimpaguesit (tatimpaguesit familjarë dhe bizneset), në territorin përkatës.</w:t>
      </w:r>
    </w:p>
    <w:p w:rsidR="00F74F6D" w:rsidRDefault="00F74F6D" w:rsidP="00F74F6D">
      <w:pPr>
        <w:pStyle w:val="Paragrafi"/>
        <w:rPr>
          <w:spacing w:val="-4"/>
          <w:lang w:val="sq-AL"/>
        </w:rPr>
      </w:pPr>
      <w:r>
        <w:rPr>
          <w:spacing w:val="-4"/>
          <w:lang w:val="sq-AL"/>
        </w:rPr>
        <w:t xml:space="preserve">72. Sipas tabelës 3 të ligjit nr. 147, datë 17.12.2015, “Për buxhetin e vitit 2016”, shuma prej 2,450,000 mijë lekësh, do të përdoret për investime për funksionin e ujitjes dhe të kullimit. Fondi do t’u akordohet njësive të qeverisjes vendore në vitin 2016 me vendim të Këshillit të Ministrave. </w:t>
      </w:r>
    </w:p>
    <w:p w:rsidR="00F74F6D" w:rsidRDefault="00F74F6D" w:rsidP="00F74F6D">
      <w:pPr>
        <w:pStyle w:val="Paragrafi"/>
        <w:rPr>
          <w:spacing w:val="-4"/>
          <w:lang w:val="sq-AL"/>
        </w:rPr>
      </w:pPr>
      <w:r>
        <w:rPr>
          <w:spacing w:val="-4"/>
          <w:lang w:val="sq-AL"/>
        </w:rPr>
        <w:t>73. Ministri i Bujqësisë, Zhvillimit Rural dhe Administrimit të Ujërave në bashkëpunim me ministrin e Shtetit për Çështjet Vendore përgatisin projektvendimin për Këshillin e Ministrave për ndarjen e fondit të investimeve për funksionin e ujitjes dhe të kullimit. Projektvendimi duhet të dërgohet për mendim te ministri i Financave dhe ministri i Zhvillimit Ekonomik, Turizmit, Tregtisë dhe Sipërmarrjes.</w:t>
      </w:r>
    </w:p>
    <w:p w:rsidR="00F74F6D" w:rsidRDefault="00F74F6D" w:rsidP="00F74F6D">
      <w:pPr>
        <w:pStyle w:val="Paragrafi"/>
        <w:rPr>
          <w:spacing w:val="-4"/>
          <w:lang w:val="sq-AL"/>
        </w:rPr>
      </w:pPr>
      <w:r>
        <w:rPr>
          <w:spacing w:val="-4"/>
          <w:lang w:val="sq-AL"/>
        </w:rPr>
        <w:t>74. Fondi rezervë përdoret sipas kritereve të përcaktuara në aneksin 2, të ligjit nr.147, datë 17.12.2015, “Për buxhetin e vitit 2016”. Njësitë e qeverisjes vendore sipas kritereve të këtij aneksi i drejtohen Ministrisë së Financave dhe ministri i Financave vlerëson kërkesën e tyre. Nëse fondi rezervë nuk përdoret brenda vitit 2016, ai trashëgohet si transfertë e pakushtëzuar për vitin 2017.</w:t>
      </w:r>
    </w:p>
    <w:p w:rsidR="00F74F6D" w:rsidRDefault="00F74F6D" w:rsidP="00F74F6D">
      <w:pPr>
        <w:pStyle w:val="Paragrafi"/>
        <w:rPr>
          <w:spacing w:val="-4"/>
          <w:lang w:val="sq-AL"/>
        </w:rPr>
      </w:pPr>
      <w:r>
        <w:rPr>
          <w:spacing w:val="-4"/>
          <w:lang w:val="sq-AL"/>
        </w:rPr>
        <w:t>75. Fondet e papërdorura nga transferta e pakushtëzuar dhe transferta specifike gjatë vitit 2016, trashëgohen në buxhetin e vitit 2017.</w:t>
      </w:r>
    </w:p>
    <w:p w:rsidR="00F74F6D" w:rsidRDefault="00F74F6D" w:rsidP="00F74F6D">
      <w:pPr>
        <w:pStyle w:val="Paragrafi"/>
        <w:rPr>
          <w:spacing w:val="-4"/>
          <w:lang w:val="sq-AL"/>
        </w:rPr>
      </w:pPr>
      <w:r>
        <w:rPr>
          <w:spacing w:val="-4"/>
          <w:lang w:val="sq-AL"/>
        </w:rPr>
        <w:t xml:space="preserve">III. Arkëtimet e kontributeve të sigurimeve shoqërore dhe shëndetësore </w:t>
      </w:r>
    </w:p>
    <w:p w:rsidR="00F74F6D" w:rsidRDefault="00F74F6D" w:rsidP="00F74F6D">
      <w:pPr>
        <w:pStyle w:val="Paragrafi"/>
        <w:rPr>
          <w:spacing w:val="-4"/>
          <w:lang w:val="sq-AL"/>
        </w:rPr>
      </w:pPr>
      <w:r>
        <w:rPr>
          <w:spacing w:val="-4"/>
          <w:lang w:val="sq-AL"/>
        </w:rPr>
        <w:t>76. Me implementimin e sistemit të ri informatik tatimor dhe me mbylljen e llogarive bankare në emër të drejtorive rajonale tatimore, kërkohet çdo ditë të sigurohet dërgimi elektronik në SIFQ, i arkëtimeve të kontributeve të sigurimeve shoqërore dhe shëndetësore nga struktura përgjegjëse për tatimet, sipas klasifikimit ekonomik buxhetor.</w:t>
      </w:r>
    </w:p>
    <w:p w:rsidR="00F74F6D" w:rsidRDefault="00F74F6D" w:rsidP="00F74F6D">
      <w:pPr>
        <w:pStyle w:val="Paragrafi"/>
        <w:rPr>
          <w:spacing w:val="-4"/>
          <w:lang w:val="sq-AL"/>
        </w:rPr>
      </w:pPr>
      <w:r>
        <w:rPr>
          <w:spacing w:val="-4"/>
          <w:lang w:val="sq-AL"/>
        </w:rPr>
        <w:t xml:space="preserve">77. Strukturat përgjegjëse për Thesarin në degë, nuk autorizojnë pagesën e pagës në muajin pasardhës, nëse nuk është kryer pagesa e kontributeve të sigurimeve shoqërore dhe shëndetësore, tatimit mbi të ardhurat personale, në muajin e mëparshëm nga njësitë shpenzuese të qeverisjes qendrore dhe vendore. </w:t>
      </w:r>
    </w:p>
    <w:p w:rsidR="00F74F6D" w:rsidRDefault="00F74F6D" w:rsidP="00F74F6D">
      <w:pPr>
        <w:pStyle w:val="Paragrafi"/>
        <w:rPr>
          <w:spacing w:val="-4"/>
          <w:lang w:val="sq-AL"/>
        </w:rPr>
      </w:pPr>
      <w:r>
        <w:rPr>
          <w:spacing w:val="-4"/>
          <w:lang w:val="sq-AL"/>
        </w:rPr>
        <w:t>78. Për pagesën e muajit të fundit të vitit njësitë shpenzuese të qeverisjes së përgjithshme të paraqesin së bashku me urdhërshpenzimin e pagave edhe konfirmimin e nëpunësit autorizues dhe zbatues për mjaftueshmërinë e fondeve buxhetore për mbulimin e pagesës së kontributeve të sigurimeve shoqërore dhe shëndetësore.</w:t>
      </w:r>
    </w:p>
    <w:p w:rsidR="00F74F6D" w:rsidRDefault="00F74F6D" w:rsidP="00F74F6D">
      <w:pPr>
        <w:pStyle w:val="Paragrafi"/>
        <w:rPr>
          <w:spacing w:val="-4"/>
          <w:lang w:val="sq-AL"/>
        </w:rPr>
      </w:pPr>
      <w:r>
        <w:rPr>
          <w:spacing w:val="-4"/>
          <w:lang w:val="sq-AL"/>
        </w:rPr>
        <w:t>IV. Monitorimi</w:t>
      </w:r>
    </w:p>
    <w:p w:rsidR="00F74F6D" w:rsidRDefault="00F74F6D" w:rsidP="00F74F6D">
      <w:pPr>
        <w:pStyle w:val="Paragrafi"/>
        <w:rPr>
          <w:spacing w:val="-4"/>
          <w:lang w:val="sq-AL"/>
        </w:rPr>
      </w:pPr>
      <w:r>
        <w:rPr>
          <w:spacing w:val="-4"/>
          <w:lang w:val="sq-AL"/>
        </w:rPr>
        <w:t xml:space="preserve">79. Raporti i monitorimit për vitin 2015, si edhe raportet periodike gjatë vitit 2016, që ministritë dhe </w:t>
      </w:r>
      <w:r>
        <w:rPr>
          <w:spacing w:val="-4"/>
          <w:lang w:val="sq-AL"/>
        </w:rPr>
        <w:lastRenderedPageBreak/>
        <w:t>institucionet do të paraqesin në Ministrinë e Financave, duhet të plotësohen me informacionin si më poshtë:</w:t>
      </w:r>
    </w:p>
    <w:p w:rsidR="00F74F6D" w:rsidRDefault="00F74F6D" w:rsidP="00F74F6D">
      <w:pPr>
        <w:pStyle w:val="Paragrafi"/>
        <w:rPr>
          <w:lang w:val="sq-AL"/>
        </w:rPr>
      </w:pPr>
      <w:r>
        <w:rPr>
          <w:spacing w:val="-4"/>
          <w:lang w:val="sq-AL"/>
        </w:rPr>
        <w:t xml:space="preserve">- </w:t>
      </w:r>
      <w:r>
        <w:rPr>
          <w:lang w:val="sq-AL"/>
        </w:rPr>
        <w:t>Shpjegimet përkatëse lidhur me ndryshimet e buxhetit nga plani fillestar deri në atë përfundim-tar, në nivel programi dhe artikulli;</w:t>
      </w:r>
    </w:p>
    <w:p w:rsidR="00F74F6D" w:rsidRDefault="00F74F6D" w:rsidP="00F74F6D">
      <w:pPr>
        <w:pStyle w:val="Paragrafi"/>
        <w:rPr>
          <w:lang w:val="sq-AL"/>
        </w:rPr>
      </w:pPr>
      <w:r>
        <w:rPr>
          <w:lang w:val="sq-AL"/>
        </w:rPr>
        <w:t xml:space="preserve">- Shpjegimet përkatëse lidhur me ndryshimet e planit të produkteve, si në sasi dhe në vlerë; </w:t>
      </w:r>
    </w:p>
    <w:p w:rsidR="00F74F6D" w:rsidRDefault="00F74F6D" w:rsidP="00F74F6D">
      <w:pPr>
        <w:pStyle w:val="Paragrafi"/>
        <w:rPr>
          <w:lang w:val="sq-AL"/>
        </w:rPr>
      </w:pPr>
      <w:r>
        <w:rPr>
          <w:lang w:val="sq-AL"/>
        </w:rPr>
        <w:t>- Argumentet që lidhen me mosrealizimin e produkteve duke paraqitur masat që parashi-kohen në të ardhmen për realizimin e tyre, si edhe analiza e kostos së produkteve, duke paraqitur shpjegimet përkatëse në rastin e kostove shtesë të realizuara;</w:t>
      </w:r>
    </w:p>
    <w:p w:rsidR="00F74F6D" w:rsidRDefault="00F74F6D" w:rsidP="00F74F6D">
      <w:pPr>
        <w:pStyle w:val="Paragrafi"/>
        <w:rPr>
          <w:spacing w:val="-4"/>
          <w:lang w:val="sq-AL"/>
        </w:rPr>
      </w:pPr>
      <w:r>
        <w:rPr>
          <w:spacing w:val="-4"/>
          <w:lang w:val="sq-AL"/>
        </w:rPr>
        <w:t>- Të dhënat përkatëse për realizimin e financimit të huaj, si edhe analiza e tyre;</w:t>
      </w:r>
    </w:p>
    <w:p w:rsidR="00F74F6D" w:rsidRDefault="00F74F6D" w:rsidP="00F74F6D">
      <w:pPr>
        <w:pStyle w:val="Paragrafi"/>
        <w:rPr>
          <w:spacing w:val="-4"/>
          <w:lang w:val="sq-AL"/>
        </w:rPr>
      </w:pPr>
      <w:r>
        <w:rPr>
          <w:spacing w:val="-4"/>
          <w:lang w:val="sq-AL"/>
        </w:rPr>
        <w:t>- Raportimi mbi shumat e shpenzimeve të realizuara nga të ardhurat jashtë limitit, i shoqëruar edhe me shpjegimet përkatëse lidhur me përdorimin e këtyre të ardhurave.</w:t>
      </w:r>
    </w:p>
    <w:p w:rsidR="00F74F6D" w:rsidRDefault="00F74F6D" w:rsidP="00F74F6D">
      <w:pPr>
        <w:pStyle w:val="Paragrafi"/>
        <w:rPr>
          <w:spacing w:val="-4"/>
          <w:lang w:val="sq-AL"/>
        </w:rPr>
      </w:pPr>
      <w:r>
        <w:rPr>
          <w:spacing w:val="-4"/>
          <w:lang w:val="sq-AL"/>
        </w:rPr>
        <w:t>Të gjitha shpjegimet e mësipërme lidhur me performancën e produkteve duhet të paraqiten të lidhura me realizimin e objektivave dhe politikës së programit.</w:t>
      </w:r>
    </w:p>
    <w:p w:rsidR="00F74F6D" w:rsidRDefault="00F74F6D" w:rsidP="00F74F6D">
      <w:pPr>
        <w:pStyle w:val="Paragrafi"/>
        <w:rPr>
          <w:spacing w:val="-4"/>
          <w:lang w:val="sq-AL"/>
        </w:rPr>
      </w:pPr>
      <w:r>
        <w:rPr>
          <w:spacing w:val="-4"/>
          <w:lang w:val="sq-AL"/>
        </w:rPr>
        <w:t xml:space="preserve">80. Raporti i monitorimit për vitin 2015 nga ana e njësive të qeverisjes qendrore do të paraqitet në Ministrinë e Financave, brenda datës 15 shkurt 2016. Në këto raporte, për programet që kanë ndryshuar sipas aktit normativ nr. 1, datë 29.7.2015, monitorimi me të gjithë treguesit vjetorë do të paraqitet nga ministritë dhe institucionet aktuale. </w:t>
      </w:r>
    </w:p>
    <w:p w:rsidR="00F74F6D" w:rsidRDefault="00F74F6D" w:rsidP="00F74F6D">
      <w:pPr>
        <w:pStyle w:val="Paragrafi"/>
        <w:rPr>
          <w:spacing w:val="-4"/>
          <w:lang w:val="sq-AL"/>
        </w:rPr>
      </w:pPr>
      <w:r>
        <w:rPr>
          <w:spacing w:val="-4"/>
          <w:lang w:val="sq-AL"/>
        </w:rPr>
        <w:t>V. Përcaktime të fundit</w:t>
      </w:r>
    </w:p>
    <w:p w:rsidR="00F74F6D" w:rsidRDefault="00F74F6D" w:rsidP="00F74F6D">
      <w:pPr>
        <w:pStyle w:val="Paragrafi"/>
        <w:rPr>
          <w:spacing w:val="-4"/>
          <w:lang w:val="sq-AL"/>
        </w:rPr>
      </w:pPr>
      <w:r>
        <w:rPr>
          <w:spacing w:val="-4"/>
          <w:lang w:val="sq-AL"/>
        </w:rPr>
        <w:t>81. Pjesë integrale e këtij udhëzimi janë formatet e zbatimit të buxhetit, bashkëlidhur si më poshtë:</w:t>
      </w:r>
    </w:p>
    <w:p w:rsidR="00F74F6D" w:rsidRDefault="00F74F6D" w:rsidP="00F74F6D">
      <w:pPr>
        <w:pStyle w:val="Paragrafi"/>
        <w:rPr>
          <w:spacing w:val="-4"/>
          <w:lang w:val="sq-AL"/>
        </w:rPr>
      </w:pPr>
      <w:r>
        <w:rPr>
          <w:spacing w:val="-4"/>
          <w:lang w:val="sq-AL"/>
        </w:rPr>
        <w:t>a) Tabela 1 “Fondi i veçantë limit për vitin 2016”;</w:t>
      </w:r>
    </w:p>
    <w:p w:rsidR="00F74F6D" w:rsidRDefault="00F74F6D" w:rsidP="00F74F6D">
      <w:pPr>
        <w:pStyle w:val="Paragrafi"/>
        <w:rPr>
          <w:spacing w:val="-4"/>
          <w:lang w:val="sq-AL"/>
        </w:rPr>
      </w:pPr>
      <w:r>
        <w:rPr>
          <w:spacing w:val="-4"/>
          <w:lang w:val="sq-AL"/>
        </w:rPr>
        <w:t>b) Shtojca 1 “Formati i detajimit të fondeve buxhetore”;</w:t>
      </w:r>
    </w:p>
    <w:p w:rsidR="00F74F6D" w:rsidRDefault="00F74F6D" w:rsidP="00F74F6D">
      <w:pPr>
        <w:pStyle w:val="Paragrafi"/>
        <w:rPr>
          <w:spacing w:val="-4"/>
          <w:lang w:val="sq-AL"/>
        </w:rPr>
      </w:pPr>
      <w:r>
        <w:rPr>
          <w:spacing w:val="-4"/>
          <w:lang w:val="sq-AL"/>
        </w:rPr>
        <w:t>c) Shtojca 2 “Formati i transferimit të fondeve buxhetore”;</w:t>
      </w:r>
    </w:p>
    <w:p w:rsidR="00F74F6D" w:rsidRDefault="00F74F6D" w:rsidP="00F74F6D">
      <w:pPr>
        <w:pStyle w:val="Paragrafi"/>
        <w:rPr>
          <w:spacing w:val="-4"/>
          <w:lang w:val="sq-AL"/>
        </w:rPr>
      </w:pPr>
      <w:r>
        <w:rPr>
          <w:spacing w:val="-4"/>
          <w:lang w:val="sq-AL"/>
        </w:rPr>
        <w:t>d) Shtojca 3 “Zbatimi i fondit limit të pagave”;</w:t>
      </w:r>
    </w:p>
    <w:p w:rsidR="00F74F6D" w:rsidRDefault="00F74F6D" w:rsidP="00F74F6D">
      <w:pPr>
        <w:pStyle w:val="Paragrafi"/>
        <w:rPr>
          <w:spacing w:val="-4"/>
          <w:lang w:val="sq-AL"/>
        </w:rPr>
      </w:pPr>
      <w:r>
        <w:rPr>
          <w:spacing w:val="-4"/>
          <w:lang w:val="sq-AL"/>
        </w:rPr>
        <w:t>e) Shtojca 4 “Borderoja e pagave të njësive të qeverisjes së përgjithshme”;</w:t>
      </w:r>
    </w:p>
    <w:p w:rsidR="00F74F6D" w:rsidRDefault="00F74F6D" w:rsidP="00F74F6D">
      <w:pPr>
        <w:pStyle w:val="Paragrafi"/>
        <w:rPr>
          <w:spacing w:val="-4"/>
          <w:lang w:val="sq-AL"/>
        </w:rPr>
      </w:pPr>
      <w:r>
        <w:rPr>
          <w:spacing w:val="-4"/>
          <w:lang w:val="sq-AL"/>
        </w:rPr>
        <w:t>f) Shtojca 6 “Raportimi i financimeve të huaja”;</w:t>
      </w:r>
    </w:p>
    <w:p w:rsidR="00F74F6D" w:rsidRDefault="00F74F6D" w:rsidP="00F74F6D">
      <w:pPr>
        <w:pStyle w:val="Paragrafi"/>
        <w:rPr>
          <w:spacing w:val="-4"/>
          <w:lang w:val="sq-AL"/>
        </w:rPr>
      </w:pPr>
      <w:r>
        <w:rPr>
          <w:spacing w:val="-4"/>
          <w:lang w:val="sq-AL"/>
        </w:rPr>
        <w:t>g) Shtojca 7 “Raporti i shpenzimeve faktike të programit sipas artikujve buxhetorë”;</w:t>
      </w:r>
    </w:p>
    <w:p w:rsidR="00F74F6D" w:rsidRDefault="00F74F6D" w:rsidP="00F74F6D">
      <w:pPr>
        <w:pStyle w:val="Paragrafi"/>
        <w:rPr>
          <w:spacing w:val="-4"/>
          <w:lang w:val="sq-AL"/>
        </w:rPr>
      </w:pPr>
      <w:r>
        <w:rPr>
          <w:spacing w:val="-4"/>
          <w:lang w:val="sq-AL"/>
        </w:rPr>
        <w:t>h) Shtojca 8 “Raporti i shpenzimeve sipas programeve”;</w:t>
      </w:r>
    </w:p>
    <w:p w:rsidR="00F74F6D" w:rsidRDefault="00F74F6D" w:rsidP="00F74F6D">
      <w:pPr>
        <w:pStyle w:val="Paragrafi"/>
        <w:rPr>
          <w:spacing w:val="-4"/>
          <w:lang w:val="sq-AL"/>
        </w:rPr>
      </w:pPr>
      <w:r>
        <w:rPr>
          <w:spacing w:val="-4"/>
          <w:lang w:val="sq-AL"/>
        </w:rPr>
        <w:t>i) Shtojca 9 “Raporti i realizimit të rezultateve të programit”;</w:t>
      </w:r>
    </w:p>
    <w:p w:rsidR="00F74F6D" w:rsidRDefault="00F74F6D" w:rsidP="00F74F6D">
      <w:pPr>
        <w:pStyle w:val="Paragrafi"/>
        <w:rPr>
          <w:spacing w:val="-4"/>
          <w:lang w:val="sq-AL"/>
        </w:rPr>
      </w:pPr>
      <w:r>
        <w:rPr>
          <w:spacing w:val="-4"/>
          <w:lang w:val="sq-AL"/>
        </w:rPr>
        <w:t>j) Shtojca 10 “Raporti i shpenzimeve faktike të programit sipas rezultateve”;</w:t>
      </w:r>
    </w:p>
    <w:p w:rsidR="00F74F6D" w:rsidRDefault="00F74F6D" w:rsidP="00F74F6D">
      <w:pPr>
        <w:pStyle w:val="Paragrafi"/>
        <w:rPr>
          <w:spacing w:val="-4"/>
          <w:lang w:val="sq-AL"/>
        </w:rPr>
      </w:pPr>
      <w:r>
        <w:rPr>
          <w:spacing w:val="-4"/>
          <w:lang w:val="sq-AL"/>
        </w:rPr>
        <w:t>k) Shtojca 11 “Raporti i projekteve me financim të brendshëm”;</w:t>
      </w:r>
    </w:p>
    <w:p w:rsidR="00F74F6D" w:rsidRDefault="00F74F6D" w:rsidP="00F74F6D">
      <w:pPr>
        <w:pStyle w:val="Paragrafi"/>
        <w:rPr>
          <w:spacing w:val="-4"/>
          <w:lang w:val="sq-AL"/>
        </w:rPr>
      </w:pPr>
      <w:r>
        <w:rPr>
          <w:spacing w:val="-4"/>
          <w:lang w:val="sq-AL"/>
        </w:rPr>
        <w:t>l) Shtojca 12 “Raportimi i fondit të pagave dhe numrit të punonjësve të njësisë së qeverisjes vendore”;</w:t>
      </w:r>
    </w:p>
    <w:p w:rsidR="00F74F6D" w:rsidRDefault="00F74F6D" w:rsidP="00F74F6D">
      <w:pPr>
        <w:pStyle w:val="Paragrafi"/>
        <w:rPr>
          <w:spacing w:val="-4"/>
          <w:lang w:val="sq-AL"/>
        </w:rPr>
      </w:pPr>
      <w:r>
        <w:rPr>
          <w:spacing w:val="-4"/>
          <w:lang w:val="sq-AL"/>
        </w:rPr>
        <w:t>m) Shtojca 12/1 “Transferta specifike dhe numri i punonjësve të njësive të qeverisjes vendore, për funksionet e transferuara nga pushteti qendror”;</w:t>
      </w:r>
    </w:p>
    <w:p w:rsidR="00F74F6D" w:rsidRDefault="00F74F6D" w:rsidP="00F74F6D">
      <w:pPr>
        <w:pStyle w:val="Paragrafi"/>
        <w:rPr>
          <w:spacing w:val="-4"/>
          <w:lang w:val="sq-AL"/>
        </w:rPr>
      </w:pPr>
      <w:r>
        <w:rPr>
          <w:spacing w:val="-4"/>
          <w:lang w:val="sq-AL"/>
        </w:rPr>
        <w:t>n) Shtojca 13 “Shkresa e njësive vendore për hapje llogari bankare huamarrjeje”;</w:t>
      </w:r>
    </w:p>
    <w:p w:rsidR="00F74F6D" w:rsidRDefault="00F74F6D" w:rsidP="00F74F6D">
      <w:pPr>
        <w:pStyle w:val="Paragrafi"/>
        <w:rPr>
          <w:spacing w:val="-4"/>
          <w:lang w:val="sq-AL"/>
        </w:rPr>
      </w:pPr>
    </w:p>
    <w:p w:rsidR="00F74F6D" w:rsidRDefault="00F74F6D" w:rsidP="00F74F6D">
      <w:pPr>
        <w:pStyle w:val="Paragrafi"/>
        <w:rPr>
          <w:spacing w:val="-4"/>
          <w:lang w:val="sq-AL"/>
        </w:rPr>
      </w:pPr>
      <w:r>
        <w:rPr>
          <w:spacing w:val="-4"/>
          <w:lang w:val="sq-AL"/>
        </w:rPr>
        <w:t>o) Shtojca 14 “Formati i raportimit të aktiveve në pronësi”, sipas paragrafit 258, të udhëzimit të ministrit të Financave nr. 2, datë 6.2.2012.</w:t>
      </w:r>
    </w:p>
    <w:p w:rsidR="00F74F6D" w:rsidRDefault="00F74F6D" w:rsidP="00F74F6D">
      <w:pPr>
        <w:pStyle w:val="Paragrafi"/>
        <w:rPr>
          <w:spacing w:val="-4"/>
          <w:lang w:val="sq-AL"/>
        </w:rPr>
      </w:pPr>
      <w:r>
        <w:rPr>
          <w:spacing w:val="-4"/>
          <w:lang w:val="sq-AL"/>
        </w:rPr>
        <w:t>82. Ky udhëzim hyn në fuqi menjëherë dhe efektet e tij përfundojnë më 31 dhjetor 2016.</w:t>
      </w:r>
    </w:p>
    <w:p w:rsidR="00F74F6D" w:rsidRDefault="00F74F6D" w:rsidP="00F74F6D">
      <w:pPr>
        <w:pStyle w:val="Paragrafi"/>
        <w:rPr>
          <w:spacing w:val="-4"/>
          <w:sz w:val="16"/>
          <w:lang w:val="sq-AL"/>
        </w:rPr>
      </w:pPr>
    </w:p>
    <w:p w:rsidR="00F74F6D" w:rsidRDefault="00F74F6D" w:rsidP="00F74F6D">
      <w:pPr>
        <w:pStyle w:val="Paragrafi"/>
        <w:jc w:val="right"/>
        <w:rPr>
          <w:spacing w:val="-4"/>
          <w:lang w:val="sq-AL"/>
        </w:rPr>
      </w:pPr>
      <w:r>
        <w:rPr>
          <w:spacing w:val="-4"/>
          <w:lang w:val="sq-AL"/>
        </w:rPr>
        <w:t>MINISTRI I FINANCAVE</w:t>
      </w:r>
    </w:p>
    <w:p w:rsidR="00F74F6D" w:rsidRDefault="00F74F6D" w:rsidP="00F74F6D">
      <w:pPr>
        <w:pStyle w:val="Paragrafi"/>
        <w:jc w:val="right"/>
        <w:rPr>
          <w:b/>
          <w:spacing w:val="-4"/>
          <w:lang w:val="sq-AL"/>
        </w:rPr>
      </w:pPr>
      <w:r>
        <w:rPr>
          <w:b/>
          <w:spacing w:val="-4"/>
          <w:lang w:val="sq-AL"/>
        </w:rPr>
        <w:t>Shkëlqim Cani</w:t>
      </w: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spacing w:after="0" w:line="240" w:lineRule="auto"/>
        <w:ind w:firstLine="0"/>
        <w:jc w:val="left"/>
        <w:rPr>
          <w:rFonts w:ascii="Garamond" w:eastAsia="MS Mincho" w:hAnsi="Garamond" w:cs="CG Times"/>
          <w:sz w:val="24"/>
          <w:lang w:val="sq-AL"/>
        </w:rPr>
        <w:sectPr w:rsidR="00F74F6D" w:rsidSect="00F74F6D">
          <w:pgSz w:w="11907" w:h="16840"/>
          <w:pgMar w:top="720" w:right="1134" w:bottom="720" w:left="1134" w:header="851" w:footer="851" w:gutter="0"/>
          <w:pgNumType w:start="1017"/>
          <w:cols w:space="454"/>
        </w:sectPr>
      </w:pPr>
    </w:p>
    <w:p w:rsidR="00F74F6D" w:rsidRDefault="00F74F6D" w:rsidP="00F74F6D">
      <w:pPr>
        <w:pStyle w:val="Paragrafi"/>
        <w:jc w:val="center"/>
        <w:rPr>
          <w:lang w:val="sq-AL"/>
        </w:rPr>
      </w:pPr>
      <w:r>
        <w:rPr>
          <w:noProof/>
        </w:rPr>
        <w:lastRenderedPageBreak/>
        <w:drawing>
          <wp:inline distT="0" distB="0" distL="0" distR="0" wp14:anchorId="1B19F437" wp14:editId="4DBAB513">
            <wp:extent cx="5476875" cy="7077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l="7002" t="4840" r="21408" b="4510"/>
                    <a:stretch>
                      <a:fillRect/>
                    </a:stretch>
                  </pic:blipFill>
                  <pic:spPr bwMode="auto">
                    <a:xfrm>
                      <a:off x="0" y="0"/>
                      <a:ext cx="5476875" cy="7077075"/>
                    </a:xfrm>
                    <a:prstGeom prst="rect">
                      <a:avLst/>
                    </a:prstGeom>
                    <a:noFill/>
                    <a:ln>
                      <a:noFill/>
                    </a:ln>
                  </pic:spPr>
                </pic:pic>
              </a:graphicData>
            </a:graphic>
          </wp:inline>
        </w:drawing>
      </w:r>
      <w:r>
        <w:rPr>
          <w:noProof/>
        </w:rPr>
        <w:lastRenderedPageBreak/>
        <w:drawing>
          <wp:inline distT="0" distB="0" distL="0" distR="0" wp14:anchorId="0EC1849B" wp14:editId="3108D499">
            <wp:extent cx="2628900" cy="82581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l="44659" t="5721" r="22820" b="6709"/>
                    <a:stretch>
                      <a:fillRect/>
                    </a:stretch>
                  </pic:blipFill>
                  <pic:spPr bwMode="auto">
                    <a:xfrm rot="10800000">
                      <a:off x="0" y="0"/>
                      <a:ext cx="2628900" cy="8258175"/>
                    </a:xfrm>
                    <a:prstGeom prst="rect">
                      <a:avLst/>
                    </a:prstGeom>
                    <a:noFill/>
                    <a:ln>
                      <a:noFill/>
                    </a:ln>
                  </pic:spPr>
                </pic:pic>
              </a:graphicData>
            </a:graphic>
          </wp:inline>
        </w:drawing>
      </w:r>
    </w:p>
    <w:p w:rsidR="00F74F6D" w:rsidRDefault="00F74F6D" w:rsidP="00F74F6D">
      <w:pPr>
        <w:pStyle w:val="Paragrafi"/>
        <w:jc w:val="left"/>
        <w:rPr>
          <w:lang w:val="sq-AL"/>
        </w:rPr>
      </w:pPr>
    </w:p>
    <w:p w:rsidR="00F74F6D" w:rsidRDefault="00F74F6D" w:rsidP="00F74F6D">
      <w:pPr>
        <w:pStyle w:val="Paragrafi"/>
        <w:jc w:val="left"/>
        <w:rPr>
          <w:lang w:val="sq-AL"/>
        </w:rPr>
      </w:pPr>
    </w:p>
    <w:p w:rsidR="00F74F6D" w:rsidRDefault="00F74F6D" w:rsidP="00F74F6D">
      <w:pPr>
        <w:pStyle w:val="Paragrafi"/>
        <w:jc w:val="left"/>
        <w:rPr>
          <w:lang w:val="sq-AL"/>
        </w:rPr>
      </w:pPr>
      <w:r>
        <w:rPr>
          <w:noProof/>
        </w:rPr>
        <w:lastRenderedPageBreak/>
        <w:drawing>
          <wp:inline distT="0" distB="0" distL="0" distR="0" wp14:anchorId="3AD0C474" wp14:editId="760D6BEE">
            <wp:extent cx="2724150" cy="81057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l="48712" t="5281" r="15492" b="7481"/>
                    <a:stretch>
                      <a:fillRect/>
                    </a:stretch>
                  </pic:blipFill>
                  <pic:spPr bwMode="auto">
                    <a:xfrm rot="10800000">
                      <a:off x="0" y="0"/>
                      <a:ext cx="2724150" cy="8105775"/>
                    </a:xfrm>
                    <a:prstGeom prst="rect">
                      <a:avLst/>
                    </a:prstGeom>
                    <a:noFill/>
                    <a:ln>
                      <a:noFill/>
                    </a:ln>
                  </pic:spPr>
                </pic:pic>
              </a:graphicData>
            </a:graphic>
          </wp:inline>
        </w:drawing>
      </w:r>
    </w:p>
    <w:p w:rsidR="00F74F6D" w:rsidRDefault="00F74F6D" w:rsidP="00F74F6D">
      <w:pPr>
        <w:pStyle w:val="Paragrafi"/>
        <w:jc w:val="left"/>
        <w:rPr>
          <w:lang w:val="sq-AL"/>
        </w:rPr>
      </w:pPr>
      <w:r>
        <w:rPr>
          <w:noProof/>
        </w:rPr>
        <w:lastRenderedPageBreak/>
        <w:drawing>
          <wp:inline distT="0" distB="0" distL="0" distR="0" wp14:anchorId="7BF288D6" wp14:editId="227871DB">
            <wp:extent cx="5791200" cy="8134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l="8867" t="7372" r="11176" b="12102"/>
                    <a:stretch>
                      <a:fillRect/>
                    </a:stretch>
                  </pic:blipFill>
                  <pic:spPr bwMode="auto">
                    <a:xfrm>
                      <a:off x="0" y="0"/>
                      <a:ext cx="5791200" cy="8134350"/>
                    </a:xfrm>
                    <a:prstGeom prst="rect">
                      <a:avLst/>
                    </a:prstGeom>
                    <a:noFill/>
                    <a:ln>
                      <a:noFill/>
                    </a:ln>
                  </pic:spPr>
                </pic:pic>
              </a:graphicData>
            </a:graphic>
          </wp:inline>
        </w:drawing>
      </w:r>
      <w:r>
        <w:rPr>
          <w:noProof/>
        </w:rPr>
        <w:lastRenderedPageBreak/>
        <w:drawing>
          <wp:inline distT="0" distB="0" distL="0" distR="0" wp14:anchorId="01B498A2" wp14:editId="08502990">
            <wp:extent cx="4448175" cy="79533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l="29254" t="10892" r="14107" b="23102"/>
                    <a:stretch>
                      <a:fillRect/>
                    </a:stretch>
                  </pic:blipFill>
                  <pic:spPr bwMode="auto">
                    <a:xfrm rot="10800000">
                      <a:off x="0" y="0"/>
                      <a:ext cx="4448175" cy="7953375"/>
                    </a:xfrm>
                    <a:prstGeom prst="rect">
                      <a:avLst/>
                    </a:prstGeom>
                    <a:noFill/>
                    <a:ln>
                      <a:noFill/>
                    </a:ln>
                  </pic:spPr>
                </pic:pic>
              </a:graphicData>
            </a:graphic>
          </wp:inline>
        </w:drawing>
      </w:r>
      <w:r>
        <w:rPr>
          <w:noProof/>
        </w:rPr>
        <w:lastRenderedPageBreak/>
        <w:drawing>
          <wp:inline distT="0" distB="0" distL="0" distR="0" wp14:anchorId="06574153" wp14:editId="5C71C69D">
            <wp:extent cx="3943350" cy="76485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l="38281" t="10231" r="13010" b="34103"/>
                    <a:stretch>
                      <a:fillRect/>
                    </a:stretch>
                  </pic:blipFill>
                  <pic:spPr bwMode="auto">
                    <a:xfrm rot="10800000">
                      <a:off x="0" y="0"/>
                      <a:ext cx="3943350" cy="7648575"/>
                    </a:xfrm>
                    <a:prstGeom prst="rect">
                      <a:avLst/>
                    </a:prstGeom>
                    <a:noFill/>
                    <a:ln>
                      <a:noFill/>
                    </a:ln>
                  </pic:spPr>
                </pic:pic>
              </a:graphicData>
            </a:graphic>
          </wp:inline>
        </w:drawing>
      </w:r>
      <w:r>
        <w:rPr>
          <w:noProof/>
        </w:rPr>
        <w:lastRenderedPageBreak/>
        <w:drawing>
          <wp:inline distT="0" distB="0" distL="0" distR="0" wp14:anchorId="13DD4BD5" wp14:editId="2BB2F250">
            <wp:extent cx="4886325" cy="80581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l="21474" t="7591" r="14883" b="9460"/>
                    <a:stretch>
                      <a:fillRect/>
                    </a:stretch>
                  </pic:blipFill>
                  <pic:spPr bwMode="auto">
                    <a:xfrm rot="10800000">
                      <a:off x="0" y="0"/>
                      <a:ext cx="4886325" cy="8058150"/>
                    </a:xfrm>
                    <a:prstGeom prst="rect">
                      <a:avLst/>
                    </a:prstGeom>
                    <a:noFill/>
                    <a:ln>
                      <a:noFill/>
                    </a:ln>
                  </pic:spPr>
                </pic:pic>
              </a:graphicData>
            </a:graphic>
          </wp:inline>
        </w:drawing>
      </w:r>
      <w:r>
        <w:rPr>
          <w:noProof/>
        </w:rPr>
        <w:lastRenderedPageBreak/>
        <w:drawing>
          <wp:inline distT="0" distB="0" distL="0" distR="0" wp14:anchorId="0B06A8EE" wp14:editId="198B58FA">
            <wp:extent cx="5838825" cy="77438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l="16026" t="11551" r="13171" b="29703"/>
                    <a:stretch>
                      <a:fillRect/>
                    </a:stretch>
                  </pic:blipFill>
                  <pic:spPr bwMode="auto">
                    <a:xfrm rot="10800000">
                      <a:off x="0" y="0"/>
                      <a:ext cx="5838825" cy="7743825"/>
                    </a:xfrm>
                    <a:prstGeom prst="rect">
                      <a:avLst/>
                    </a:prstGeom>
                    <a:noFill/>
                    <a:ln>
                      <a:noFill/>
                    </a:ln>
                  </pic:spPr>
                </pic:pic>
              </a:graphicData>
            </a:graphic>
          </wp:inline>
        </w:drawing>
      </w:r>
    </w:p>
    <w:p w:rsidR="00F74F6D" w:rsidRDefault="00F74F6D" w:rsidP="00F74F6D">
      <w:pPr>
        <w:pStyle w:val="Paragrafi"/>
        <w:rPr>
          <w:lang w:val="sq-AL"/>
        </w:rPr>
      </w:pPr>
      <w:r>
        <w:rPr>
          <w:noProof/>
        </w:rPr>
        <w:lastRenderedPageBreak/>
        <w:drawing>
          <wp:inline distT="0" distB="0" distL="0" distR="0" wp14:anchorId="11E1303C" wp14:editId="0704373B">
            <wp:extent cx="5124450" cy="71913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l="21623" t="10321" r="17397" b="30849"/>
                    <a:stretch>
                      <a:fillRect/>
                    </a:stretch>
                  </pic:blipFill>
                  <pic:spPr bwMode="auto">
                    <a:xfrm rot="10800000">
                      <a:off x="0" y="0"/>
                      <a:ext cx="5124450" cy="7191375"/>
                    </a:xfrm>
                    <a:prstGeom prst="rect">
                      <a:avLst/>
                    </a:prstGeom>
                    <a:noFill/>
                    <a:ln>
                      <a:noFill/>
                    </a:ln>
                  </pic:spPr>
                </pic:pic>
              </a:graphicData>
            </a:graphic>
          </wp:inline>
        </w:drawing>
      </w:r>
      <w:r>
        <w:rPr>
          <w:noProof/>
        </w:rPr>
        <w:lastRenderedPageBreak/>
        <w:drawing>
          <wp:inline distT="0" distB="0" distL="0" distR="0" wp14:anchorId="47C78635" wp14:editId="4C748CCC">
            <wp:extent cx="4705350" cy="8210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l="26289" t="10892" r="16464" b="12872"/>
                    <a:stretch>
                      <a:fillRect/>
                    </a:stretch>
                  </pic:blipFill>
                  <pic:spPr bwMode="auto">
                    <a:xfrm rot="10800000">
                      <a:off x="0" y="0"/>
                      <a:ext cx="4705350" cy="8210550"/>
                    </a:xfrm>
                    <a:prstGeom prst="rect">
                      <a:avLst/>
                    </a:prstGeom>
                    <a:noFill/>
                    <a:ln>
                      <a:noFill/>
                    </a:ln>
                  </pic:spPr>
                </pic:pic>
              </a:graphicData>
            </a:graphic>
          </wp:inline>
        </w:drawing>
      </w:r>
      <w:r>
        <w:rPr>
          <w:noProof/>
        </w:rPr>
        <w:lastRenderedPageBreak/>
        <w:drawing>
          <wp:inline distT="0" distB="0" distL="0" distR="0" wp14:anchorId="2E4A5D61" wp14:editId="75ED21F6">
            <wp:extent cx="4629150" cy="8201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l="27855" t="5499" r="11453" b="13092"/>
                    <a:stretch>
                      <a:fillRect/>
                    </a:stretch>
                  </pic:blipFill>
                  <pic:spPr bwMode="auto">
                    <a:xfrm rot="10800000">
                      <a:off x="0" y="0"/>
                      <a:ext cx="4629150" cy="8201025"/>
                    </a:xfrm>
                    <a:prstGeom prst="rect">
                      <a:avLst/>
                    </a:prstGeom>
                    <a:noFill/>
                    <a:ln>
                      <a:noFill/>
                    </a:ln>
                  </pic:spPr>
                </pic:pic>
              </a:graphicData>
            </a:graphic>
          </wp:inline>
        </w:drawing>
      </w:r>
      <w:r>
        <w:rPr>
          <w:noProof/>
        </w:rPr>
        <w:lastRenderedPageBreak/>
        <w:drawing>
          <wp:inline distT="0" distB="0" distL="0" distR="0" wp14:anchorId="253CBE66" wp14:editId="2661156A">
            <wp:extent cx="4114800" cy="7991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l="42622" t="5940" r="10555" b="13972"/>
                    <a:stretch>
                      <a:fillRect/>
                    </a:stretch>
                  </pic:blipFill>
                  <pic:spPr bwMode="auto">
                    <a:xfrm rot="10800000">
                      <a:off x="0" y="0"/>
                      <a:ext cx="4114800" cy="7991475"/>
                    </a:xfrm>
                    <a:prstGeom prst="rect">
                      <a:avLst/>
                    </a:prstGeom>
                    <a:noFill/>
                    <a:ln>
                      <a:noFill/>
                    </a:ln>
                  </pic:spPr>
                </pic:pic>
              </a:graphicData>
            </a:graphic>
          </wp:inline>
        </w:drawing>
      </w:r>
      <w:r>
        <w:rPr>
          <w:noProof/>
        </w:rPr>
        <w:lastRenderedPageBreak/>
        <w:drawing>
          <wp:inline distT="0" distB="0" distL="0" distR="0" wp14:anchorId="757F4C7C" wp14:editId="2FA62E1B">
            <wp:extent cx="3190875" cy="80772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l="25775" t="6601" r="30653" b="6931"/>
                    <a:stretch>
                      <a:fillRect/>
                    </a:stretch>
                  </pic:blipFill>
                  <pic:spPr bwMode="auto">
                    <a:xfrm rot="10800000">
                      <a:off x="0" y="0"/>
                      <a:ext cx="3190875" cy="8077200"/>
                    </a:xfrm>
                    <a:prstGeom prst="rect">
                      <a:avLst/>
                    </a:prstGeom>
                    <a:noFill/>
                    <a:ln>
                      <a:noFill/>
                    </a:ln>
                  </pic:spPr>
                </pic:pic>
              </a:graphicData>
            </a:graphic>
          </wp:inline>
        </w:drawing>
      </w:r>
      <w:r>
        <w:rPr>
          <w:noProof/>
        </w:rPr>
        <w:lastRenderedPageBreak/>
        <w:drawing>
          <wp:inline distT="0" distB="0" distL="0" distR="0" wp14:anchorId="15437B6E" wp14:editId="58E2F896">
            <wp:extent cx="6057900" cy="8058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l="3732" t="9570" r="6819" b="15512"/>
                    <a:stretch>
                      <a:fillRect/>
                    </a:stretch>
                  </pic:blipFill>
                  <pic:spPr bwMode="auto">
                    <a:xfrm rot="10800000">
                      <a:off x="0" y="0"/>
                      <a:ext cx="6057900" cy="8058150"/>
                    </a:xfrm>
                    <a:prstGeom prst="rect">
                      <a:avLst/>
                    </a:prstGeom>
                    <a:noFill/>
                    <a:ln>
                      <a:noFill/>
                    </a:ln>
                  </pic:spPr>
                </pic:pic>
              </a:graphicData>
            </a:graphic>
          </wp:inline>
        </w:drawing>
      </w:r>
      <w:r>
        <w:rPr>
          <w:noProof/>
        </w:rPr>
        <w:lastRenderedPageBreak/>
        <w:drawing>
          <wp:inline distT="0" distB="0" distL="0" distR="0" wp14:anchorId="1667733A" wp14:editId="19BC3EA8">
            <wp:extent cx="4400550" cy="8191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l="38579" t="9570" r="3864" b="15073"/>
                    <a:stretch>
                      <a:fillRect/>
                    </a:stretch>
                  </pic:blipFill>
                  <pic:spPr bwMode="auto">
                    <a:xfrm rot="10800000">
                      <a:off x="0" y="0"/>
                      <a:ext cx="4400550" cy="8191500"/>
                    </a:xfrm>
                    <a:prstGeom prst="rect">
                      <a:avLst/>
                    </a:prstGeom>
                    <a:noFill/>
                    <a:ln>
                      <a:noFill/>
                    </a:ln>
                  </pic:spPr>
                </pic:pic>
              </a:graphicData>
            </a:graphic>
          </wp:inline>
        </w:drawing>
      </w:r>
      <w:r>
        <w:rPr>
          <w:noProof/>
        </w:rPr>
        <w:lastRenderedPageBreak/>
        <w:drawing>
          <wp:inline distT="0" distB="0" distL="0" distR="0" wp14:anchorId="65BC6A8D" wp14:editId="085093EB">
            <wp:extent cx="6076950" cy="8296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l="6535" t="8801" r="12704" b="11880"/>
                    <a:stretch>
                      <a:fillRect/>
                    </a:stretch>
                  </pic:blipFill>
                  <pic:spPr bwMode="auto">
                    <a:xfrm>
                      <a:off x="0" y="0"/>
                      <a:ext cx="6076950" cy="8296275"/>
                    </a:xfrm>
                    <a:prstGeom prst="rect">
                      <a:avLst/>
                    </a:prstGeom>
                    <a:noFill/>
                    <a:ln>
                      <a:noFill/>
                    </a:ln>
                  </pic:spPr>
                </pic:pic>
              </a:graphicData>
            </a:graphic>
          </wp:inline>
        </w:drawing>
      </w:r>
      <w:r>
        <w:rPr>
          <w:noProof/>
        </w:rPr>
        <w:lastRenderedPageBreak/>
        <w:drawing>
          <wp:inline distT="0" distB="0" distL="0" distR="0" wp14:anchorId="1647590B" wp14:editId="4A2FB717">
            <wp:extent cx="3962400" cy="825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l="23187" t="1981" r="12076" b="5391"/>
                    <a:stretch>
                      <a:fillRect/>
                    </a:stretch>
                  </pic:blipFill>
                  <pic:spPr bwMode="auto">
                    <a:xfrm rot="10800000">
                      <a:off x="0" y="0"/>
                      <a:ext cx="3962400" cy="8258175"/>
                    </a:xfrm>
                    <a:prstGeom prst="rect">
                      <a:avLst/>
                    </a:prstGeom>
                    <a:noFill/>
                    <a:ln>
                      <a:noFill/>
                    </a:ln>
                  </pic:spPr>
                </pic:pic>
              </a:graphicData>
            </a:graphic>
          </wp:inline>
        </w:drawing>
      </w:r>
    </w:p>
    <w:p w:rsidR="00F74F6D" w:rsidRDefault="00F74F6D" w:rsidP="00F74F6D">
      <w:pPr>
        <w:pStyle w:val="Paragrafi"/>
        <w:rPr>
          <w:lang w:val="sq-AL"/>
        </w:rPr>
      </w:pPr>
    </w:p>
    <w:p w:rsidR="00F74F6D" w:rsidRDefault="00F74F6D" w:rsidP="00F74F6D">
      <w:pPr>
        <w:pStyle w:val="Paragrafi"/>
        <w:rPr>
          <w:lang w:val="sq-AL"/>
        </w:rPr>
      </w:pPr>
    </w:p>
    <w:p w:rsidR="00F74F6D" w:rsidRDefault="00F74F6D" w:rsidP="00F74F6D">
      <w:pPr>
        <w:pStyle w:val="Paragrafi"/>
        <w:rPr>
          <w:lang w:val="sq-AL"/>
        </w:rPr>
      </w:pPr>
      <w:r>
        <w:rPr>
          <w:noProof/>
        </w:rPr>
        <w:lastRenderedPageBreak/>
        <w:drawing>
          <wp:inline distT="0" distB="0" distL="0" distR="0" wp14:anchorId="238FBAC2" wp14:editId="5BFC704D">
            <wp:extent cx="4819650" cy="830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9650" cy="8305800"/>
                    </a:xfrm>
                    <a:prstGeom prst="rect">
                      <a:avLst/>
                    </a:prstGeom>
                    <a:noFill/>
                    <a:ln>
                      <a:noFill/>
                    </a:ln>
                  </pic:spPr>
                </pic:pic>
              </a:graphicData>
            </a:graphic>
          </wp:inline>
        </w:drawing>
      </w:r>
    </w:p>
    <w:p w:rsidR="00F74F6D" w:rsidRDefault="00F74F6D" w:rsidP="00F74F6D">
      <w:pPr>
        <w:pStyle w:val="Paragrafi"/>
        <w:rPr>
          <w:lang w:val="sq-AL"/>
        </w:rPr>
      </w:pPr>
    </w:p>
    <w:p w:rsidR="00F74F6D" w:rsidRDefault="00F74F6D" w:rsidP="00F74F6D">
      <w:pPr>
        <w:pStyle w:val="Paragrafi"/>
        <w:rPr>
          <w:lang w:val="sq-AL"/>
        </w:rPr>
      </w:pPr>
      <w:r>
        <w:rPr>
          <w:noProof/>
        </w:rPr>
        <w:lastRenderedPageBreak/>
        <w:drawing>
          <wp:inline distT="0" distB="0" distL="0" distR="0" wp14:anchorId="7E6D3347" wp14:editId="3E552DEB">
            <wp:extent cx="5133975" cy="836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33975" cy="8362950"/>
                    </a:xfrm>
                    <a:prstGeom prst="rect">
                      <a:avLst/>
                    </a:prstGeom>
                    <a:noFill/>
                    <a:ln>
                      <a:noFill/>
                    </a:ln>
                  </pic:spPr>
                </pic:pic>
              </a:graphicData>
            </a:graphic>
          </wp:inline>
        </w:drawing>
      </w:r>
    </w:p>
    <w:p w:rsidR="00F74F6D" w:rsidRDefault="00F74F6D" w:rsidP="00F74F6D">
      <w:pPr>
        <w:pStyle w:val="Paragrafi"/>
        <w:rPr>
          <w:lang w:val="sq-AL"/>
        </w:rPr>
      </w:pPr>
    </w:p>
    <w:bookmarkEnd w:id="0"/>
    <w:p w:rsidR="00C038B6" w:rsidRPr="00F74F6D" w:rsidRDefault="00F74F6D" w:rsidP="00F74F6D"/>
    <w:sectPr w:rsidR="00C038B6" w:rsidRPr="00F74F6D" w:rsidSect="00F74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4F0"/>
    <w:rsid w:val="002D1BDF"/>
    <w:rsid w:val="00462D66"/>
    <w:rsid w:val="00BF24F0"/>
    <w:rsid w:val="00F74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F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24F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F24F0"/>
    <w:rPr>
      <w:rFonts w:ascii="Garamond" w:eastAsia="MS Mincho" w:hAnsi="Garamond" w:cs="CG Times"/>
      <w:sz w:val="24"/>
    </w:rPr>
  </w:style>
  <w:style w:type="paragraph" w:customStyle="1" w:styleId="NeniNr">
    <w:name w:val="Neni_Nr"/>
    <w:next w:val="Normal"/>
    <w:link w:val="NeniNrChar"/>
    <w:rsid w:val="00BF24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24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24F0"/>
    <w:rPr>
      <w:rFonts w:ascii="Garamond" w:eastAsia="MS Mincho" w:hAnsi="Garamond" w:cs="CG Times"/>
      <w:sz w:val="24"/>
      <w:lang w:val="en-GB"/>
    </w:rPr>
  </w:style>
  <w:style w:type="paragraph" w:customStyle="1" w:styleId="Hapesira7">
    <w:name w:val="Hapesira 7"/>
    <w:basedOn w:val="Paragrafi"/>
    <w:qFormat/>
    <w:rsid w:val="00BF24F0"/>
    <w:rPr>
      <w:sz w:val="14"/>
      <w:szCs w:val="24"/>
    </w:rPr>
  </w:style>
  <w:style w:type="paragraph" w:styleId="BalloonText">
    <w:name w:val="Balloon Text"/>
    <w:basedOn w:val="Normal"/>
    <w:link w:val="BalloonTextChar"/>
    <w:uiPriority w:val="99"/>
    <w:semiHidden/>
    <w:unhideWhenUsed/>
    <w:rsid w:val="00F74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F6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F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24F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F24F0"/>
    <w:rPr>
      <w:rFonts w:ascii="Garamond" w:eastAsia="MS Mincho" w:hAnsi="Garamond" w:cs="CG Times"/>
      <w:sz w:val="24"/>
    </w:rPr>
  </w:style>
  <w:style w:type="paragraph" w:customStyle="1" w:styleId="NeniNr">
    <w:name w:val="Neni_Nr"/>
    <w:next w:val="Normal"/>
    <w:link w:val="NeniNrChar"/>
    <w:rsid w:val="00BF24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24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24F0"/>
    <w:rPr>
      <w:rFonts w:ascii="Garamond" w:eastAsia="MS Mincho" w:hAnsi="Garamond" w:cs="CG Times"/>
      <w:sz w:val="24"/>
      <w:lang w:val="en-GB"/>
    </w:rPr>
  </w:style>
  <w:style w:type="paragraph" w:customStyle="1" w:styleId="Hapesira7">
    <w:name w:val="Hapesira 7"/>
    <w:basedOn w:val="Paragrafi"/>
    <w:qFormat/>
    <w:rsid w:val="00BF24F0"/>
    <w:rPr>
      <w:sz w:val="14"/>
      <w:szCs w:val="24"/>
    </w:rPr>
  </w:style>
  <w:style w:type="paragraph" w:styleId="BalloonText">
    <w:name w:val="Balloon Text"/>
    <w:basedOn w:val="Normal"/>
    <w:link w:val="BalloonTextChar"/>
    <w:uiPriority w:val="99"/>
    <w:semiHidden/>
    <w:unhideWhenUsed/>
    <w:rsid w:val="00F74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F6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00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8038</Words>
  <Characters>45818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2016-02-10T08:49:00Z</dcterms:created>
  <dcterms:modified xsi:type="dcterms:W3CDTF">2018-01-15T13:40:00Z</dcterms:modified>
</cp:coreProperties>
</file>