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BF5" w:rsidRPr="007E62D8" w:rsidRDefault="00813BF5" w:rsidP="00813BF5">
      <w:pPr>
        <w:pStyle w:val="Akti"/>
        <w:rPr>
          <w:spacing w:val="-4"/>
          <w:lang w:val="sq-AL"/>
        </w:rPr>
      </w:pPr>
      <w:r w:rsidRPr="007E62D8">
        <w:rPr>
          <w:spacing w:val="-4"/>
          <w:lang w:val="sq-AL"/>
        </w:rPr>
        <w:t>Udhëzim</w:t>
      </w:r>
    </w:p>
    <w:p w:rsidR="00813BF5" w:rsidRPr="007E62D8" w:rsidRDefault="00813BF5" w:rsidP="00813BF5">
      <w:pPr>
        <w:pStyle w:val="NumriData"/>
        <w:rPr>
          <w:spacing w:val="-4"/>
          <w:lang w:val="sq-AL"/>
        </w:rPr>
      </w:pPr>
      <w:r w:rsidRPr="007E62D8">
        <w:rPr>
          <w:spacing w:val="-4"/>
          <w:lang w:val="sq-AL"/>
        </w:rPr>
        <w:t>Nr. 7, datë 22.4.2016</w:t>
      </w:r>
    </w:p>
    <w:p w:rsidR="00813BF5" w:rsidRPr="007E62D8" w:rsidRDefault="00813BF5" w:rsidP="00813BF5">
      <w:pPr>
        <w:pStyle w:val="Hapesira7"/>
        <w:rPr>
          <w:spacing w:val="-4"/>
          <w:lang w:val="sq-AL"/>
        </w:rPr>
      </w:pPr>
    </w:p>
    <w:p w:rsidR="00813BF5" w:rsidRPr="007E62D8" w:rsidRDefault="00813BF5" w:rsidP="00813BF5">
      <w:pPr>
        <w:pStyle w:val="Titulli"/>
        <w:rPr>
          <w:spacing w:val="-4"/>
          <w:lang w:val="sq-AL"/>
        </w:rPr>
      </w:pPr>
      <w:r w:rsidRPr="007E62D8">
        <w:rPr>
          <w:spacing w:val="-4"/>
          <w:lang w:val="sq-AL"/>
        </w:rPr>
        <w:t>Për disa shtesa dhe ndryshime në udhëzimin nr. 10, datë 9.3.2015, “Për përcaktimin e procedurave për menaxhimin nëpërmjet fondit kombëtar të bashkëfinancimit të buxhetit të shtetit për projektet IPA”</w:t>
      </w:r>
    </w:p>
    <w:p w:rsidR="00813BF5" w:rsidRPr="007E62D8" w:rsidRDefault="00813BF5" w:rsidP="00813BF5">
      <w:pPr>
        <w:pStyle w:val="Hapesira7"/>
        <w:rPr>
          <w:spacing w:val="-4"/>
          <w:lang w:val="sq-AL"/>
        </w:rPr>
      </w:pPr>
    </w:p>
    <w:p w:rsidR="00813BF5" w:rsidRPr="007E62D8" w:rsidRDefault="00813BF5" w:rsidP="00813BF5">
      <w:pPr>
        <w:pStyle w:val="Paragrafi"/>
        <w:rPr>
          <w:spacing w:val="-4"/>
          <w:lang w:val="sq-AL"/>
        </w:rPr>
      </w:pPr>
      <w:r w:rsidRPr="007E62D8">
        <w:rPr>
          <w:spacing w:val="-4"/>
          <w:lang w:val="sq-AL"/>
        </w:rPr>
        <w:t>Në mbështetje të nenit 102, pika 4, të Kushtetutës së Republikës së Shqipërisë, të nenit 7, të ligjit nr. 8485, datë 12.5.1999, “Kodi i Procedurave Administrative të Republikës së Shqipërisë”, të ligjit nr. 9936, datë 26.6.2008, “Për menaxhimin e sistemit buxhetor në Republikën e Shqipërisë”, të ndryshuar, të ligjit nr. 10296, datë 8.7.2010, “Për menaxhimin financiar dhe kontrollin”, ligjit nr. 9840, datë 10.12.2007, “Për ratifikimin e Marrëveshjes Kuadër ndërmjet Këshillit të Ministrave të Republikës së Shqipërisë dhe Komisionit të Komuniteteve Evropiane për rregullat e bashkëpunimit për asistencën për Shqipërinë, në kuadër të zbatimit të instrumentit të parazgjerimit (IPA)”, vendimi i Këshillit të Ministrave nr. 23, datë 12.1.2011, “Për përcaktimin e funksioneve, të përgjegjësive dhe të marrëdhënieve ndërmjet autoriteteve të strukturave të menaxhimit të decentralizuar të asistencës së Bashkimit Evropian, në kuadër të Instrumentit të Parazgjerimit (IPA), komponenti I: Asistenca e Tranzicionit dhe Forcimi Institucional”, ministri i Financave</w:t>
      </w:r>
    </w:p>
    <w:p w:rsidR="00813BF5" w:rsidRPr="007E62D8" w:rsidRDefault="00813BF5" w:rsidP="00813BF5">
      <w:pPr>
        <w:pStyle w:val="Titull-Titull"/>
        <w:rPr>
          <w:spacing w:val="-4"/>
          <w:lang w:val="sq-AL"/>
        </w:rPr>
      </w:pPr>
      <w:r w:rsidRPr="007E62D8">
        <w:rPr>
          <w:spacing w:val="-4"/>
          <w:lang w:val="sq-AL"/>
        </w:rPr>
        <w:t>Udhëzon:</w:t>
      </w:r>
    </w:p>
    <w:p w:rsidR="00813BF5" w:rsidRPr="007E62D8" w:rsidRDefault="00813BF5" w:rsidP="00813BF5">
      <w:pPr>
        <w:pStyle w:val="Hapesira7"/>
        <w:rPr>
          <w:spacing w:val="-4"/>
          <w:lang w:val="sq-AL"/>
        </w:rPr>
      </w:pPr>
    </w:p>
    <w:p w:rsidR="00813BF5" w:rsidRPr="007E62D8" w:rsidRDefault="00813BF5" w:rsidP="00813BF5">
      <w:pPr>
        <w:pStyle w:val="Paragrafi"/>
        <w:rPr>
          <w:spacing w:val="-4"/>
          <w:lang w:val="sq-AL"/>
        </w:rPr>
      </w:pPr>
      <w:r w:rsidRPr="007E62D8">
        <w:rPr>
          <w:spacing w:val="-4"/>
          <w:lang w:val="sq-AL"/>
        </w:rPr>
        <w:t>Në udhëzimin nr. 10, datë 9.3.2015, “Për përcaktimin e procedurave për menaxhimin nëpërmjet Fondit Kombëtar të Bashkëfinancimit të Buxhetit të Shtetit për projektet IPA”</w:t>
      </w:r>
      <w:r>
        <w:rPr>
          <w:spacing w:val="-4"/>
          <w:lang w:val="sq-AL"/>
        </w:rPr>
        <w:t>,</w:t>
      </w:r>
      <w:r w:rsidRPr="007E62D8">
        <w:rPr>
          <w:spacing w:val="-4"/>
          <w:lang w:val="sq-AL"/>
        </w:rPr>
        <w:t xml:space="preserve"> bëhen shtesat dhe ndryshimet si në vijim:</w:t>
      </w:r>
    </w:p>
    <w:p w:rsidR="00813BF5" w:rsidRPr="007E62D8" w:rsidRDefault="00813BF5" w:rsidP="00813BF5">
      <w:pPr>
        <w:pStyle w:val="Paragrafi"/>
        <w:rPr>
          <w:spacing w:val="-4"/>
          <w:lang w:val="sq-AL"/>
        </w:rPr>
      </w:pPr>
      <w:r w:rsidRPr="007E62D8">
        <w:rPr>
          <w:spacing w:val="-4"/>
          <w:lang w:val="sq-AL"/>
        </w:rPr>
        <w:t>1. Në bazën ligjore të shtohen referencat si në vijim:</w:t>
      </w:r>
    </w:p>
    <w:p w:rsidR="00813BF5" w:rsidRPr="007E62D8" w:rsidRDefault="00813BF5" w:rsidP="00813BF5">
      <w:pPr>
        <w:pStyle w:val="Paragrafi"/>
        <w:rPr>
          <w:spacing w:val="-4"/>
          <w:lang w:val="sq-AL"/>
        </w:rPr>
      </w:pPr>
      <w:r w:rsidRPr="007E62D8">
        <w:rPr>
          <w:spacing w:val="-4"/>
          <w:lang w:val="sq-AL"/>
        </w:rPr>
        <w:t>Ligji nr. 37/2015, datë 9.4.2015, “Për ratifikimin e Marrëveshjes Kuadër ndërmjet Republikës së Shqipërisë, përfaqësuar nga Këshilli i Ministrave i Republikës së Shqipërisë dhe Komisionit Evropian për rregullat e zbatimit të mbështetjes financiare të BE-së për Shqipërinë, në kuadër të instrumentit për asistencën e paraanëtarësimit (IPA II)”, vendimi i Këshillit të Ministrave nr. 541, datë 18.6.2015, “Për përcaktimin e funksioneve, të përgjegjësive dhe të marrëdhënieve ndërmjet autoriteteve dhe struktu</w:t>
      </w:r>
      <w:r>
        <w:rPr>
          <w:spacing w:val="-4"/>
          <w:lang w:val="sq-AL"/>
        </w:rPr>
        <w:t>-</w:t>
      </w:r>
      <w:r w:rsidRPr="007E62D8">
        <w:rPr>
          <w:spacing w:val="-4"/>
          <w:lang w:val="sq-AL"/>
        </w:rPr>
        <w:t xml:space="preserve">rave të menaxhimit indirekt të asistencës së Bashkimit Evropian, në kuadër të instrumentit të asistencës së paraanëtarësimit IPA II (2014–2020)” dhe vendimi i Këshillit të Ministrave nr. 966, datë 2.12.2015, “Për përcaktimin e funksioneve, të përgjegjësive dhe të marrëdhënieve ndërmjet autoriteteve dhe strukturave të menaxhimit indirekt të asistencës së Bashkimit Evropian, në kuadër të instrumentit të asitencës së paraanëtarësimit IPARD II (2014–2020), Sektori i Bujqësisë dhe </w:t>
      </w:r>
      <w:r>
        <w:rPr>
          <w:spacing w:val="-4"/>
          <w:lang w:val="sq-AL"/>
        </w:rPr>
        <w:t xml:space="preserve">i </w:t>
      </w:r>
      <w:r w:rsidRPr="007E62D8">
        <w:rPr>
          <w:spacing w:val="-4"/>
          <w:lang w:val="sq-AL"/>
        </w:rPr>
        <w:t>Zhvillimit Rural.”</w:t>
      </w:r>
    </w:p>
    <w:p w:rsidR="00813BF5" w:rsidRPr="007E62D8" w:rsidRDefault="00813BF5" w:rsidP="00813BF5">
      <w:pPr>
        <w:pStyle w:val="Paragrafi"/>
        <w:rPr>
          <w:spacing w:val="-4"/>
          <w:lang w:val="sq-AL"/>
        </w:rPr>
      </w:pPr>
      <w:r w:rsidRPr="007E62D8">
        <w:rPr>
          <w:spacing w:val="-4"/>
          <w:lang w:val="sq-AL"/>
        </w:rPr>
        <w:t>1. Në pikën I, paragrafi i parë, ndryshohet në përmbajtje si në vijim:</w:t>
      </w:r>
    </w:p>
    <w:p w:rsidR="00813BF5" w:rsidRPr="0058247E" w:rsidRDefault="00813BF5" w:rsidP="00813BF5">
      <w:pPr>
        <w:pStyle w:val="Paragrafi"/>
        <w:rPr>
          <w:lang w:val="sq-AL"/>
        </w:rPr>
      </w:pPr>
      <w:r w:rsidRPr="007E62D8">
        <w:rPr>
          <w:spacing w:val="-4"/>
          <w:lang w:val="sq-AL"/>
        </w:rPr>
        <w:t>“Strukturat e menaxhimit të decentralizuar/</w:t>
      </w:r>
      <w:r>
        <w:rPr>
          <w:spacing w:val="-4"/>
          <w:lang w:val="sq-AL"/>
        </w:rPr>
        <w:t xml:space="preserve"> </w:t>
      </w:r>
      <w:r w:rsidRPr="007E62D8">
        <w:rPr>
          <w:spacing w:val="-4"/>
          <w:lang w:val="sq-AL"/>
        </w:rPr>
        <w:t>indirekt</w:t>
      </w:r>
      <w:r>
        <w:rPr>
          <w:spacing w:val="-4"/>
          <w:lang w:val="sq-AL"/>
        </w:rPr>
        <w:t>,</w:t>
      </w:r>
      <w:r w:rsidRPr="007E62D8">
        <w:rPr>
          <w:spacing w:val="-4"/>
          <w:lang w:val="sq-AL"/>
        </w:rPr>
        <w:t xml:space="preserve"> në kuptimin e këtij udhëzimi</w:t>
      </w:r>
      <w:r>
        <w:rPr>
          <w:spacing w:val="-4"/>
          <w:lang w:val="sq-AL"/>
        </w:rPr>
        <w:t>,</w:t>
      </w:r>
      <w:r w:rsidRPr="007E62D8">
        <w:rPr>
          <w:spacing w:val="-4"/>
          <w:lang w:val="sq-AL"/>
        </w:rPr>
        <w:t xml:space="preserve"> janë ato të përcaktuara në vendimin e Këshillit të Ministrave nr. 23, datë 12.1.2011, “Për përcaktimin e funksioneve, të përgjegjësive dhe të marrëdhënieve ndërmjet autoriteteve të strukturave të menaxhimit të decentralizuar të asistencës së Bashkimit Evropian, në kuadër të instrumentit të </w:t>
      </w:r>
      <w:r>
        <w:rPr>
          <w:spacing w:val="-4"/>
          <w:lang w:val="sq-AL"/>
        </w:rPr>
        <w:t xml:space="preserve">parazgjerimit (IPA), komponenti I: asistenca e tranzicionit dhe forcimi institucional”, vendimit të Këshillit të Ministrave nr. 541, datë 18.6.2015, “Për </w:t>
      </w:r>
      <w:r w:rsidRPr="0058247E">
        <w:rPr>
          <w:lang w:val="sq-AL"/>
        </w:rPr>
        <w:t>përcaktimin e funksioneve, të përgjegjësive dhe të marrëdhënieve ndërmjet autoriteteve dhe struk-turave të menaxhimit indirekt të asistencës së Bashkimit Evropian, në kuadër të instrumentit të asistencës së paraanëtarësimit IPA II (2014–2020)” dhe vendimit të Këshillit të Ministrave nr. 966, datë 2.12.2015, “Për përcaktimin e funksioneve, të përgjegjësive dhe të marrëdhënieve ndërmjet autoriteteve dhe strukturave të menaxhimit indirekt të asistencës së Bashkim</w:t>
      </w:r>
      <w:r>
        <w:rPr>
          <w:lang w:val="sq-AL"/>
        </w:rPr>
        <w:t>it Evropian</w:t>
      </w:r>
      <w:r w:rsidRPr="0058247E">
        <w:rPr>
          <w:lang w:val="sq-AL"/>
        </w:rPr>
        <w:t>, në kuadër të instrumentit të asistencës së paraanëtarësimit IPARD II (2014–2020), Sektori i Bujqësisë dhe Zhvillimit Rural”.</w:t>
      </w:r>
    </w:p>
    <w:p w:rsidR="00813BF5" w:rsidRPr="0058247E" w:rsidRDefault="00813BF5" w:rsidP="00813BF5">
      <w:pPr>
        <w:pStyle w:val="Paragrafi"/>
        <w:rPr>
          <w:lang w:val="sq-AL"/>
        </w:rPr>
      </w:pPr>
      <w:r w:rsidRPr="0058247E">
        <w:rPr>
          <w:lang w:val="sq-AL"/>
        </w:rPr>
        <w:t>2. Në pikën II, nënpika II.3, paragrafi i fundit, fjalia e fundit, ndryshon në përmbajtje si në vijim:</w:t>
      </w:r>
    </w:p>
    <w:p w:rsidR="00813BF5" w:rsidRPr="0058247E" w:rsidRDefault="00813BF5" w:rsidP="00813BF5">
      <w:pPr>
        <w:pStyle w:val="Paragrafi"/>
        <w:rPr>
          <w:lang w:val="sq-AL"/>
        </w:rPr>
      </w:pPr>
      <w:r w:rsidRPr="0058247E">
        <w:rPr>
          <w:lang w:val="sq-AL"/>
        </w:rPr>
        <w:t>“… Më pas, lista përfundimtare i dërgohet Drejtorisë përgjegjëse për Buxhetin dhe Investimet në Ministrinë e Financave.”.</w:t>
      </w:r>
    </w:p>
    <w:p w:rsidR="00813BF5" w:rsidRPr="0058247E" w:rsidRDefault="00813BF5" w:rsidP="00813BF5">
      <w:pPr>
        <w:pStyle w:val="Paragrafi"/>
        <w:rPr>
          <w:lang w:val="sq-AL"/>
        </w:rPr>
      </w:pPr>
      <w:r w:rsidRPr="0058247E">
        <w:rPr>
          <w:lang w:val="sq-AL"/>
        </w:rPr>
        <w:t>Dhe pas nënpikës pika II.3, shtohet nënpika II.4 me përmbajtje si në vijim:</w:t>
      </w:r>
    </w:p>
    <w:p w:rsidR="00813BF5" w:rsidRPr="0058247E" w:rsidRDefault="00813BF5" w:rsidP="00813BF5">
      <w:pPr>
        <w:pStyle w:val="Paragrafi"/>
        <w:rPr>
          <w:lang w:val="sq-AL"/>
        </w:rPr>
      </w:pPr>
      <w:r w:rsidRPr="0058247E">
        <w:rPr>
          <w:lang w:val="sq-AL"/>
        </w:rPr>
        <w:t xml:space="preserve">“II.4. Agjencia IPARD si agjenci e pavarur, nën ministrinë përgjegjëse për bujqësinë, si strukturë përgjegjëse për zbatimin e Programit IPARD II, përgatit dhe dorëzon pranë Fondit Kombëtar një parashikim/plan të fondeve IPARD II, bazuar në llogaritjet e tyre dhe fazën e implementimit të programit IPARD II për çdo masë, të kontratave të nënshkruara dhe në proces, si dhe të fazës së </w:t>
      </w:r>
      <w:r w:rsidRPr="0058247E">
        <w:rPr>
          <w:lang w:val="sq-AL"/>
        </w:rPr>
        <w:lastRenderedPageBreak/>
        <w:t>autorizimit dhe kontrollit të pagesave. Dorëzimi i planit bëhet duke respektuar afatet e dorëzimit të kërkesave buxhetore vjetore dhe afatmesëm.</w:t>
      </w:r>
    </w:p>
    <w:p w:rsidR="00813BF5" w:rsidRPr="0058247E" w:rsidRDefault="00813BF5" w:rsidP="00813BF5">
      <w:pPr>
        <w:pStyle w:val="Paragrafi"/>
        <w:rPr>
          <w:lang w:val="sq-AL"/>
        </w:rPr>
      </w:pPr>
      <w:r w:rsidRPr="0058247E">
        <w:rPr>
          <w:lang w:val="sq-AL"/>
        </w:rPr>
        <w:t>Fondi Kombëtar shqyrton dhe krahason të dhënat/shifrat nga kërkesa e ministrisë përgjegjëse për Bujqësinë me parashikimin/planin e hartuar nga Agjencia IPARD, duke përgatitur një parashikim/plan të integruar të fondeve të IPARD II, i cili i dërgohet strukturës përgjegjëse për buxhetin në Ministrinë e Financave.</w:t>
      </w:r>
    </w:p>
    <w:p w:rsidR="00813BF5" w:rsidRPr="0058247E" w:rsidRDefault="00813BF5" w:rsidP="00813BF5">
      <w:pPr>
        <w:pStyle w:val="Paragrafi"/>
        <w:rPr>
          <w:lang w:val="sq-AL"/>
        </w:rPr>
      </w:pPr>
      <w:r w:rsidRPr="0058247E">
        <w:rPr>
          <w:lang w:val="sq-AL"/>
        </w:rPr>
        <w:t>3. Në pikën III, nënpika III.1, pas paragrafit të dytë, shtohen dy paragraf me përmbajtje si në vijim:</w:t>
      </w:r>
    </w:p>
    <w:p w:rsidR="00813BF5" w:rsidRPr="0058247E" w:rsidRDefault="00813BF5" w:rsidP="00813BF5">
      <w:pPr>
        <w:pStyle w:val="Paragrafi"/>
        <w:rPr>
          <w:spacing w:val="-4"/>
          <w:lang w:val="sq-AL"/>
        </w:rPr>
      </w:pPr>
      <w:r w:rsidRPr="0058247E">
        <w:rPr>
          <w:lang w:val="sq-AL"/>
        </w:rPr>
        <w:t xml:space="preserve">“Në rast rishikimi të buxhetit vjetor apo kërkese të NJSHQP-së për rialokim të fondeve të bashkëfinancimit dhe TVSH-së për projektet e financuara nga BE-ja, struktura përgjegjëse në Drejtorinë e Përgjithshme të Buxhetit në </w:t>
      </w:r>
      <w:r w:rsidRPr="0058247E">
        <w:rPr>
          <w:spacing w:val="-4"/>
          <w:lang w:val="sq-AL"/>
        </w:rPr>
        <w:t>Ministrinë e Financave dërgon për mendim te Fondi Kombëtar çdo rishikim apo rialokim që prek fondet e parashikuara për bashkëfinancimin dhe/ose TVSH-në e projekteve të bashkë-financuara/financuara nga BE-ja.</w:t>
      </w:r>
    </w:p>
    <w:p w:rsidR="00813BF5" w:rsidRPr="0058247E" w:rsidRDefault="00813BF5" w:rsidP="00813BF5">
      <w:pPr>
        <w:pStyle w:val="Paragrafi"/>
        <w:rPr>
          <w:spacing w:val="-4"/>
          <w:lang w:val="sq-AL"/>
        </w:rPr>
      </w:pPr>
      <w:r w:rsidRPr="0058247E">
        <w:rPr>
          <w:spacing w:val="-4"/>
          <w:lang w:val="sq-AL"/>
        </w:rPr>
        <w:t>Fondi Kombëtar shqyrton dhe krahason të dhënat/shifrat e kërkesës për rishikim apo rialokim me parashikimin/planin e hartuar nga agjencitë implementuese (CFCU dhe/ose Agjencia IPARD) dhe brenda tre ditësh pune i kthen përgjigje Drejtorisë së Përgjithshme të Buxhetit mbi pasojat e mundshme në implementimin e projektit</w:t>
      </w:r>
      <w:r>
        <w:rPr>
          <w:spacing w:val="-4"/>
          <w:lang w:val="sq-AL"/>
        </w:rPr>
        <w:t xml:space="preserve"> </w:t>
      </w:r>
      <w:r w:rsidRPr="0058247E">
        <w:rPr>
          <w:spacing w:val="-4"/>
          <w:lang w:val="sq-AL"/>
        </w:rPr>
        <w:t>/programit të IPA/IPARD II, të rishikimit</w:t>
      </w:r>
      <w:r>
        <w:rPr>
          <w:spacing w:val="-4"/>
          <w:lang w:val="sq-AL"/>
        </w:rPr>
        <w:t xml:space="preserve"> </w:t>
      </w:r>
      <w:r w:rsidRPr="0058247E">
        <w:rPr>
          <w:spacing w:val="-4"/>
          <w:lang w:val="sq-AL"/>
        </w:rPr>
        <w:t>/rialokimit të buxhetit sipas kërkesës së NJSHQP-së.</w:t>
      </w:r>
    </w:p>
    <w:p w:rsidR="00813BF5" w:rsidRPr="0058247E" w:rsidRDefault="00813BF5" w:rsidP="00813BF5">
      <w:pPr>
        <w:pStyle w:val="Paragrafi"/>
        <w:rPr>
          <w:lang w:val="sq-AL"/>
        </w:rPr>
      </w:pPr>
      <w:r w:rsidRPr="0058247E">
        <w:rPr>
          <w:lang w:val="sq-AL"/>
        </w:rPr>
        <w:t>Drejtoria e Përgjithshme e Buxhetit nuk procedon me aprovimin e kërkesës së NJSHQP-së, në rast se nga Fondi Kombëtar i janë komunikuar pasoja të mundshme negative në implementimin e projektit/programit të IPA/IPARD II.</w:t>
      </w:r>
    </w:p>
    <w:p w:rsidR="00813BF5" w:rsidRPr="0058247E" w:rsidRDefault="00813BF5" w:rsidP="00813BF5">
      <w:pPr>
        <w:pStyle w:val="Paragrafi"/>
        <w:rPr>
          <w:lang w:val="sq-AL"/>
        </w:rPr>
      </w:pPr>
      <w:r w:rsidRPr="0058247E">
        <w:rPr>
          <w:lang w:val="sq-AL"/>
        </w:rPr>
        <w:t>4. Në pikën III, nënpika III.2., pas paragrafit të dytë, shtohet një paragraf me përmbajtje si në vijim:</w:t>
      </w:r>
    </w:p>
    <w:p w:rsidR="00813BF5" w:rsidRPr="0058247E" w:rsidRDefault="00813BF5" w:rsidP="00813BF5">
      <w:pPr>
        <w:pStyle w:val="Paragrafi"/>
        <w:rPr>
          <w:lang w:val="sq-AL"/>
        </w:rPr>
      </w:pPr>
      <w:r w:rsidRPr="0058247E">
        <w:rPr>
          <w:lang w:val="sq-AL"/>
        </w:rPr>
        <w:t>“Fondi vjetor i bashkëfinancimit të palës shqiptare nga buxheti i shtetit për programit IPARD II, i planifikuar nga ministria përgjegjëse për bujqësinë nën kodin përkatës buxhetor të Agjencisë IPARD mbahet në llogarinë e unifikuar të thesarit “Depozitë e qeverisë” në Bankën e Shqipërisë (TSA) dhe kalohet në llogarinë e Fondit Kombëtar në bankën e nivelit të dytë, sipas procedurave të përcaktuar në manualet respektive të procedurave të Fondit Kombëtar dhe Agjencisë IPARD.”.</w:t>
      </w:r>
    </w:p>
    <w:p w:rsidR="00813BF5" w:rsidRPr="0058247E" w:rsidRDefault="00813BF5" w:rsidP="00813BF5">
      <w:pPr>
        <w:pStyle w:val="Paragrafi"/>
        <w:rPr>
          <w:lang w:val="sq-AL"/>
        </w:rPr>
      </w:pPr>
      <w:r w:rsidRPr="0058247E">
        <w:rPr>
          <w:lang w:val="sq-AL"/>
        </w:rPr>
        <w:t>5. Paragrafi III, nënpika II.4. ndryshohet në përmbajtje si në vijim:</w:t>
      </w:r>
    </w:p>
    <w:p w:rsidR="00813BF5" w:rsidRPr="0058247E" w:rsidRDefault="00813BF5" w:rsidP="00813BF5">
      <w:pPr>
        <w:pStyle w:val="Paragrafi"/>
        <w:rPr>
          <w:lang w:val="sq-AL"/>
        </w:rPr>
      </w:pPr>
      <w:r w:rsidRPr="0058247E">
        <w:rPr>
          <w:lang w:val="sq-AL"/>
        </w:rPr>
        <w:t>“Shpenzimet që rrjedhin nga diferencat e kurseve të këmbimit dhe komisionet bankare të krijuara gjatë kryerjes së transaksioneve bankare në funksion të programeve/projekteve IPA (IPA I/IPA, II/IPARD II), mbulohet nga buxheti i Ministrisë së Financave (shpenzimet operative). Fondi Kombëtar, çdo vit, duke respektuar afatet e dorëzimit të kërkesave buxhetore vjetore dhe afatmesme, përgatit dhe dorëzon pranë Drejtorisë së Buxhetit dhe/ose asaj të Financës, në Ministrinë e Financave, parashikimin për fondin e nevojshëm për mbulimin e shpenzimeve që parashikohet të krijohen nga diferencat e kurseve të këmbimit dhe komisionet bankare të transaksioneve bankare në funksion të programeve/projekteve IPA.</w:t>
      </w:r>
    </w:p>
    <w:p w:rsidR="00813BF5" w:rsidRPr="007E62D8" w:rsidRDefault="00813BF5" w:rsidP="00813BF5">
      <w:pPr>
        <w:pStyle w:val="Paragrafi"/>
        <w:rPr>
          <w:spacing w:val="-4"/>
          <w:lang w:val="sq-AL"/>
        </w:rPr>
      </w:pPr>
      <w:r w:rsidRPr="0058247E">
        <w:rPr>
          <w:lang w:val="sq-AL"/>
        </w:rPr>
        <w:t>Fondi i parashikuar si më sipër transferohet nga Ministria e Financave në llogaritë bankare të Fondit Kombëtar sipas kërkesave të Fondit Kombëtar/</w:t>
      </w:r>
      <w:r>
        <w:rPr>
          <w:spacing w:val="-4"/>
          <w:lang w:val="sq-AL"/>
        </w:rPr>
        <w:t xml:space="preserve"> </w:t>
      </w:r>
      <w:r w:rsidRPr="007E62D8">
        <w:rPr>
          <w:spacing w:val="-4"/>
          <w:lang w:val="sq-AL"/>
        </w:rPr>
        <w:t>ZKA-së.”.</w:t>
      </w:r>
    </w:p>
    <w:p w:rsidR="00813BF5" w:rsidRPr="007E62D8" w:rsidRDefault="00813BF5" w:rsidP="00813BF5">
      <w:pPr>
        <w:pStyle w:val="Paragrafi"/>
        <w:rPr>
          <w:spacing w:val="-4"/>
          <w:lang w:val="sq-AL"/>
        </w:rPr>
      </w:pPr>
      <w:r w:rsidRPr="007E62D8">
        <w:rPr>
          <w:spacing w:val="-4"/>
          <w:lang w:val="sq-AL"/>
        </w:rPr>
        <w:t>Ky udhëzim hyn në fuqi menjëherë dhe botohet në Fletoren Zyrtare.</w:t>
      </w:r>
    </w:p>
    <w:p w:rsidR="00813BF5" w:rsidRPr="007E62D8" w:rsidRDefault="00813BF5" w:rsidP="00813BF5">
      <w:pPr>
        <w:pStyle w:val="Hapesira7"/>
        <w:rPr>
          <w:lang w:val="sq-AL"/>
        </w:rPr>
      </w:pPr>
    </w:p>
    <w:p w:rsidR="00813BF5" w:rsidRPr="007E62D8" w:rsidRDefault="00813BF5" w:rsidP="00813BF5">
      <w:pPr>
        <w:pStyle w:val="Autoriteti"/>
        <w:rPr>
          <w:spacing w:val="-4"/>
          <w:lang w:val="sq-AL"/>
        </w:rPr>
      </w:pPr>
      <w:r w:rsidRPr="007E62D8">
        <w:rPr>
          <w:spacing w:val="-4"/>
          <w:lang w:val="sq-AL"/>
        </w:rPr>
        <w:t>Ministri i Financave</w:t>
      </w:r>
    </w:p>
    <w:p w:rsidR="00813BF5" w:rsidRPr="007E62D8" w:rsidRDefault="00813BF5" w:rsidP="00813BF5">
      <w:pPr>
        <w:pStyle w:val="AutoritetiEmer"/>
        <w:rPr>
          <w:spacing w:val="-4"/>
          <w:lang w:val="sq-AL"/>
        </w:rPr>
      </w:pPr>
      <w:r w:rsidRPr="007E62D8">
        <w:rPr>
          <w:spacing w:val="-4"/>
          <w:lang w:val="sq-AL"/>
        </w:rPr>
        <w:t>Arben Ahmetaj</w:t>
      </w:r>
    </w:p>
    <w:p w:rsidR="00813BF5" w:rsidRDefault="00813BF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Default="00E37695" w:rsidP="00813BF5">
      <w:pPr>
        <w:pStyle w:val="Hapesira7"/>
      </w:pPr>
    </w:p>
    <w:p w:rsidR="00E37695" w:rsidRPr="007E62D8" w:rsidRDefault="00E37695" w:rsidP="00813BF5">
      <w:pPr>
        <w:pStyle w:val="Hapesira7"/>
      </w:pPr>
      <w:bookmarkStart w:id="0" w:name="_GoBack"/>
      <w:bookmarkEnd w:id="0"/>
    </w:p>
    <w:p w:rsidR="00813BF5" w:rsidRPr="007E62D8" w:rsidRDefault="00813BF5" w:rsidP="00813BF5">
      <w:pPr>
        <w:pStyle w:val="NoSpacing"/>
        <w:widowControl w:val="0"/>
        <w:jc w:val="center"/>
        <w:rPr>
          <w:rFonts w:ascii="Garamond" w:hAnsi="Garamond"/>
          <w:spacing w:val="-4"/>
        </w:rPr>
      </w:pPr>
      <w:r w:rsidRPr="007E62D8">
        <w:rPr>
          <w:rFonts w:ascii="Garamond" w:hAnsi="Garamond"/>
          <w:spacing w:val="-4"/>
        </w:rPr>
        <w:lastRenderedPageBreak/>
        <w:t>GJYKATA EVROPIANE E TË DREJTAVE TË NJERIUT</w:t>
      </w:r>
    </w:p>
    <w:p w:rsidR="00813BF5" w:rsidRPr="007E62D8" w:rsidRDefault="00813BF5" w:rsidP="00813BF5">
      <w:pPr>
        <w:pStyle w:val="NoSpacing"/>
        <w:widowControl w:val="0"/>
        <w:jc w:val="center"/>
        <w:rPr>
          <w:rFonts w:ascii="Garamond" w:hAnsi="Garamond"/>
          <w:spacing w:val="-4"/>
        </w:rPr>
      </w:pPr>
      <w:r w:rsidRPr="007E62D8">
        <w:rPr>
          <w:rFonts w:ascii="Garamond" w:hAnsi="Garamond"/>
          <w:spacing w:val="-4"/>
        </w:rPr>
        <w:t>SEKSIONI I PARË</w:t>
      </w:r>
    </w:p>
    <w:p w:rsidR="00813BF5" w:rsidRPr="007E62D8" w:rsidRDefault="00813BF5" w:rsidP="00813BF5">
      <w:pPr>
        <w:pStyle w:val="Hapesira7"/>
      </w:pPr>
    </w:p>
    <w:p w:rsidR="00813BF5" w:rsidRPr="007E62D8" w:rsidRDefault="00813BF5" w:rsidP="00813BF5">
      <w:pPr>
        <w:pStyle w:val="NoSpacing"/>
        <w:widowControl w:val="0"/>
        <w:jc w:val="center"/>
        <w:rPr>
          <w:rFonts w:ascii="Garamond" w:hAnsi="Garamond"/>
          <w:b/>
          <w:spacing w:val="-4"/>
        </w:rPr>
      </w:pPr>
      <w:r w:rsidRPr="007E62D8">
        <w:rPr>
          <w:rFonts w:ascii="Garamond" w:hAnsi="Garamond"/>
          <w:b/>
          <w:spacing w:val="-4"/>
        </w:rPr>
        <w:t>ÇËSHTJA RISTA DHE TË TJERËT KUNDËR SHQIPËRISË</w:t>
      </w:r>
    </w:p>
    <w:p w:rsidR="00813BF5" w:rsidRPr="008A7937" w:rsidRDefault="00813BF5" w:rsidP="00813BF5">
      <w:pPr>
        <w:pStyle w:val="NoSpacing"/>
        <w:widowControl w:val="0"/>
        <w:jc w:val="center"/>
        <w:rPr>
          <w:rFonts w:ascii="Garamond" w:hAnsi="Garamond"/>
          <w:i/>
        </w:rPr>
      </w:pPr>
      <w:r w:rsidRPr="007E62D8">
        <w:rPr>
          <w:rFonts w:ascii="Garamond" w:hAnsi="Garamond"/>
          <w:spacing w:val="-4"/>
        </w:rPr>
        <w:t>(</w:t>
      </w:r>
      <w:r w:rsidRPr="007E62D8">
        <w:rPr>
          <w:rFonts w:ascii="Garamond" w:hAnsi="Garamond"/>
          <w:i/>
          <w:spacing w:val="-4"/>
        </w:rPr>
        <w:t>ankimet nr. 5207/10, 24468/10, 36228/10,</w:t>
      </w:r>
      <w:r w:rsidRPr="008A7937">
        <w:rPr>
          <w:rFonts w:ascii="Garamond" w:hAnsi="Garamond"/>
          <w:i/>
        </w:rPr>
        <w:t xml:space="preserve"> 39492/10, 39495/10, </w:t>
      </w:r>
    </w:p>
    <w:p w:rsidR="00813BF5" w:rsidRPr="008A7937" w:rsidRDefault="00813BF5" w:rsidP="00813BF5">
      <w:pPr>
        <w:pStyle w:val="NoSpacing"/>
        <w:widowControl w:val="0"/>
        <w:jc w:val="center"/>
        <w:rPr>
          <w:rFonts w:ascii="Garamond" w:hAnsi="Garamond"/>
        </w:rPr>
      </w:pPr>
      <w:r w:rsidRPr="008A7937">
        <w:rPr>
          <w:rFonts w:ascii="Garamond" w:hAnsi="Garamond"/>
          <w:i/>
        </w:rPr>
        <w:t>40751/10 dhe 48522/10</w:t>
      </w:r>
      <w:r w:rsidRPr="008A7937">
        <w:rPr>
          <w:rFonts w:ascii="Garamond" w:hAnsi="Garamond"/>
        </w:rPr>
        <w:t>)</w:t>
      </w:r>
    </w:p>
    <w:p w:rsidR="00813BF5" w:rsidRDefault="00813BF5" w:rsidP="00813BF5">
      <w:pPr>
        <w:pStyle w:val="Hapesira7"/>
      </w:pPr>
    </w:p>
    <w:p w:rsidR="00813BF5" w:rsidRPr="008A7937" w:rsidRDefault="00813BF5" w:rsidP="00813BF5">
      <w:pPr>
        <w:pStyle w:val="NoSpacing"/>
        <w:widowControl w:val="0"/>
        <w:jc w:val="center"/>
        <w:rPr>
          <w:rFonts w:ascii="Garamond" w:hAnsi="Garamond"/>
        </w:rPr>
      </w:pPr>
      <w:r w:rsidRPr="008A7937">
        <w:rPr>
          <w:rFonts w:ascii="Garamond" w:hAnsi="Garamond"/>
        </w:rPr>
        <w:t>VENDIM</w:t>
      </w:r>
    </w:p>
    <w:p w:rsidR="00813BF5" w:rsidRPr="008A7937" w:rsidRDefault="00813BF5" w:rsidP="00813BF5">
      <w:pPr>
        <w:pStyle w:val="NoSpacing"/>
        <w:widowControl w:val="0"/>
        <w:jc w:val="center"/>
        <w:rPr>
          <w:rFonts w:ascii="Garamond" w:hAnsi="Garamond"/>
        </w:rPr>
      </w:pPr>
      <w:r w:rsidRPr="008A7937">
        <w:rPr>
          <w:rFonts w:ascii="Garamond" w:hAnsi="Garamond"/>
        </w:rPr>
        <w:t>STRASBURG</w:t>
      </w:r>
    </w:p>
    <w:p w:rsidR="00813BF5" w:rsidRPr="008A7937" w:rsidRDefault="00813BF5" w:rsidP="00813BF5">
      <w:pPr>
        <w:pStyle w:val="NoSpacing"/>
        <w:widowControl w:val="0"/>
        <w:jc w:val="center"/>
        <w:rPr>
          <w:rFonts w:ascii="Garamond" w:hAnsi="Garamond"/>
          <w:b/>
          <w:u w:val="single"/>
        </w:rPr>
      </w:pPr>
      <w:r w:rsidRPr="008A7937">
        <w:rPr>
          <w:rFonts w:ascii="Garamond" w:hAnsi="Garamond"/>
        </w:rPr>
        <w:t xml:space="preserve">17 </w:t>
      </w:r>
      <w:r>
        <w:rPr>
          <w:rFonts w:ascii="Garamond" w:hAnsi="Garamond"/>
        </w:rPr>
        <w:t>m</w:t>
      </w:r>
      <w:r w:rsidRPr="008A7937">
        <w:rPr>
          <w:rFonts w:ascii="Garamond" w:hAnsi="Garamond"/>
        </w:rPr>
        <w:t>ars 2016</w:t>
      </w:r>
    </w:p>
    <w:p w:rsidR="00813BF5" w:rsidRPr="008A7937" w:rsidRDefault="00813BF5" w:rsidP="00813BF5">
      <w:pPr>
        <w:pStyle w:val="NoSpacing"/>
        <w:widowControl w:val="0"/>
        <w:jc w:val="center"/>
        <w:rPr>
          <w:rFonts w:ascii="Garamond" w:hAnsi="Garamond"/>
          <w:i/>
        </w:rPr>
      </w:pPr>
      <w:r w:rsidRPr="008A7937">
        <w:rPr>
          <w:rFonts w:ascii="Garamond" w:hAnsi="Garamond"/>
          <w:i/>
        </w:rPr>
        <w:t>Ky vendim është i formës së prerë. Ai mund t’i nënshtrohet rishikimit redaktues</w:t>
      </w:r>
    </w:p>
    <w:p w:rsidR="00813BF5" w:rsidRPr="0058247E" w:rsidRDefault="00813BF5" w:rsidP="00813BF5">
      <w:pPr>
        <w:pStyle w:val="NoSpacing"/>
        <w:widowControl w:val="0"/>
        <w:jc w:val="center"/>
        <w:rPr>
          <w:rFonts w:ascii="Garamond" w:hAnsi="Garamond"/>
          <w:sz w:val="14"/>
        </w:rPr>
      </w:pPr>
    </w:p>
    <w:p w:rsidR="00813BF5" w:rsidRPr="008A7937" w:rsidRDefault="00813BF5" w:rsidP="00813BF5">
      <w:pPr>
        <w:pStyle w:val="NoSpacing"/>
        <w:widowControl w:val="0"/>
        <w:ind w:firstLine="284"/>
        <w:rPr>
          <w:rFonts w:ascii="Garamond" w:hAnsi="Garamond"/>
        </w:rPr>
      </w:pPr>
      <w:r w:rsidRPr="008A7937">
        <w:rPr>
          <w:rFonts w:ascii="Garamond" w:hAnsi="Garamond"/>
          <w:b/>
        </w:rPr>
        <w:t xml:space="preserve">Në çështjen Rista dhe të tjerët kundër Shqipërisë, </w:t>
      </w:r>
    </w:p>
    <w:p w:rsidR="00813BF5" w:rsidRPr="008A7937" w:rsidRDefault="00813BF5" w:rsidP="00813BF5">
      <w:pPr>
        <w:pStyle w:val="NoSpacing"/>
        <w:widowControl w:val="0"/>
        <w:ind w:firstLine="284"/>
        <w:rPr>
          <w:rFonts w:ascii="Garamond" w:hAnsi="Garamond"/>
        </w:rPr>
      </w:pPr>
      <w:r w:rsidRPr="008A7937">
        <w:rPr>
          <w:rFonts w:ascii="Garamond" w:hAnsi="Garamond"/>
        </w:rPr>
        <w:t xml:space="preserve">Gjykata Evropiane e të Drejtave të Njeriut (Seksioni i Parë), e mbledhur si një Komitet i përbërë nga: </w:t>
      </w:r>
    </w:p>
    <w:p w:rsidR="00813BF5" w:rsidRPr="008A7937" w:rsidRDefault="00813BF5" w:rsidP="00813BF5">
      <w:pPr>
        <w:pStyle w:val="NoSpacing"/>
        <w:widowControl w:val="0"/>
        <w:ind w:firstLine="284"/>
        <w:rPr>
          <w:rFonts w:ascii="Garamond" w:hAnsi="Garamond"/>
          <w:i/>
        </w:rPr>
      </w:pPr>
      <w:r w:rsidRPr="008A7937">
        <w:rPr>
          <w:rFonts w:ascii="Garamond" w:hAnsi="Garamond"/>
        </w:rPr>
        <w:t xml:space="preserve">Kristina Pardalos, </w:t>
      </w:r>
      <w:r w:rsidRPr="008A7937">
        <w:rPr>
          <w:rFonts w:ascii="Garamond" w:hAnsi="Garamond"/>
          <w:i/>
        </w:rPr>
        <w:t>presidente</w:t>
      </w:r>
    </w:p>
    <w:p w:rsidR="00813BF5" w:rsidRPr="008A7937" w:rsidRDefault="00813BF5" w:rsidP="00813BF5">
      <w:pPr>
        <w:pStyle w:val="NoSpacing"/>
        <w:widowControl w:val="0"/>
        <w:ind w:firstLine="284"/>
        <w:rPr>
          <w:rFonts w:ascii="Garamond" w:hAnsi="Garamond"/>
        </w:rPr>
      </w:pPr>
      <w:r w:rsidRPr="008A7937">
        <w:rPr>
          <w:rFonts w:ascii="Garamond" w:hAnsi="Garamond"/>
        </w:rPr>
        <w:t>Robert Spano,</w:t>
      </w:r>
    </w:p>
    <w:p w:rsidR="00813BF5" w:rsidRPr="008A7937" w:rsidRDefault="00813BF5" w:rsidP="00813BF5">
      <w:pPr>
        <w:pStyle w:val="NoSpacing"/>
        <w:widowControl w:val="0"/>
        <w:ind w:firstLine="284"/>
        <w:rPr>
          <w:rFonts w:ascii="Garamond" w:hAnsi="Garamond"/>
          <w:i/>
        </w:rPr>
      </w:pPr>
      <w:r w:rsidRPr="008A7937">
        <w:rPr>
          <w:rFonts w:ascii="Garamond" w:hAnsi="Garamond"/>
        </w:rPr>
        <w:t xml:space="preserve">Pauliine Koskelo, </w:t>
      </w:r>
      <w:r>
        <w:rPr>
          <w:rFonts w:ascii="Garamond" w:hAnsi="Garamond"/>
          <w:i/>
        </w:rPr>
        <w:t>gjyqtarë</w:t>
      </w:r>
      <w:r w:rsidRPr="008A7937">
        <w:rPr>
          <w:rFonts w:ascii="Garamond" w:hAnsi="Garamond"/>
          <w:i/>
        </w:rPr>
        <w:t xml:space="preserve"> </w:t>
      </w:r>
    </w:p>
    <w:p w:rsidR="00813BF5" w:rsidRPr="008A7937" w:rsidRDefault="00813BF5" w:rsidP="00813BF5">
      <w:pPr>
        <w:pStyle w:val="NoSpacing"/>
        <w:widowControl w:val="0"/>
        <w:ind w:firstLine="284"/>
        <w:rPr>
          <w:rFonts w:ascii="Garamond" w:hAnsi="Garamond"/>
          <w:i/>
        </w:rPr>
      </w:pPr>
      <w:r w:rsidRPr="008A7937">
        <w:rPr>
          <w:rFonts w:ascii="Garamond" w:hAnsi="Garamond"/>
        </w:rPr>
        <w:t xml:space="preserve">dhe André Wampach, </w:t>
      </w:r>
      <w:r w:rsidRPr="008A7937">
        <w:rPr>
          <w:rFonts w:ascii="Garamond" w:hAnsi="Garamond"/>
          <w:i/>
        </w:rPr>
        <w:t>zëvendës</w:t>
      </w:r>
      <w:r>
        <w:rPr>
          <w:rFonts w:ascii="Garamond" w:hAnsi="Garamond"/>
          <w:i/>
        </w:rPr>
        <w:t>r</w:t>
      </w:r>
      <w:r w:rsidRPr="008A7937">
        <w:rPr>
          <w:rFonts w:ascii="Garamond" w:hAnsi="Garamond"/>
          <w:i/>
        </w:rPr>
        <w:t xml:space="preserve">egjistrar </w:t>
      </w:r>
      <w:r>
        <w:rPr>
          <w:rFonts w:ascii="Garamond" w:hAnsi="Garamond"/>
          <w:i/>
        </w:rPr>
        <w:t>i Seksionit</w:t>
      </w:r>
      <w:r w:rsidRPr="008A7937">
        <w:rPr>
          <w:rFonts w:ascii="Garamond" w:hAnsi="Garamond"/>
          <w:i/>
        </w:rPr>
        <w:t xml:space="preserve"> </w:t>
      </w:r>
    </w:p>
    <w:p w:rsidR="00813BF5" w:rsidRPr="008A7937" w:rsidRDefault="00813BF5" w:rsidP="00813BF5">
      <w:pPr>
        <w:pStyle w:val="NoSpacing"/>
        <w:widowControl w:val="0"/>
        <w:ind w:firstLine="284"/>
        <w:jc w:val="both"/>
        <w:rPr>
          <w:rFonts w:ascii="Garamond" w:hAnsi="Garamond"/>
        </w:rPr>
      </w:pPr>
      <w:r w:rsidRPr="008A7937">
        <w:rPr>
          <w:rFonts w:ascii="Garamond" w:hAnsi="Garamond"/>
        </w:rPr>
        <w:t xml:space="preserve">Pasi ka diskutuar me dyer të mbyllura më 23 </w:t>
      </w:r>
      <w:r>
        <w:rPr>
          <w:rFonts w:ascii="Garamond" w:hAnsi="Garamond"/>
        </w:rPr>
        <w:t>s</w:t>
      </w:r>
      <w:r w:rsidRPr="008A7937">
        <w:rPr>
          <w:rFonts w:ascii="Garamond" w:hAnsi="Garamond"/>
        </w:rPr>
        <w:t>hkurt 2016,</w:t>
      </w:r>
    </w:p>
    <w:p w:rsidR="00813BF5" w:rsidRPr="008A7937" w:rsidRDefault="00813BF5" w:rsidP="00813BF5">
      <w:pPr>
        <w:pStyle w:val="NoSpacing"/>
        <w:widowControl w:val="0"/>
        <w:ind w:firstLine="284"/>
        <w:jc w:val="both"/>
        <w:rPr>
          <w:rFonts w:ascii="Garamond" w:hAnsi="Garamond"/>
        </w:rPr>
      </w:pPr>
      <w:r w:rsidRPr="008A7937">
        <w:rPr>
          <w:rFonts w:ascii="Garamond" w:hAnsi="Garamond"/>
        </w:rPr>
        <w:t xml:space="preserve">Pasi ka vërejtur se çështja ligjore në fjalë në ankesat e mëposhtme, tashmë është objekt i vendimit të mirëpërcaktuar të Gjykatës (shiko </w:t>
      </w:r>
      <w:r w:rsidRPr="008A7937">
        <w:rPr>
          <w:rFonts w:ascii="Garamond" w:hAnsi="Garamond"/>
          <w:i/>
        </w:rPr>
        <w:t xml:space="preserve">Manushaqe Puto dhe të tjerët kundër Shqipërisë, </w:t>
      </w:r>
      <w:r w:rsidRPr="008A7937">
        <w:rPr>
          <w:rFonts w:ascii="Garamond" w:hAnsi="Garamond"/>
        </w:rPr>
        <w:t xml:space="preserve">nr. 604/07, 43628/07, 46684/07 dhe 34770/09, § 31 </w:t>
      </w:r>
      <w:r>
        <w:rPr>
          <w:rFonts w:ascii="Garamond" w:hAnsi="Garamond"/>
        </w:rPr>
        <w:t>k</w:t>
      </w:r>
      <w:r w:rsidRPr="008A7937">
        <w:rPr>
          <w:rFonts w:ascii="Garamond" w:hAnsi="Garamond"/>
        </w:rPr>
        <w:t xml:space="preserve">orrik 2012), </w:t>
      </w:r>
    </w:p>
    <w:p w:rsidR="00813BF5" w:rsidRPr="008A7937" w:rsidRDefault="00813BF5" w:rsidP="00813BF5">
      <w:pPr>
        <w:pStyle w:val="NoSpacing"/>
        <w:widowControl w:val="0"/>
        <w:ind w:firstLine="284"/>
        <w:jc w:val="both"/>
        <w:rPr>
          <w:rFonts w:ascii="Garamond" w:hAnsi="Garamond"/>
        </w:rPr>
      </w:pPr>
      <w:r w:rsidRPr="008A7937">
        <w:rPr>
          <w:rFonts w:ascii="Garamond" w:hAnsi="Garamond"/>
        </w:rPr>
        <w:t>Lëshon vendimin e mëposhtëm, i cili u miratua në po atë ditë:</w:t>
      </w:r>
    </w:p>
    <w:p w:rsidR="00813BF5" w:rsidRPr="008A7937" w:rsidRDefault="00813BF5" w:rsidP="00813BF5">
      <w:pPr>
        <w:pStyle w:val="NoSpacing"/>
        <w:widowControl w:val="0"/>
        <w:ind w:firstLine="284"/>
        <w:jc w:val="both"/>
        <w:rPr>
          <w:rFonts w:ascii="Garamond" w:hAnsi="Garamond"/>
        </w:rPr>
      </w:pPr>
      <w:r w:rsidRPr="008A7937">
        <w:rPr>
          <w:rFonts w:ascii="Garamond" w:hAnsi="Garamond"/>
        </w:rPr>
        <w:t>PROCEDURA</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Çështja filloi me shtatë ankesa (nr. 5207/10, 24468/10, 36228/10, 39492/10, 39495/10, 40751/10 dhe 48522/10), kundër Republikës së Shqipërisë, dorëzuar në Gjykatë, sipas </w:t>
      </w:r>
      <w:r>
        <w:rPr>
          <w:rFonts w:ascii="Garamond" w:hAnsi="Garamond"/>
        </w:rPr>
        <w:t>n</w:t>
      </w:r>
      <w:r w:rsidRPr="008A7937">
        <w:rPr>
          <w:rFonts w:ascii="Garamond" w:hAnsi="Garamond"/>
        </w:rPr>
        <w:t xml:space="preserve">enit 34 të Konventës për Mbrojtjen e të Drejtave të Njeriut (Konventa), nga 57 njerëz me kombësi të ndryshme. Detajet e ankuesve dhe të përfaqësuesve përcaktohen në </w:t>
      </w:r>
      <w:r>
        <w:rPr>
          <w:rFonts w:ascii="Garamond" w:hAnsi="Garamond"/>
        </w:rPr>
        <w:t>s</w:t>
      </w:r>
      <w:r w:rsidRPr="008A7937">
        <w:rPr>
          <w:rFonts w:ascii="Garamond" w:hAnsi="Garamond"/>
        </w:rPr>
        <w:t xml:space="preserve">htojcën </w:t>
      </w:r>
      <w:r>
        <w:rPr>
          <w:rFonts w:ascii="Garamond" w:hAnsi="Garamond"/>
        </w:rPr>
        <w:t>n</w:t>
      </w:r>
      <w:r w:rsidRPr="008A7937">
        <w:rPr>
          <w:rFonts w:ascii="Garamond" w:hAnsi="Garamond"/>
        </w:rPr>
        <w:t xml:space="preserve">r. 1, bashkëlidhur me vendimin.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Më 29 </w:t>
      </w:r>
      <w:r>
        <w:rPr>
          <w:rFonts w:ascii="Garamond" w:hAnsi="Garamond"/>
        </w:rPr>
        <w:t>s</w:t>
      </w:r>
      <w:r w:rsidRPr="008A7937">
        <w:rPr>
          <w:rFonts w:ascii="Garamond" w:hAnsi="Garamond"/>
        </w:rPr>
        <w:t xml:space="preserve">htator 2014, trashëgimtarët e z. Kurtesh Gjikolli, i cili ishte njëri nga ankuesit fillestarë të ankimit nr. 24468/10, </w:t>
      </w:r>
      <w:r>
        <w:rPr>
          <w:rFonts w:ascii="Garamond" w:hAnsi="Garamond"/>
        </w:rPr>
        <w:t>z</w:t>
      </w:r>
      <w:r w:rsidRPr="008A7937">
        <w:rPr>
          <w:rFonts w:ascii="Garamond" w:hAnsi="Garamond"/>
        </w:rPr>
        <w:t xml:space="preserve">nj. Pakize Zajmi, me mbiemrin e vajzërisë Gjikolli, znj. Rajmonda Karapici, me mbiemrin e vajzërisë Gjikolli dhe Adnan Gjikolli shprehën dëshirën për të ndjekur procedurat në emër të z. Kurteshi. Më 29 </w:t>
      </w:r>
      <w:r>
        <w:rPr>
          <w:rFonts w:ascii="Garamond" w:hAnsi="Garamond"/>
        </w:rPr>
        <w:t>s</w:t>
      </w:r>
      <w:r w:rsidRPr="008A7937">
        <w:rPr>
          <w:rFonts w:ascii="Garamond" w:hAnsi="Garamond"/>
        </w:rPr>
        <w:t xml:space="preserve">htator 2014, trashëgimtarët e z. Nuri Xhikaj, i cili ishte njëri nga ankuesit fillestarë në ankimin nr. 24468/10, </w:t>
      </w:r>
      <w:r>
        <w:rPr>
          <w:rFonts w:ascii="Garamond" w:hAnsi="Garamond"/>
        </w:rPr>
        <w:t>z</w:t>
      </w:r>
      <w:r w:rsidRPr="008A7937">
        <w:rPr>
          <w:rFonts w:ascii="Garamond" w:hAnsi="Garamond"/>
        </w:rPr>
        <w:t xml:space="preserve">nj. Ganimete Xhikaj, z. Përparim Xhikaj, znj. Dhurata Xhikaj, z. Adrian Xhikaj, znj. Pamela Xhikaj, z. Velson Xhikaj shprehën dëshirën të ndiqnin procedurat në emër të tij. Më 22 </w:t>
      </w:r>
      <w:r>
        <w:rPr>
          <w:rFonts w:ascii="Garamond" w:hAnsi="Garamond"/>
        </w:rPr>
        <w:t>q</w:t>
      </w:r>
      <w:r w:rsidRPr="008A7937">
        <w:rPr>
          <w:rFonts w:ascii="Garamond" w:hAnsi="Garamond"/>
        </w:rPr>
        <w:t>ershor 2015, trashëgimtarët e znj. Hysnije</w:t>
      </w:r>
      <w:r>
        <w:rPr>
          <w:rFonts w:ascii="Garamond" w:hAnsi="Garamond"/>
        </w:rPr>
        <w:t xml:space="preserve"> </w:t>
      </w:r>
      <w:r w:rsidRPr="008A7937">
        <w:rPr>
          <w:rFonts w:ascii="Garamond" w:hAnsi="Garamond"/>
        </w:rPr>
        <w:t xml:space="preserve">Xhikolli, e cila ishte një nga ankuesit fillestarë të ankimit nr. 24468/10, z. Muharrem Xhikolli, z. Burhan Xhikolli dhe znj. Edmila Molla, me mbiemrin e vajzërisë Xhikolli, shprehën dëshirën e tyre për të ndjekur procedurat në emër të saj.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Më 19 </w:t>
      </w:r>
      <w:r>
        <w:rPr>
          <w:rFonts w:ascii="Garamond" w:hAnsi="Garamond"/>
        </w:rPr>
        <w:t>g</w:t>
      </w:r>
      <w:r w:rsidRPr="008A7937">
        <w:rPr>
          <w:rFonts w:ascii="Garamond" w:hAnsi="Garamond"/>
        </w:rPr>
        <w:t xml:space="preserve">usht 2014, trashëgimtari i z. Sherafedin Hasa, i cili ishte ankuesi fillestar i ankimit nr. 36228/10, z. Erol Hasa shprehu dëshirën e tij për të ndjekur procedurat në emër të tij. </w:t>
      </w:r>
    </w:p>
    <w:p w:rsidR="00813BF5" w:rsidRPr="007065B4"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Më 11 maj 2015, trashëgimtarët e znj. Nermin Bubani, e cila ishte njëra nga ankuesit fillestarë në ankimin nr. 39495/10, z. L</w:t>
      </w:r>
      <w:r>
        <w:rPr>
          <w:rFonts w:ascii="Garamond" w:hAnsi="Garamond"/>
        </w:rPr>
        <w:t>oredan Bubani, znj. Elvana Zami, me mbiemrin e vajzërisë Bubani</w:t>
      </w:r>
      <w:r w:rsidRPr="007065B4">
        <w:rPr>
          <w:rFonts w:ascii="Garamond" w:hAnsi="Garamond"/>
        </w:rPr>
        <w:t xml:space="preserve"> dhe z. Gjergj Bubani shprehën dëshirën për të ndjekur procedimet në emër të saj. </w:t>
      </w:r>
    </w:p>
    <w:p w:rsidR="00813BF5"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Për arsye praktike, ankuesit z. Kurtesh Gjikolli, z. Nuri Xhikaj, z. Sherafedin Hasa, z. Nermin Bubani dhe znj. Hysnije Xhikolli do të vazhdojnë të referohen në këtë vendim si ankues, megjithëse tashmë janë trashëgimtarët e tyre që do të referohen si të tillë (shiko </w:t>
      </w:r>
      <w:r w:rsidRPr="008A7937">
        <w:rPr>
          <w:rFonts w:ascii="Garamond" w:hAnsi="Garamond"/>
          <w:i/>
        </w:rPr>
        <w:t xml:space="preserve">Dalban kundër Rumanisë </w:t>
      </w:r>
      <w:r>
        <w:rPr>
          <w:rFonts w:ascii="Garamond" w:hAnsi="Garamond"/>
        </w:rPr>
        <w:t>[</w:t>
      </w:r>
      <w:r w:rsidRPr="008A7937">
        <w:rPr>
          <w:rFonts w:ascii="Garamond" w:hAnsi="Garamond"/>
        </w:rPr>
        <w:t xml:space="preserve">DHM], nr. 28114/95, § 1, GJEDNJ 1999-VI, dhe </w:t>
      </w:r>
      <w:r w:rsidRPr="008A7937">
        <w:rPr>
          <w:rFonts w:ascii="Garamond" w:hAnsi="Garamond"/>
          <w:i/>
        </w:rPr>
        <w:t xml:space="preserve">Janowiec dhe të </w:t>
      </w:r>
      <w:r>
        <w:rPr>
          <w:rFonts w:ascii="Garamond" w:hAnsi="Garamond"/>
          <w:i/>
        </w:rPr>
        <w:t>t</w:t>
      </w:r>
      <w:r w:rsidRPr="008A7937">
        <w:rPr>
          <w:rFonts w:ascii="Garamond" w:hAnsi="Garamond"/>
          <w:i/>
        </w:rPr>
        <w:t>jerët kundër Rusisë</w:t>
      </w:r>
      <w:r w:rsidRPr="008A7937">
        <w:rPr>
          <w:rFonts w:ascii="Garamond" w:hAnsi="Garamond"/>
        </w:rPr>
        <w:t xml:space="preserve"> </w:t>
      </w:r>
      <w:r>
        <w:rPr>
          <w:rFonts w:ascii="Garamond" w:hAnsi="Garamond"/>
        </w:rPr>
        <w:t>[</w:t>
      </w:r>
      <w:r w:rsidRPr="008A7937">
        <w:rPr>
          <w:rFonts w:ascii="Garamond" w:hAnsi="Garamond"/>
        </w:rPr>
        <w:t>DHM], nr. 55508/07 dhe 29520/09, §§ 97-101, GJEDNJ 2013).</w:t>
      </w:r>
    </w:p>
    <w:p w:rsidR="00813BF5" w:rsidRPr="008A7937" w:rsidRDefault="00813BF5" w:rsidP="00813BF5">
      <w:pPr>
        <w:pStyle w:val="NoSpacing"/>
        <w:widowControl w:val="0"/>
        <w:jc w:val="both"/>
        <w:rPr>
          <w:rFonts w:ascii="Garamond" w:hAnsi="Garamond"/>
        </w:rPr>
      </w:pPr>
      <w:r w:rsidRPr="008A7937">
        <w:rPr>
          <w:rFonts w:ascii="Garamond" w:hAnsi="Garamond"/>
        </w:rPr>
        <w:t xml:space="preserve">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Qeveria shqiptare (qeveria) u përfaqësua nga </w:t>
      </w:r>
      <w:r>
        <w:rPr>
          <w:rFonts w:ascii="Garamond" w:hAnsi="Garamond"/>
        </w:rPr>
        <w:t>a</w:t>
      </w:r>
      <w:r w:rsidRPr="008A7937">
        <w:rPr>
          <w:rFonts w:ascii="Garamond" w:hAnsi="Garamond"/>
        </w:rPr>
        <w:t xml:space="preserve">gjentja e saj znj. A. Hicka e Zyrës së Avokatisë së Shtetit.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Më 20 </w:t>
      </w:r>
      <w:r>
        <w:rPr>
          <w:rFonts w:ascii="Garamond" w:hAnsi="Garamond"/>
        </w:rPr>
        <w:t>d</w:t>
      </w:r>
      <w:r w:rsidRPr="008A7937">
        <w:rPr>
          <w:rFonts w:ascii="Garamond" w:hAnsi="Garamond"/>
        </w:rPr>
        <w:t>hjetor 2013, ankimet iu komuni</w:t>
      </w:r>
      <w:r>
        <w:rPr>
          <w:rFonts w:ascii="Garamond" w:hAnsi="Garamond"/>
        </w:rPr>
        <w:t>-</w:t>
      </w:r>
      <w:r w:rsidRPr="008A7937">
        <w:rPr>
          <w:rFonts w:ascii="Garamond" w:hAnsi="Garamond"/>
        </w:rPr>
        <w:t xml:space="preserve">kuan qeverisë.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Në lidhje me ankimet nr. 5207/10, 36228/10 dhe 40751/10, qeveria nuk parashtroi komente me shkrim në lidhje me kërkesat e ankuesve për kompensim të drejtë në afatin kohor të lejuar.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Në lidhje me ankimin nr. 5207/10, ankuesi nuk paraqiti kërkesa për kompensim të drejtë në </w:t>
      </w:r>
      <w:r w:rsidRPr="008A7937">
        <w:rPr>
          <w:rFonts w:ascii="Garamond" w:hAnsi="Garamond"/>
        </w:rPr>
        <w:lastRenderedPageBreak/>
        <w:t xml:space="preserve">afatin kohor të lejuar. </w:t>
      </w:r>
    </w:p>
    <w:p w:rsidR="00813BF5" w:rsidRPr="008A7937" w:rsidRDefault="00813BF5" w:rsidP="00813BF5">
      <w:pPr>
        <w:pStyle w:val="NoSpacing"/>
        <w:widowControl w:val="0"/>
        <w:ind w:firstLine="284"/>
        <w:jc w:val="both"/>
        <w:rPr>
          <w:rFonts w:ascii="Garamond" w:hAnsi="Garamond"/>
        </w:rPr>
      </w:pPr>
      <w:r w:rsidRPr="008A7937">
        <w:rPr>
          <w:rFonts w:ascii="Garamond" w:hAnsi="Garamond"/>
        </w:rPr>
        <w:t xml:space="preserve">FAKTET </w:t>
      </w:r>
    </w:p>
    <w:p w:rsidR="00813BF5" w:rsidRPr="008A7937" w:rsidRDefault="00813BF5" w:rsidP="00813BF5">
      <w:pPr>
        <w:pStyle w:val="NoSpacing"/>
        <w:widowControl w:val="0"/>
        <w:numPr>
          <w:ilvl w:val="0"/>
          <w:numId w:val="18"/>
        </w:numPr>
        <w:ind w:left="0" w:firstLine="284"/>
        <w:jc w:val="both"/>
        <w:rPr>
          <w:rFonts w:ascii="Garamond" w:hAnsi="Garamond"/>
        </w:rPr>
      </w:pPr>
      <w:r>
        <w:rPr>
          <w:rFonts w:ascii="Garamond" w:hAnsi="Garamond"/>
        </w:rPr>
        <w:t xml:space="preserve"> </w:t>
      </w:r>
      <w:r w:rsidRPr="008A7937">
        <w:rPr>
          <w:rFonts w:ascii="Garamond" w:hAnsi="Garamond"/>
        </w:rPr>
        <w:t>RRETHANAT E ÇËSHTJES</w:t>
      </w:r>
    </w:p>
    <w:p w:rsidR="00813BF5" w:rsidRPr="008A7937" w:rsidRDefault="00813BF5" w:rsidP="00813BF5">
      <w:pPr>
        <w:pStyle w:val="NoSpacing"/>
        <w:widowControl w:val="0"/>
        <w:ind w:left="284"/>
        <w:jc w:val="both"/>
        <w:rPr>
          <w:rFonts w:ascii="Garamond" w:hAnsi="Garamond"/>
        </w:rPr>
      </w:pPr>
      <w:r>
        <w:rPr>
          <w:rFonts w:ascii="Garamond" w:hAnsi="Garamond"/>
          <w:b/>
        </w:rPr>
        <w:t xml:space="preserve">A. </w:t>
      </w:r>
      <w:r w:rsidRPr="008A7937">
        <w:rPr>
          <w:rFonts w:ascii="Garamond" w:hAnsi="Garamond"/>
          <w:b/>
        </w:rPr>
        <w:t>Ankimi nr. 5207/10: Rista</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Më 11 </w:t>
      </w:r>
      <w:r>
        <w:rPr>
          <w:rFonts w:ascii="Garamond" w:hAnsi="Garamond"/>
        </w:rPr>
        <w:t>m</w:t>
      </w:r>
      <w:r w:rsidRPr="008A7937">
        <w:rPr>
          <w:rFonts w:ascii="Garamond" w:hAnsi="Garamond"/>
        </w:rPr>
        <w:t>aj 1995, Komisioni i Fierit i njohu ankuesit dhe trashëgimtarëve të tjerë të drejtat mbi pronën e trashëguar, një sipërfaqe toke me përmasat 55,200 m</w:t>
      </w:r>
      <w:r w:rsidRPr="008A7937">
        <w:rPr>
          <w:rFonts w:ascii="Garamond" w:hAnsi="Garamond"/>
          <w:vertAlign w:val="superscript"/>
        </w:rPr>
        <w:t>2</w:t>
      </w:r>
      <w:r w:rsidRPr="008A7937">
        <w:rPr>
          <w:rFonts w:ascii="Garamond" w:hAnsi="Garamond"/>
        </w:rPr>
        <w:t>, prej së cilës u rikthyen 8,186 m</w:t>
      </w:r>
      <w:r w:rsidRPr="008A7937">
        <w:rPr>
          <w:rFonts w:ascii="Garamond" w:hAnsi="Garamond"/>
          <w:vertAlign w:val="superscript"/>
        </w:rPr>
        <w:t>2</w:t>
      </w:r>
      <w:r w:rsidRPr="008A7937">
        <w:rPr>
          <w:rFonts w:ascii="Garamond" w:hAnsi="Garamond"/>
        </w:rPr>
        <w:t>. Gjithashtu, u vendos q</w:t>
      </w:r>
      <w:r>
        <w:rPr>
          <w:rFonts w:ascii="Garamond" w:hAnsi="Garamond"/>
        </w:rPr>
        <w:t>ë</w:t>
      </w:r>
      <w:r w:rsidRPr="008A7937">
        <w:rPr>
          <w:rFonts w:ascii="Garamond" w:hAnsi="Garamond"/>
        </w:rPr>
        <w:t xml:space="preserve"> Komisioni do të merrte vendim në lidhje me kompensimin e sipërfaqes së mbetur në një moment tjetër. Më 29 </w:t>
      </w:r>
      <w:r>
        <w:rPr>
          <w:rFonts w:ascii="Garamond" w:hAnsi="Garamond"/>
        </w:rPr>
        <w:t>j</w:t>
      </w:r>
      <w:r w:rsidRPr="008A7937">
        <w:rPr>
          <w:rFonts w:ascii="Garamond" w:hAnsi="Garamond"/>
        </w:rPr>
        <w:t xml:space="preserve">anar 1999, Gjykata e Rrethit Fier amendoi vendimin e Komisionit të datës 11 </w:t>
      </w:r>
      <w:r>
        <w:rPr>
          <w:rFonts w:ascii="Garamond" w:hAnsi="Garamond"/>
        </w:rPr>
        <w:t>m</w:t>
      </w:r>
      <w:r w:rsidRPr="008A7937">
        <w:rPr>
          <w:rFonts w:ascii="Garamond" w:hAnsi="Garamond"/>
        </w:rPr>
        <w:t>aj 1995 dhe i riktheu ankuesit dhe trashëgimtarëve të tjerë një sipërfaqe me përmasat 9,107 m</w:t>
      </w:r>
      <w:r w:rsidRPr="008A7937">
        <w:rPr>
          <w:rFonts w:ascii="Garamond" w:hAnsi="Garamond"/>
          <w:vertAlign w:val="superscript"/>
        </w:rPr>
        <w:t>2</w:t>
      </w:r>
      <w:r w:rsidRPr="008A7937">
        <w:rPr>
          <w:rFonts w:ascii="Garamond" w:hAnsi="Garamond"/>
        </w:rPr>
        <w:t xml:space="preserve">.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Në një datë të papërcaktuar, ankuesi paraqiti një akt civil duke kërkuar lirimin e pronës, e cila ishte zënë nga palë të treta. Palët e treta paraqitën një kundërveprim</w:t>
      </w:r>
      <w:r>
        <w:rPr>
          <w:rFonts w:ascii="Garamond" w:hAnsi="Garamond"/>
        </w:rPr>
        <w:t>,</w:t>
      </w:r>
      <w:r w:rsidRPr="008A7937">
        <w:rPr>
          <w:rFonts w:ascii="Garamond" w:hAnsi="Garamond"/>
        </w:rPr>
        <w:t xml:space="preserve"> duke kërkuar anulimin e vendimit të Komisionit</w:t>
      </w:r>
      <w:r>
        <w:rPr>
          <w:rFonts w:ascii="Garamond" w:hAnsi="Garamond"/>
        </w:rPr>
        <w:t>,</w:t>
      </w:r>
      <w:r w:rsidRPr="008A7937">
        <w:rPr>
          <w:rFonts w:ascii="Garamond" w:hAnsi="Garamond"/>
        </w:rPr>
        <w:t xml:space="preserve"> të datës 11 </w:t>
      </w:r>
      <w:r>
        <w:rPr>
          <w:rFonts w:ascii="Garamond" w:hAnsi="Garamond"/>
        </w:rPr>
        <w:t>m</w:t>
      </w:r>
      <w:r w:rsidRPr="008A7937">
        <w:rPr>
          <w:rFonts w:ascii="Garamond" w:hAnsi="Garamond"/>
        </w:rPr>
        <w:t xml:space="preserve">aj 1995. Më 27 </w:t>
      </w:r>
      <w:r>
        <w:rPr>
          <w:rFonts w:ascii="Garamond" w:hAnsi="Garamond"/>
        </w:rPr>
        <w:t>s</w:t>
      </w:r>
      <w:r w:rsidRPr="008A7937">
        <w:rPr>
          <w:rFonts w:ascii="Garamond" w:hAnsi="Garamond"/>
        </w:rPr>
        <w:t>htator 2001, Gjykata e Lartë më në fund amendoi vendimin e Komisionit në lidhje me pjesën e pronës së ankuesit, e cila korrespondon me një sipërfaqe prej 930 m</w:t>
      </w:r>
      <w:r w:rsidRPr="008A7937">
        <w:rPr>
          <w:rFonts w:ascii="Garamond" w:hAnsi="Garamond"/>
          <w:vertAlign w:val="superscript"/>
        </w:rPr>
        <w:t>2</w:t>
      </w:r>
      <w:r w:rsidRPr="008A7937">
        <w:rPr>
          <w:rFonts w:ascii="Garamond" w:hAnsi="Garamond"/>
        </w:rPr>
        <w:t xml:space="preserve">. Duke qenë se sipërfaqja e tokës ishte e zënë, Gjykata e Lartë vendosi që ankuesi do të kompensohej në një nga mënyrat e parashikuara me ligj.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Më 11 </w:t>
      </w:r>
      <w:r>
        <w:rPr>
          <w:rFonts w:ascii="Garamond" w:hAnsi="Garamond"/>
        </w:rPr>
        <w:t>p</w:t>
      </w:r>
      <w:r w:rsidRPr="008A7937">
        <w:rPr>
          <w:rFonts w:ascii="Garamond" w:hAnsi="Garamond"/>
        </w:rPr>
        <w:t>rill 2011, Gjykata e Rrethit i dha të drejtën ankuesit dhe trashëgimtarëve të tjerë të apelonin, jashtë kohës, kundër vendimit të Komisionit</w:t>
      </w:r>
      <w:r>
        <w:rPr>
          <w:rFonts w:ascii="Garamond" w:hAnsi="Garamond"/>
        </w:rPr>
        <w:t>,</w:t>
      </w:r>
      <w:r w:rsidRPr="008A7937">
        <w:rPr>
          <w:rFonts w:ascii="Garamond" w:hAnsi="Garamond"/>
        </w:rPr>
        <w:t xml:space="preserve"> të datës 11 </w:t>
      </w:r>
      <w:r>
        <w:rPr>
          <w:rFonts w:ascii="Garamond" w:hAnsi="Garamond"/>
        </w:rPr>
        <w:t>m</w:t>
      </w:r>
      <w:r w:rsidRPr="008A7937">
        <w:rPr>
          <w:rFonts w:ascii="Garamond" w:hAnsi="Garamond"/>
        </w:rPr>
        <w:t>aj 1995, në lidhje me pjesën e mbetur të tokës me një sipërfaqe prej 47,014 m</w:t>
      </w:r>
      <w:r w:rsidRPr="008A7937">
        <w:rPr>
          <w:rFonts w:ascii="Garamond" w:hAnsi="Garamond"/>
          <w:vertAlign w:val="superscript"/>
        </w:rPr>
        <w:t>2</w:t>
      </w:r>
      <w:r w:rsidRPr="008A7937">
        <w:rPr>
          <w:rFonts w:ascii="Garamond" w:hAnsi="Garamond"/>
        </w:rPr>
        <w:t xml:space="preserve"> (shiko paragrafin 10 më</w:t>
      </w:r>
      <w:r>
        <w:rPr>
          <w:rFonts w:ascii="Garamond" w:hAnsi="Garamond"/>
        </w:rPr>
        <w:t xml:space="preserve"> </w:t>
      </w:r>
      <w:r w:rsidRPr="008A7937">
        <w:rPr>
          <w:rFonts w:ascii="Garamond" w:hAnsi="Garamond"/>
        </w:rPr>
        <w:t xml:space="preserve">sipër). Palët nuk paraqitën informacion në lidhje me ecurinë e këtyre procedurave. Duket se procedurat kanë mbetur pezull.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Deri më sot, nuk është paguar asnjë kompensim në lidhje me tokën e ankuesit me sipërfaqe prej 930 m</w:t>
      </w:r>
      <w:r w:rsidRPr="008A7937">
        <w:rPr>
          <w:rFonts w:ascii="Garamond" w:hAnsi="Garamond"/>
          <w:vertAlign w:val="superscript"/>
        </w:rPr>
        <w:t>2</w:t>
      </w:r>
      <w:r w:rsidRPr="008A7937">
        <w:rPr>
          <w:rFonts w:ascii="Garamond" w:hAnsi="Garamond"/>
        </w:rPr>
        <w:t>.</w:t>
      </w:r>
    </w:p>
    <w:p w:rsidR="00813BF5" w:rsidRPr="008A7937" w:rsidRDefault="00813BF5" w:rsidP="00813BF5">
      <w:pPr>
        <w:pStyle w:val="NoSpacing"/>
        <w:widowControl w:val="0"/>
        <w:ind w:firstLine="284"/>
        <w:jc w:val="both"/>
        <w:rPr>
          <w:rFonts w:ascii="Garamond" w:hAnsi="Garamond"/>
          <w:b/>
        </w:rPr>
      </w:pPr>
      <w:r w:rsidRPr="008A7937">
        <w:rPr>
          <w:rFonts w:ascii="Garamond" w:hAnsi="Garamond"/>
          <w:b/>
        </w:rPr>
        <w:t>B. Ankimi nr. 24468/10: Gjikolli dhe Molla</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Më 19 janar 2000, Komisioni i Tiranës, midis të tjerave, i njohu ankuesit të drejtat e pronës së trashëguar për një sipërfaqe toke prej 10,600 m</w:t>
      </w:r>
      <w:r w:rsidRPr="008A7937">
        <w:rPr>
          <w:rFonts w:ascii="Garamond" w:hAnsi="Garamond"/>
          <w:vertAlign w:val="superscript"/>
        </w:rPr>
        <w:t>2</w:t>
      </w:r>
      <w:r w:rsidRPr="008A7937">
        <w:rPr>
          <w:rFonts w:ascii="Garamond" w:hAnsi="Garamond"/>
        </w:rPr>
        <w:t xml:space="preserve">. Duke qenë se sipërfaqja ishte e zënë, ankuesit do të kompensoheshin në njërën nga mënyrat e parashikuara me ligj.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Më 14 prill 2008, ankuesit kërkuan që sipërfaqet e pazëna me përmasa prej 3,142 m</w:t>
      </w:r>
      <w:r w:rsidRPr="008A7937">
        <w:rPr>
          <w:rFonts w:ascii="Garamond" w:hAnsi="Garamond"/>
          <w:vertAlign w:val="superscript"/>
        </w:rPr>
        <w:t>2</w:t>
      </w:r>
      <w:r w:rsidRPr="008A7937">
        <w:rPr>
          <w:rFonts w:ascii="Garamond" w:hAnsi="Garamond"/>
        </w:rPr>
        <w:t>, të pozicionuara brenda tokës me sipërfaqe prej 10,600 m</w:t>
      </w:r>
      <w:r w:rsidRPr="008A7937">
        <w:rPr>
          <w:rFonts w:ascii="Garamond" w:hAnsi="Garamond"/>
          <w:vertAlign w:val="superscript"/>
        </w:rPr>
        <w:t>2</w:t>
      </w:r>
      <w:r w:rsidRPr="008A7937">
        <w:rPr>
          <w:rFonts w:ascii="Garamond" w:hAnsi="Garamond"/>
        </w:rPr>
        <w:t xml:space="preserve">, t’i kthehen atyre. Më 3 dhjetor 2008, Komisioni i Tiranës e kundërshtoi ankimin e tyre duke qenë se sipërfaqja e tokës ishte e zënë.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Deri më sot, nuk është paguar asnjë kompensim në lidhje me sipërfaqen e tokës me përmasat prej 10,600 m</w:t>
      </w:r>
      <w:r w:rsidRPr="008A7937">
        <w:rPr>
          <w:rFonts w:ascii="Garamond" w:hAnsi="Garamond"/>
          <w:vertAlign w:val="superscript"/>
        </w:rPr>
        <w:t>2</w:t>
      </w:r>
      <w:r w:rsidRPr="008A7937">
        <w:rPr>
          <w:rFonts w:ascii="Garamond" w:hAnsi="Garamond"/>
        </w:rPr>
        <w:t>.</w:t>
      </w:r>
    </w:p>
    <w:p w:rsidR="00813BF5" w:rsidRPr="008A7937" w:rsidRDefault="00813BF5" w:rsidP="00813BF5">
      <w:pPr>
        <w:pStyle w:val="NoSpacing"/>
        <w:widowControl w:val="0"/>
        <w:ind w:firstLine="284"/>
        <w:jc w:val="both"/>
        <w:rPr>
          <w:rFonts w:ascii="Garamond" w:hAnsi="Garamond"/>
          <w:b/>
        </w:rPr>
      </w:pPr>
      <w:r w:rsidRPr="008A7937">
        <w:rPr>
          <w:rFonts w:ascii="Garamond" w:hAnsi="Garamond"/>
          <w:b/>
        </w:rPr>
        <w:t>C. Ankimi nr. 36228/10: Hasa</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Më 15 janar 2008, Komisioni i Elbasanit i njohu ankuesit të drejtën mbi pronën e trashëguar, për dy sipërfaqe tokash, në total me një sipërfaqe prej 16,500 m</w:t>
      </w:r>
      <w:r w:rsidRPr="008A7937">
        <w:rPr>
          <w:rFonts w:ascii="Garamond" w:hAnsi="Garamond"/>
          <w:vertAlign w:val="superscript"/>
        </w:rPr>
        <w:t>2</w:t>
      </w:r>
      <w:r w:rsidRPr="008A7937">
        <w:rPr>
          <w:rFonts w:ascii="Garamond" w:hAnsi="Garamond"/>
        </w:rPr>
        <w:t>. Duke qenë s</w:t>
      </w:r>
      <w:r>
        <w:rPr>
          <w:rFonts w:ascii="Garamond" w:hAnsi="Garamond"/>
        </w:rPr>
        <w:t>e</w:t>
      </w:r>
      <w:r w:rsidRPr="008A7937">
        <w:rPr>
          <w:rFonts w:ascii="Garamond" w:hAnsi="Garamond"/>
        </w:rPr>
        <w:t xml:space="preserve"> tokat ishin të zëna, ankuesi do të kompensohej në një nga mënyrat e parashikuara me ligj.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Deri më sot, nuk është paguar asnjë kompensim.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Më 19 gusht 2014, z. Erol Hasa, shtetas maqedonas, shprehu dëshirën për të ndjekur procedurat në emër të babait të tij (shiko paragrafin 3 më</w:t>
      </w:r>
      <w:r>
        <w:rPr>
          <w:rFonts w:ascii="Garamond" w:hAnsi="Garamond"/>
        </w:rPr>
        <w:t xml:space="preserve"> </w:t>
      </w:r>
      <w:r w:rsidRPr="008A7937">
        <w:rPr>
          <w:rFonts w:ascii="Garamond" w:hAnsi="Garamond"/>
        </w:rPr>
        <w:t>sipër). Ai dorëzoi të përkthyer në anglisht një dokument të noterizuar, i cili e njihte atë si të vetmin trashëgimtar me testament mbi pronën e pozicionuar në Elbasan. Dokumenti origjinal, asnjë kopje e të cilit nuk u dorëzua në Gjykatë, duket se është lëshuar nga një noter i ish</w:t>
      </w:r>
      <w:r>
        <w:rPr>
          <w:rFonts w:ascii="Garamond" w:hAnsi="Garamond"/>
        </w:rPr>
        <w:t>-</w:t>
      </w:r>
      <w:r w:rsidRPr="008A7937">
        <w:rPr>
          <w:rFonts w:ascii="Garamond" w:hAnsi="Garamond"/>
        </w:rPr>
        <w:t xml:space="preserve">Republikës Jugosllave të Maqedonisë. Ai dokument nuk është njohur nga autoritetet shqiptare sipas ligjit shqiptar. </w:t>
      </w:r>
    </w:p>
    <w:p w:rsidR="00813BF5" w:rsidRPr="008A7937" w:rsidRDefault="00813BF5" w:rsidP="00813BF5">
      <w:pPr>
        <w:pStyle w:val="NoSpacing"/>
        <w:widowControl w:val="0"/>
        <w:ind w:firstLine="284"/>
        <w:jc w:val="both"/>
        <w:rPr>
          <w:rFonts w:ascii="Garamond" w:hAnsi="Garamond"/>
          <w:b/>
        </w:rPr>
      </w:pPr>
      <w:r w:rsidRPr="008A7937">
        <w:rPr>
          <w:rFonts w:ascii="Garamond" w:hAnsi="Garamond"/>
          <w:b/>
        </w:rPr>
        <w:t>D. Ankimi nr. 39492/10: Galanxhi dhe të Tjerët</w:t>
      </w:r>
    </w:p>
    <w:p w:rsidR="00813BF5"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Më 25 </w:t>
      </w:r>
      <w:r>
        <w:rPr>
          <w:rFonts w:ascii="Garamond" w:hAnsi="Garamond"/>
        </w:rPr>
        <w:t>t</w:t>
      </w:r>
      <w:r w:rsidRPr="008A7937">
        <w:rPr>
          <w:rFonts w:ascii="Garamond" w:hAnsi="Garamond"/>
        </w:rPr>
        <w:t>etor 1995, Komisioni i Gjiro</w:t>
      </w:r>
      <w:r>
        <w:rPr>
          <w:rFonts w:ascii="Garamond" w:hAnsi="Garamond"/>
        </w:rPr>
        <w:t>-</w:t>
      </w:r>
      <w:r w:rsidRPr="008A7937">
        <w:rPr>
          <w:rFonts w:ascii="Garamond" w:hAnsi="Garamond"/>
        </w:rPr>
        <w:t xml:space="preserve">kastrës </w:t>
      </w:r>
      <w:r>
        <w:rPr>
          <w:rFonts w:ascii="Garamond" w:hAnsi="Garamond"/>
        </w:rPr>
        <w:t>u</w:t>
      </w:r>
      <w:r w:rsidRPr="008A7937">
        <w:rPr>
          <w:rFonts w:ascii="Garamond" w:hAnsi="Garamond"/>
        </w:rPr>
        <w:t xml:space="preserve"> njohu ankuesve të drejtat mbi pronën e trashëguar për një sipërfaqe toke me përmasat 4,527 m</w:t>
      </w:r>
      <w:r w:rsidRPr="008A7937">
        <w:rPr>
          <w:rFonts w:ascii="Garamond" w:hAnsi="Garamond"/>
          <w:vertAlign w:val="superscript"/>
        </w:rPr>
        <w:t>2</w:t>
      </w:r>
      <w:r w:rsidRPr="008A7937">
        <w:rPr>
          <w:rFonts w:ascii="Garamond" w:hAnsi="Garamond"/>
        </w:rPr>
        <w:t>, nga e cila u kthyen 920 m</w:t>
      </w:r>
      <w:r w:rsidRPr="008A7937">
        <w:rPr>
          <w:rFonts w:ascii="Garamond" w:hAnsi="Garamond"/>
          <w:vertAlign w:val="superscript"/>
        </w:rPr>
        <w:t>2</w:t>
      </w:r>
      <w:r w:rsidRPr="008A7937">
        <w:rPr>
          <w:rFonts w:ascii="Garamond" w:hAnsi="Garamond"/>
        </w:rPr>
        <w:t>. Duke qenë se pjesa e mbetur e tokës me sipërfaqe 3,607 m</w:t>
      </w:r>
      <w:r w:rsidRPr="008A7937">
        <w:rPr>
          <w:rFonts w:ascii="Garamond" w:hAnsi="Garamond"/>
          <w:vertAlign w:val="superscript"/>
        </w:rPr>
        <w:t>2</w:t>
      </w:r>
      <w:r w:rsidRPr="008A7937">
        <w:rPr>
          <w:rFonts w:ascii="Garamond" w:hAnsi="Garamond"/>
        </w:rPr>
        <w:t xml:space="preserve"> ishte e zënë, ankuesit do të kompensoheshin me një nga mënyrat e parashikuara me ligj. </w:t>
      </w:r>
    </w:p>
    <w:p w:rsidR="00813BF5" w:rsidRPr="008A7937" w:rsidRDefault="00813BF5" w:rsidP="00813BF5">
      <w:pPr>
        <w:pStyle w:val="NoSpacing"/>
        <w:widowControl w:val="0"/>
        <w:jc w:val="both"/>
        <w:rPr>
          <w:rFonts w:ascii="Garamond" w:hAnsi="Garamond"/>
        </w:rPr>
      </w:pP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Deri më sot nuk është paguar asnjë kompensim. </w:t>
      </w:r>
    </w:p>
    <w:p w:rsidR="00813BF5" w:rsidRPr="0058247E" w:rsidRDefault="00813BF5" w:rsidP="00813BF5">
      <w:pPr>
        <w:pStyle w:val="NoSpacing"/>
        <w:widowControl w:val="0"/>
        <w:ind w:firstLine="284"/>
        <w:jc w:val="both"/>
        <w:rPr>
          <w:rFonts w:ascii="Garamond" w:hAnsi="Garamond"/>
          <w:b/>
          <w:spacing w:val="-4"/>
        </w:rPr>
      </w:pPr>
      <w:r w:rsidRPr="0058247E">
        <w:rPr>
          <w:rFonts w:ascii="Garamond" w:hAnsi="Garamond"/>
          <w:b/>
          <w:spacing w:val="-4"/>
        </w:rPr>
        <w:t xml:space="preserve">E. Ankimi nr. 39495/10: Frashëri dhe të Tjerët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Më 23 shtator 1996, Komisioni i Tiranës, midis të tjerave, u njohu ankuesve të drejtën mbi një sipërfaqe toke me përmasat 208,696 m</w:t>
      </w:r>
      <w:r w:rsidRPr="0058247E">
        <w:rPr>
          <w:rFonts w:ascii="Garamond" w:hAnsi="Garamond"/>
          <w:spacing w:val="-4"/>
          <w:vertAlign w:val="superscript"/>
        </w:rPr>
        <w:t>2</w:t>
      </w:r>
      <w:r w:rsidRPr="0058247E">
        <w:rPr>
          <w:rFonts w:ascii="Garamond" w:hAnsi="Garamond"/>
          <w:spacing w:val="-4"/>
        </w:rPr>
        <w:t>, nga e cila u kthyen 7,452 m</w:t>
      </w:r>
      <w:r w:rsidRPr="0058247E">
        <w:rPr>
          <w:rFonts w:ascii="Garamond" w:hAnsi="Garamond"/>
          <w:spacing w:val="-4"/>
          <w:vertAlign w:val="superscript"/>
        </w:rPr>
        <w:t>2</w:t>
      </w:r>
      <w:r w:rsidRPr="0058247E">
        <w:rPr>
          <w:rFonts w:ascii="Garamond" w:hAnsi="Garamond"/>
          <w:spacing w:val="-4"/>
        </w:rPr>
        <w:t>. Duke qenë se pjesa e mbetur e tokës, me sipërfaqe 201,244 m</w:t>
      </w:r>
      <w:r w:rsidRPr="0058247E">
        <w:rPr>
          <w:rFonts w:ascii="Garamond" w:hAnsi="Garamond"/>
          <w:spacing w:val="-4"/>
          <w:vertAlign w:val="superscript"/>
        </w:rPr>
        <w:t>2</w:t>
      </w:r>
      <w:r w:rsidRPr="0058247E">
        <w:rPr>
          <w:rFonts w:ascii="Garamond" w:hAnsi="Garamond"/>
          <w:spacing w:val="-4"/>
        </w:rPr>
        <w:t xml:space="preserve"> ishte e zënë, ankuesit do të kompensoheshin në një nga mënyrat e parashikuara me ligj.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lastRenderedPageBreak/>
        <w:t xml:space="preserve"> Deri më sot nuk është paguar asnjë kompensim. </w:t>
      </w:r>
    </w:p>
    <w:p w:rsidR="00813BF5" w:rsidRPr="0058247E" w:rsidRDefault="00813BF5" w:rsidP="00813BF5">
      <w:pPr>
        <w:pStyle w:val="NoSpacing"/>
        <w:widowControl w:val="0"/>
        <w:ind w:firstLine="284"/>
        <w:jc w:val="both"/>
        <w:rPr>
          <w:rFonts w:ascii="Garamond" w:hAnsi="Garamond"/>
          <w:b/>
          <w:spacing w:val="-4"/>
        </w:rPr>
      </w:pPr>
      <w:r w:rsidRPr="0058247E">
        <w:rPr>
          <w:rFonts w:ascii="Garamond" w:hAnsi="Garamond"/>
          <w:b/>
          <w:spacing w:val="-4"/>
        </w:rPr>
        <w:t>F. Ankimi nr. 40751/10: Merlika dhe të tjerët</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Më 22 tetor 1994, Komisioni i Tiranës i njohu ankuesve të drejtat mbi pronën e trashëguar mbi një sipërfaqe toke me përmasat prej 1,730 m</w:t>
      </w:r>
      <w:r w:rsidRPr="0058247E">
        <w:rPr>
          <w:rFonts w:ascii="Garamond" w:hAnsi="Garamond"/>
          <w:spacing w:val="-4"/>
          <w:vertAlign w:val="superscript"/>
        </w:rPr>
        <w:t>2</w:t>
      </w:r>
      <w:r w:rsidRPr="0058247E">
        <w:rPr>
          <w:rFonts w:ascii="Garamond" w:hAnsi="Garamond"/>
          <w:spacing w:val="-4"/>
        </w:rPr>
        <w:t>. Duke qenë se sipërfaqja e tokës ishte e zënë, ankuesit do të kompensoheshin në një nga mënyrat e parashikuara me ligj. Më 22 dhjetor 2007, Agjencia vendosi të akordonte kompensim financiar për ankuesit, për 200 m</w:t>
      </w:r>
      <w:r w:rsidRPr="0058247E">
        <w:rPr>
          <w:rFonts w:ascii="Garamond" w:hAnsi="Garamond"/>
          <w:spacing w:val="-4"/>
          <w:vertAlign w:val="superscript"/>
        </w:rPr>
        <w:t>2</w:t>
      </w:r>
      <w:r w:rsidRPr="0058247E">
        <w:rPr>
          <w:rFonts w:ascii="Garamond" w:hAnsi="Garamond"/>
          <w:spacing w:val="-4"/>
        </w:rPr>
        <w:t>.</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Deri më sot, nuk është paguar asnjë kompensim në lidhje me pjesën e mbetur të sipërfaqes së tokës me përmasa 1,530 m</w:t>
      </w:r>
      <w:r w:rsidRPr="0058247E">
        <w:rPr>
          <w:rFonts w:ascii="Garamond" w:hAnsi="Garamond"/>
          <w:spacing w:val="-4"/>
          <w:vertAlign w:val="superscript"/>
        </w:rPr>
        <w:t>2</w:t>
      </w:r>
      <w:r w:rsidRPr="0058247E">
        <w:rPr>
          <w:rFonts w:ascii="Garamond" w:hAnsi="Garamond"/>
          <w:spacing w:val="-4"/>
        </w:rPr>
        <w:t>.</w:t>
      </w:r>
    </w:p>
    <w:p w:rsidR="00813BF5" w:rsidRPr="0058247E" w:rsidRDefault="00813BF5" w:rsidP="00813BF5">
      <w:pPr>
        <w:pStyle w:val="NoSpacing"/>
        <w:widowControl w:val="0"/>
        <w:ind w:firstLine="284"/>
        <w:jc w:val="both"/>
        <w:rPr>
          <w:rFonts w:ascii="Garamond" w:hAnsi="Garamond"/>
          <w:b/>
          <w:spacing w:val="-4"/>
        </w:rPr>
      </w:pPr>
      <w:r w:rsidRPr="0058247E">
        <w:rPr>
          <w:rFonts w:ascii="Garamond" w:hAnsi="Garamond"/>
          <w:b/>
          <w:spacing w:val="-4"/>
        </w:rPr>
        <w:t>G. Ankimi nr. 48522/10: Dhimertika dhe Nika</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Më 24 tetor 1995, Komisioni i Sarandës u njohu ankuesve të drejtat mbi tokën e trashëguar, mbi një sipërfaqe toke me përmasat 69,186 m</w:t>
      </w:r>
      <w:r w:rsidRPr="0058247E">
        <w:rPr>
          <w:rFonts w:ascii="Garamond" w:hAnsi="Garamond"/>
          <w:spacing w:val="-4"/>
          <w:vertAlign w:val="superscript"/>
        </w:rPr>
        <w:t>2</w:t>
      </w:r>
      <w:r w:rsidRPr="0058247E">
        <w:rPr>
          <w:rFonts w:ascii="Garamond" w:hAnsi="Garamond"/>
          <w:spacing w:val="-4"/>
        </w:rPr>
        <w:t xml:space="preserve"> e pozicionuar brenda vijës së verdhë të qytetit, nga e cila 5,000 m</w:t>
      </w:r>
      <w:r w:rsidRPr="0058247E">
        <w:rPr>
          <w:rFonts w:ascii="Garamond" w:hAnsi="Garamond"/>
          <w:spacing w:val="-4"/>
          <w:vertAlign w:val="superscript"/>
        </w:rPr>
        <w:t>2</w:t>
      </w:r>
      <w:r w:rsidRPr="0058247E">
        <w:rPr>
          <w:rFonts w:ascii="Garamond" w:hAnsi="Garamond"/>
          <w:spacing w:val="-4"/>
        </w:rPr>
        <w:t xml:space="preserve"> u kthyen dhe 5,000 m</w:t>
      </w:r>
      <w:r w:rsidRPr="0058247E">
        <w:rPr>
          <w:rFonts w:ascii="Garamond" w:hAnsi="Garamond"/>
          <w:spacing w:val="-4"/>
          <w:vertAlign w:val="superscript"/>
        </w:rPr>
        <w:t>2</w:t>
      </w:r>
      <w:r w:rsidRPr="0058247E">
        <w:rPr>
          <w:rFonts w:ascii="Garamond" w:hAnsi="Garamond"/>
          <w:spacing w:val="-4"/>
        </w:rPr>
        <w:t xml:space="preserve"> të tjerë u kompensuan në natyrë. Duke qenë se një sipërfaqe tjetër toke me përmasat 59,184 m</w:t>
      </w:r>
      <w:r w:rsidRPr="0058247E">
        <w:rPr>
          <w:rFonts w:ascii="Garamond" w:hAnsi="Garamond"/>
          <w:spacing w:val="-4"/>
          <w:vertAlign w:val="superscript"/>
        </w:rPr>
        <w:t>2</w:t>
      </w:r>
      <w:r w:rsidRPr="0058247E">
        <w:rPr>
          <w:rFonts w:ascii="Garamond" w:hAnsi="Garamond"/>
          <w:spacing w:val="-4"/>
        </w:rPr>
        <w:t xml:space="preserve"> ishte e zënë, ankuesit do të kompensoheshin me bono shtetërore, sipas aktit për tokën bujqësore.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Deri më sot, nuk është paguar asnjë kompensim. </w:t>
      </w:r>
    </w:p>
    <w:p w:rsidR="00813BF5" w:rsidRPr="0058247E" w:rsidRDefault="00813BF5" w:rsidP="00813BF5">
      <w:pPr>
        <w:pStyle w:val="NoSpacing"/>
        <w:widowControl w:val="0"/>
        <w:numPr>
          <w:ilvl w:val="0"/>
          <w:numId w:val="18"/>
        </w:numPr>
        <w:ind w:left="0" w:firstLine="284"/>
        <w:jc w:val="both"/>
        <w:rPr>
          <w:rFonts w:ascii="Garamond" w:hAnsi="Garamond"/>
          <w:spacing w:val="-4"/>
        </w:rPr>
      </w:pPr>
      <w:r w:rsidRPr="0058247E">
        <w:rPr>
          <w:rFonts w:ascii="Garamond" w:hAnsi="Garamond"/>
          <w:spacing w:val="-4"/>
        </w:rPr>
        <w:t xml:space="preserve"> LIGJI PËRKATËS VENDAS</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Ligji dhe praktika përkatëse vendase përshkruhen në detaje, </w:t>
      </w:r>
      <w:r w:rsidRPr="0058247E">
        <w:rPr>
          <w:rFonts w:ascii="Garamond" w:hAnsi="Garamond"/>
          <w:i/>
          <w:spacing w:val="-4"/>
        </w:rPr>
        <w:t xml:space="preserve">inter alia, </w:t>
      </w:r>
      <w:r w:rsidRPr="0058247E">
        <w:rPr>
          <w:rFonts w:ascii="Garamond" w:hAnsi="Garamond"/>
          <w:spacing w:val="-4"/>
        </w:rPr>
        <w:t xml:space="preserve">në vendimin </w:t>
      </w:r>
      <w:r w:rsidRPr="0058247E">
        <w:rPr>
          <w:rFonts w:ascii="Garamond" w:hAnsi="Garamond"/>
          <w:i/>
          <w:spacing w:val="-4"/>
        </w:rPr>
        <w:t>Ramadhi kundër Shqipërisë</w:t>
      </w:r>
      <w:r w:rsidRPr="0058247E">
        <w:rPr>
          <w:rFonts w:ascii="Garamond" w:hAnsi="Garamond"/>
          <w:spacing w:val="-4"/>
        </w:rPr>
        <w:t xml:space="preserve"> (nr. 38222/02, 13 nëntor 2007); </w:t>
      </w:r>
      <w:r w:rsidRPr="0058247E">
        <w:rPr>
          <w:rFonts w:ascii="Garamond" w:hAnsi="Garamond"/>
          <w:i/>
          <w:spacing w:val="-4"/>
        </w:rPr>
        <w:t>Manushaqe Puto dhe të tjerët kundër Shqipërisë</w:t>
      </w:r>
      <w:r w:rsidRPr="0058247E">
        <w:rPr>
          <w:rFonts w:ascii="Garamond" w:hAnsi="Garamond"/>
          <w:spacing w:val="-4"/>
        </w:rPr>
        <w:t xml:space="preserve"> (nr. 604/07, 43628/07, 46684/07 dhe 34770/09, §§ 23–53, 31 korrik 2012) dhe i kohëve të fundit, </w:t>
      </w:r>
      <w:r w:rsidRPr="0058247E">
        <w:rPr>
          <w:rFonts w:ascii="Garamond" w:hAnsi="Garamond"/>
          <w:i/>
          <w:spacing w:val="-4"/>
        </w:rPr>
        <w:t>Sharra dhe të tjerët kundër Shqipërisë</w:t>
      </w:r>
      <w:r w:rsidRPr="0058247E">
        <w:rPr>
          <w:rFonts w:ascii="Garamond" w:hAnsi="Garamond"/>
          <w:spacing w:val="-4"/>
        </w:rPr>
        <w:t xml:space="preserve"> [Komiteti] (nr. 25038/08, 64376/09, 64399/09, 347/10, 1376/10, 4036/10, 12889/10, 20240/10, 29442/10, 29617/10, 33154/11 dhe 2032/12, §§ 33–43, 10 nëntor 2015). </w:t>
      </w:r>
    </w:p>
    <w:p w:rsidR="00813BF5" w:rsidRPr="0058247E" w:rsidRDefault="00813BF5" w:rsidP="00813BF5">
      <w:pPr>
        <w:pStyle w:val="NoSpacing"/>
        <w:widowControl w:val="0"/>
        <w:numPr>
          <w:ilvl w:val="0"/>
          <w:numId w:val="18"/>
        </w:numPr>
        <w:ind w:left="0" w:firstLine="284"/>
        <w:jc w:val="both"/>
        <w:rPr>
          <w:rFonts w:ascii="Garamond" w:hAnsi="Garamond"/>
          <w:spacing w:val="-4"/>
        </w:rPr>
      </w:pPr>
      <w:r w:rsidRPr="0058247E">
        <w:rPr>
          <w:rFonts w:ascii="Garamond" w:hAnsi="Garamond"/>
          <w:spacing w:val="-4"/>
        </w:rPr>
        <w:t xml:space="preserve"> MATERIALET E KËSHILLIT TË EVROPËS</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vendimet e saj Gjykata iu referua materialeve që kanë lidhje me çështjen, si </w:t>
      </w:r>
      <w:r w:rsidRPr="0058247E">
        <w:rPr>
          <w:rFonts w:ascii="Garamond" w:hAnsi="Garamond"/>
          <w:i/>
          <w:spacing w:val="-4"/>
        </w:rPr>
        <w:t>Sharra dhe të tjerët kundër Shqipërisë</w:t>
      </w:r>
      <w:r w:rsidRPr="0058247E">
        <w:rPr>
          <w:rFonts w:ascii="Garamond" w:hAnsi="Garamond"/>
          <w:spacing w:val="-4"/>
        </w:rPr>
        <w:t xml:space="preserve">, cituar më sipër, § 44; </w:t>
      </w:r>
      <w:r w:rsidRPr="0058247E">
        <w:rPr>
          <w:rFonts w:ascii="Garamond" w:hAnsi="Garamond"/>
          <w:i/>
          <w:spacing w:val="-4"/>
        </w:rPr>
        <w:t>Metalla dhe të tjerët kundër Shqipërisë</w:t>
      </w:r>
      <w:r w:rsidRPr="0058247E">
        <w:rPr>
          <w:rFonts w:ascii="Garamond" w:hAnsi="Garamond"/>
          <w:spacing w:val="-4"/>
        </w:rPr>
        <w:t xml:space="preserve"> [Komiteti] (nr. 30264/08, 42120/08, 54403/08 dhe 54411/08, §§ 15-17, 16 korrik 2015); </w:t>
      </w:r>
      <w:r w:rsidRPr="0058247E">
        <w:rPr>
          <w:rFonts w:ascii="Garamond" w:hAnsi="Garamond"/>
          <w:i/>
          <w:spacing w:val="-4"/>
        </w:rPr>
        <w:t xml:space="preserve">Siliqi dhe të tjerët kundër Shqipërisë </w:t>
      </w:r>
      <w:r w:rsidRPr="0058247E">
        <w:rPr>
          <w:rFonts w:ascii="Garamond" w:hAnsi="Garamond"/>
          <w:spacing w:val="-4"/>
        </w:rPr>
        <w:t xml:space="preserve">[Komiteti] (nr. 37295/05 dhe 42228/05, §§ 12–13, 10 mars 2015); dhe </w:t>
      </w:r>
      <w:r w:rsidRPr="0058247E">
        <w:rPr>
          <w:rFonts w:ascii="Garamond" w:hAnsi="Garamond"/>
          <w:i/>
          <w:spacing w:val="-4"/>
        </w:rPr>
        <w:t xml:space="preserve">Karagjozi dhe të tjerët kundër Shqipërisë </w:t>
      </w:r>
      <w:r w:rsidRPr="0058247E">
        <w:rPr>
          <w:rFonts w:ascii="Garamond" w:hAnsi="Garamond"/>
          <w:spacing w:val="-4"/>
        </w:rPr>
        <w:t xml:space="preserve">[Komiteti] (nr. 25408/06, 37419/06, 49121/06, 1504/07, 19772/07, 46685/07, 49411/07, 27242/08, 61912/08 dhe 15075/09, §§ 36-38, 8 prill 2014). </w:t>
      </w:r>
    </w:p>
    <w:p w:rsidR="00813BF5" w:rsidRPr="0058247E" w:rsidRDefault="00813BF5" w:rsidP="00813BF5">
      <w:pPr>
        <w:pStyle w:val="NoSpacing"/>
        <w:widowControl w:val="0"/>
        <w:ind w:firstLine="284"/>
        <w:jc w:val="both"/>
        <w:rPr>
          <w:rFonts w:ascii="Garamond" w:hAnsi="Garamond"/>
          <w:spacing w:val="-4"/>
        </w:rPr>
      </w:pPr>
      <w:r w:rsidRPr="0058247E">
        <w:rPr>
          <w:rFonts w:ascii="Garamond" w:hAnsi="Garamond"/>
          <w:spacing w:val="-4"/>
        </w:rPr>
        <w:t xml:space="preserve">LIGJI </w:t>
      </w:r>
    </w:p>
    <w:p w:rsidR="00813BF5" w:rsidRPr="0058247E" w:rsidRDefault="00813BF5" w:rsidP="00813BF5">
      <w:pPr>
        <w:pStyle w:val="NoSpacing"/>
        <w:widowControl w:val="0"/>
        <w:numPr>
          <w:ilvl w:val="0"/>
          <w:numId w:val="20"/>
        </w:numPr>
        <w:ind w:left="0" w:firstLine="284"/>
        <w:jc w:val="both"/>
        <w:rPr>
          <w:rFonts w:ascii="Garamond" w:hAnsi="Garamond"/>
          <w:spacing w:val="-4"/>
        </w:rPr>
      </w:pPr>
      <w:r w:rsidRPr="0058247E">
        <w:rPr>
          <w:rFonts w:ascii="Garamond" w:hAnsi="Garamond"/>
          <w:spacing w:val="-4"/>
        </w:rPr>
        <w:t xml:space="preserve"> BASHKIMI I ANKIMEVE</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Duke qenë se të gjitha ankimet ngrenë të njëjtën çështje, Gjykata vendos se ato duhen bashkuar sipas rregullit 42 § 1 të Rregullores së Gjykatës. </w:t>
      </w:r>
    </w:p>
    <w:p w:rsidR="00813BF5" w:rsidRPr="0058247E" w:rsidRDefault="00813BF5" w:rsidP="00813BF5">
      <w:pPr>
        <w:pStyle w:val="NoSpacing"/>
        <w:widowControl w:val="0"/>
        <w:numPr>
          <w:ilvl w:val="0"/>
          <w:numId w:val="20"/>
        </w:numPr>
        <w:ind w:left="0" w:firstLine="284"/>
        <w:jc w:val="both"/>
        <w:rPr>
          <w:rFonts w:ascii="Garamond" w:hAnsi="Garamond"/>
          <w:spacing w:val="-4"/>
        </w:rPr>
      </w:pPr>
      <w:r w:rsidRPr="0058247E">
        <w:rPr>
          <w:rFonts w:ascii="Garamond" w:hAnsi="Garamond"/>
          <w:spacing w:val="-4"/>
        </w:rPr>
        <w:t xml:space="preserve"> SHKELJET E PRETENDUARA TË NENEVE 6 § 1 DHE 13 TË KONVENTËS, SI EDHE TË NENIT 1 TË PROTOKOLLIT NR. I TË KONVENTËS NË LIDHJE ME MOSZBATIMIN E VENDIMEVE TË FORMËS SË PRERË</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Ankuesit pretendonin se ka pasur një shkelje të neneve 6 § 1 dhe 13 të Konventës, si edhe të nenit 1 të protokollit nr. 1 të Konventës në lidhje me moszbatimin e vendimeve vendase të formës së prerë, të cilat u akordonin atyre kompensim në vend të rikthimit të pronave të tyre. </w:t>
      </w:r>
    </w:p>
    <w:p w:rsidR="00813BF5" w:rsidRPr="0058247E" w:rsidRDefault="00813BF5" w:rsidP="00813BF5">
      <w:pPr>
        <w:pStyle w:val="NoSpacing"/>
        <w:widowControl w:val="0"/>
        <w:ind w:firstLine="284"/>
        <w:jc w:val="both"/>
        <w:rPr>
          <w:rFonts w:ascii="Garamond" w:hAnsi="Garamond"/>
          <w:spacing w:val="-4"/>
        </w:rPr>
      </w:pPr>
      <w:r w:rsidRPr="0058247E">
        <w:rPr>
          <w:rFonts w:ascii="Garamond" w:hAnsi="Garamond"/>
          <w:spacing w:val="-4"/>
        </w:rPr>
        <w:t xml:space="preserve">Neni 6 § 1 i Konventës, për sa ka të bëjë me çështjen, parashikon si më poshtë: </w:t>
      </w:r>
    </w:p>
    <w:p w:rsidR="00813BF5" w:rsidRPr="0058247E" w:rsidRDefault="00813BF5" w:rsidP="00813BF5">
      <w:pPr>
        <w:pStyle w:val="NoSpacing"/>
        <w:widowControl w:val="0"/>
        <w:ind w:firstLine="284"/>
        <w:jc w:val="both"/>
        <w:rPr>
          <w:rFonts w:ascii="Garamond" w:hAnsi="Garamond"/>
          <w:spacing w:val="-4"/>
        </w:rPr>
      </w:pPr>
      <w:r w:rsidRPr="0058247E">
        <w:rPr>
          <w:rFonts w:ascii="Garamond" w:hAnsi="Garamond"/>
          <w:spacing w:val="-4"/>
        </w:rPr>
        <w:t xml:space="preserve"> “Në përcaktimin e të drejtave civile dhe detyrimeve ... çdonjëri ka të drejtën për një seancë... dëgjimore... nga [një] ... tribunal ...”.</w:t>
      </w:r>
    </w:p>
    <w:p w:rsidR="00813BF5" w:rsidRPr="0058247E" w:rsidRDefault="00813BF5" w:rsidP="00813BF5">
      <w:pPr>
        <w:pStyle w:val="NoSpacing"/>
        <w:widowControl w:val="0"/>
        <w:ind w:firstLine="284"/>
        <w:jc w:val="both"/>
        <w:rPr>
          <w:rFonts w:ascii="Garamond" w:hAnsi="Garamond"/>
          <w:spacing w:val="-4"/>
        </w:rPr>
      </w:pPr>
      <w:r w:rsidRPr="0058247E">
        <w:rPr>
          <w:rFonts w:ascii="Garamond" w:hAnsi="Garamond"/>
          <w:spacing w:val="-4"/>
        </w:rPr>
        <w:t>Neni 13 i Konventës parashikon si më poshtë:</w:t>
      </w:r>
    </w:p>
    <w:p w:rsidR="00813BF5" w:rsidRPr="0058247E" w:rsidRDefault="00813BF5" w:rsidP="00813BF5">
      <w:pPr>
        <w:pStyle w:val="NoSpacing"/>
        <w:widowControl w:val="0"/>
        <w:ind w:firstLine="284"/>
        <w:jc w:val="both"/>
        <w:rPr>
          <w:rFonts w:ascii="Garamond" w:hAnsi="Garamond"/>
          <w:spacing w:val="-4"/>
        </w:rPr>
      </w:pPr>
      <w:r w:rsidRPr="0058247E">
        <w:rPr>
          <w:rFonts w:ascii="Garamond" w:hAnsi="Garamond"/>
          <w:spacing w:val="-4"/>
        </w:rPr>
        <w:t>“Çdonjëri të drejtat dhe liritë e të cilit, siç parashikohen në Konventë, janë thyer, do të përfitojë një kompensim efektiv përpara një autoriteti kombëtar, pavarësisht faktit se thyerja mund të jetë bërë nga persona me një pozicion zyrtar.”.</w:t>
      </w:r>
    </w:p>
    <w:p w:rsidR="00813BF5" w:rsidRPr="0058247E" w:rsidRDefault="00813BF5" w:rsidP="00813BF5">
      <w:pPr>
        <w:pStyle w:val="NoSpacing"/>
        <w:widowControl w:val="0"/>
        <w:ind w:firstLine="284"/>
        <w:jc w:val="both"/>
        <w:rPr>
          <w:rFonts w:ascii="Garamond" w:hAnsi="Garamond"/>
          <w:spacing w:val="-4"/>
        </w:rPr>
      </w:pPr>
      <w:r w:rsidRPr="0058247E">
        <w:rPr>
          <w:rFonts w:ascii="Garamond" w:hAnsi="Garamond"/>
          <w:spacing w:val="-4"/>
        </w:rPr>
        <w:t xml:space="preserve">Neni 1 i protokollit nr. 1 i Konventës parashikon si më poshtë: </w:t>
      </w:r>
    </w:p>
    <w:p w:rsidR="00813BF5" w:rsidRPr="008A7937" w:rsidRDefault="00813BF5" w:rsidP="00813BF5">
      <w:pPr>
        <w:pStyle w:val="NoSpacing"/>
        <w:widowControl w:val="0"/>
        <w:ind w:firstLine="284"/>
        <w:jc w:val="both"/>
        <w:rPr>
          <w:rFonts w:ascii="Garamond" w:hAnsi="Garamond"/>
        </w:rPr>
      </w:pPr>
      <w:r w:rsidRPr="0058247E">
        <w:rPr>
          <w:rFonts w:ascii="Garamond" w:hAnsi="Garamond"/>
          <w:spacing w:val="-4"/>
        </w:rPr>
        <w:t xml:space="preserve">“Çdo person fizik ose juridik ka të drejtën e gëzimit paqësor të pasurisë së tij. Askush nuk </w:t>
      </w:r>
      <w:r w:rsidRPr="008A7937">
        <w:rPr>
          <w:rFonts w:ascii="Garamond" w:hAnsi="Garamond"/>
        </w:rPr>
        <w:t xml:space="preserve">mund të privohet nga prona e tij, përveçse për arsye të interesit publik dhe për kushtet e parashikuara nga ligji dhe nga parimet e përgjithshme të së drejtës ndërkombëtare. </w:t>
      </w:r>
    </w:p>
    <w:p w:rsidR="00813BF5" w:rsidRPr="008A7937" w:rsidRDefault="00813BF5" w:rsidP="00813BF5">
      <w:pPr>
        <w:pStyle w:val="NoSpacing"/>
        <w:widowControl w:val="0"/>
        <w:ind w:firstLine="284"/>
        <w:jc w:val="both"/>
        <w:rPr>
          <w:rFonts w:ascii="Garamond" w:hAnsi="Garamond"/>
        </w:rPr>
      </w:pPr>
      <w:r w:rsidRPr="008A7937">
        <w:rPr>
          <w:rFonts w:ascii="Garamond" w:hAnsi="Garamond"/>
        </w:rPr>
        <w:t>Megjithatë, dispozitat e mëparshme nuk c</w:t>
      </w:r>
      <w:r>
        <w:rPr>
          <w:rFonts w:ascii="Garamond" w:hAnsi="Garamond"/>
        </w:rPr>
        <w:t>e</w:t>
      </w:r>
      <w:r w:rsidRPr="008A7937">
        <w:rPr>
          <w:rFonts w:ascii="Garamond" w:hAnsi="Garamond"/>
        </w:rPr>
        <w:t>nojnë të drejtën e një shteti për të zbatuar ligje, që ai i çmon të nevojshme për të rregulluar përdorimin e pasurive në përputhje me interesin e përgjithshëm ose për të siguruar pagimin e taksave ose të kontributeve ose të gjobave të tjera.</w:t>
      </w:r>
      <w:r>
        <w:rPr>
          <w:rFonts w:ascii="Garamond" w:hAnsi="Garamond"/>
        </w:rPr>
        <w:t>”.</w:t>
      </w:r>
    </w:p>
    <w:p w:rsidR="00813BF5" w:rsidRPr="008A7937" w:rsidRDefault="00813BF5" w:rsidP="00813BF5">
      <w:pPr>
        <w:pStyle w:val="NoSpacing"/>
        <w:widowControl w:val="0"/>
        <w:numPr>
          <w:ilvl w:val="0"/>
          <w:numId w:val="21"/>
        </w:numPr>
        <w:ind w:left="0" w:firstLine="284"/>
        <w:jc w:val="both"/>
        <w:rPr>
          <w:rFonts w:ascii="Garamond" w:hAnsi="Garamond"/>
        </w:rPr>
      </w:pPr>
      <w:r>
        <w:rPr>
          <w:rFonts w:ascii="Garamond" w:hAnsi="Garamond"/>
          <w:b/>
        </w:rPr>
        <w:t xml:space="preserve"> </w:t>
      </w:r>
      <w:r w:rsidRPr="008A7937">
        <w:rPr>
          <w:rFonts w:ascii="Garamond" w:hAnsi="Garamond"/>
          <w:b/>
        </w:rPr>
        <w:t>PRANUESHMËRIA</w:t>
      </w:r>
    </w:p>
    <w:p w:rsidR="00813BF5" w:rsidRPr="008A7937" w:rsidRDefault="00813BF5" w:rsidP="00813BF5">
      <w:pPr>
        <w:pStyle w:val="NoSpacing"/>
        <w:widowControl w:val="0"/>
        <w:numPr>
          <w:ilvl w:val="0"/>
          <w:numId w:val="22"/>
        </w:numPr>
        <w:ind w:left="0" w:firstLine="284"/>
        <w:jc w:val="both"/>
        <w:rPr>
          <w:rFonts w:ascii="Garamond" w:hAnsi="Garamond"/>
        </w:rPr>
      </w:pPr>
      <w:r>
        <w:rPr>
          <w:rFonts w:ascii="Garamond" w:hAnsi="Garamond"/>
          <w:i/>
        </w:rPr>
        <w:t xml:space="preserve"> </w:t>
      </w:r>
      <w:r w:rsidRPr="008A7937">
        <w:rPr>
          <w:rFonts w:ascii="Garamond" w:hAnsi="Garamond"/>
          <w:i/>
        </w:rPr>
        <w:t>Paraqitja e një ankimi të parakohshëm</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Për sa i përket ankimit nr. 5207/10, qeveria parashtroi se ankuesi kishte kërkuar që të </w:t>
      </w:r>
      <w:r w:rsidRPr="008A7937">
        <w:rPr>
          <w:rFonts w:ascii="Garamond" w:hAnsi="Garamond"/>
        </w:rPr>
        <w:lastRenderedPageBreak/>
        <w:t xml:space="preserve">rishikohej vendimi i Komisionit dhe se procedurat administrative kishin mbetur pezull. Në lidhje me këtë, ata diskutuan zbatimin e procedurës së mirëpërcaktuar të vendimeve.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Gjykata vëren se ankuesi shfaqi pakënaqësi për moszbatimin e vendimit të Gjykatës së Lartë në lidhje me pagesën e kompensimit për 930 m</w:t>
      </w:r>
      <w:r w:rsidRPr="008A7937">
        <w:rPr>
          <w:rFonts w:ascii="Garamond" w:hAnsi="Garamond"/>
          <w:vertAlign w:val="superscript"/>
        </w:rPr>
        <w:t>2</w:t>
      </w:r>
      <w:r w:rsidRPr="008A7937">
        <w:rPr>
          <w:rFonts w:ascii="Garamond" w:hAnsi="Garamond"/>
        </w:rPr>
        <w:t>. Procedurat e mbetura pezull përpara autoriteteve administrative kanë lidhje me pjesën e mbetur të tokës me sipërfaqen prej 47,104 m</w:t>
      </w:r>
      <w:r w:rsidRPr="008A7937">
        <w:rPr>
          <w:rFonts w:ascii="Garamond" w:hAnsi="Garamond"/>
          <w:vertAlign w:val="superscript"/>
        </w:rPr>
        <w:t>2</w:t>
      </w:r>
      <w:r w:rsidRPr="008A7937">
        <w:rPr>
          <w:rFonts w:ascii="Garamond" w:hAnsi="Garamond"/>
        </w:rPr>
        <w:t>, e cila nuk është objekt i ankimit aktual (shiko paragrafin 12 më</w:t>
      </w:r>
      <w:r>
        <w:rPr>
          <w:rFonts w:ascii="Garamond" w:hAnsi="Garamond"/>
        </w:rPr>
        <w:t xml:space="preserve"> </w:t>
      </w:r>
      <w:r w:rsidRPr="008A7937">
        <w:rPr>
          <w:rFonts w:ascii="Garamond" w:hAnsi="Garamond"/>
        </w:rPr>
        <w:t>sipër). Për këtë arsye, Gjykata e rrëzon këtë kundërshtim të Qeverisë dhe gjykon se çështja e ngritur në këtë ankesë është objekt i një vendimi të mirë</w:t>
      </w:r>
      <w:r>
        <w:rPr>
          <w:rFonts w:ascii="Garamond" w:hAnsi="Garamond"/>
        </w:rPr>
        <w:t>-</w:t>
      </w:r>
      <w:r w:rsidRPr="008A7937">
        <w:rPr>
          <w:rFonts w:ascii="Garamond" w:hAnsi="Garamond"/>
        </w:rPr>
        <w:t xml:space="preserve">përcaktuar. </w:t>
      </w:r>
    </w:p>
    <w:p w:rsidR="00813BF5" w:rsidRPr="008A7937" w:rsidRDefault="00813BF5" w:rsidP="00813BF5">
      <w:pPr>
        <w:pStyle w:val="NoSpacing"/>
        <w:widowControl w:val="0"/>
        <w:numPr>
          <w:ilvl w:val="0"/>
          <w:numId w:val="22"/>
        </w:numPr>
        <w:ind w:left="0" w:firstLine="284"/>
        <w:jc w:val="both"/>
        <w:rPr>
          <w:rFonts w:ascii="Garamond" w:hAnsi="Garamond"/>
        </w:rPr>
      </w:pPr>
      <w:r>
        <w:rPr>
          <w:rFonts w:ascii="Garamond" w:hAnsi="Garamond"/>
          <w:i/>
        </w:rPr>
        <w:t xml:space="preserve"> </w:t>
      </w:r>
      <w:r w:rsidRPr="008A7937">
        <w:rPr>
          <w:rFonts w:ascii="Garamond" w:hAnsi="Garamond"/>
          <w:i/>
        </w:rPr>
        <w:t>Pajtueshmëria patione personae</w:t>
      </w:r>
      <w:r>
        <w:rPr>
          <w:rFonts w:ascii="Garamond" w:hAnsi="Garamond"/>
        </w:rPr>
        <w:t xml:space="preserve"> </w:t>
      </w:r>
    </w:p>
    <w:p w:rsidR="00813BF5" w:rsidRPr="008A7937" w:rsidRDefault="00813BF5" w:rsidP="00813BF5">
      <w:pPr>
        <w:pStyle w:val="NoSpacing"/>
        <w:widowControl w:val="0"/>
        <w:numPr>
          <w:ilvl w:val="0"/>
          <w:numId w:val="23"/>
        </w:numPr>
        <w:ind w:left="0" w:firstLine="284"/>
        <w:jc w:val="both"/>
        <w:rPr>
          <w:rFonts w:ascii="Garamond" w:hAnsi="Garamond"/>
          <w:b/>
        </w:rPr>
      </w:pPr>
      <w:r>
        <w:rPr>
          <w:rFonts w:ascii="Garamond" w:hAnsi="Garamond"/>
          <w:b/>
        </w:rPr>
        <w:t xml:space="preserve"> </w:t>
      </w:r>
      <w:r w:rsidRPr="008A7937">
        <w:rPr>
          <w:rFonts w:ascii="Garamond" w:hAnsi="Garamond"/>
          <w:b/>
        </w:rPr>
        <w:t>Në lidhje me ankimin nr. 36228/10</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Më 19 </w:t>
      </w:r>
      <w:r>
        <w:rPr>
          <w:rFonts w:ascii="Garamond" w:hAnsi="Garamond"/>
        </w:rPr>
        <w:t>g</w:t>
      </w:r>
      <w:r w:rsidRPr="008A7937">
        <w:rPr>
          <w:rFonts w:ascii="Garamond" w:hAnsi="Garamond"/>
        </w:rPr>
        <w:t xml:space="preserve">usht 2014, z. Erol Hasa shprehu dëshirën për të ndjekur procedimet në emër të babait të tij, i cili vdiq më 23 </w:t>
      </w:r>
      <w:r>
        <w:rPr>
          <w:rFonts w:ascii="Garamond" w:hAnsi="Garamond"/>
        </w:rPr>
        <w:t>m</w:t>
      </w:r>
      <w:r w:rsidRPr="008A7937">
        <w:rPr>
          <w:rFonts w:ascii="Garamond" w:hAnsi="Garamond"/>
        </w:rPr>
        <w:t xml:space="preserve">aj 2014. Ai paraqiti një dokument noterial në anglisht, kopja origjinale e të cilit nuk u dorëzua, që e njihte atë si të vetmin pasardhës. Ai nuk paraqiti një dokument i cili e njihte atë si trashëgimtar, sipas ligjit shqiptar. Në këto rrethana, Gjykata shprehet se z. Erol Hasa nuk mund të pretendojë të dalë përpara Gjykatës ligjërisht. Për këtë arsye, ky ankim duhet kundërshtuar në përputhje me </w:t>
      </w:r>
      <w:r>
        <w:rPr>
          <w:rFonts w:ascii="Garamond" w:hAnsi="Garamond"/>
        </w:rPr>
        <w:t>n</w:t>
      </w:r>
      <w:r w:rsidRPr="008A7937">
        <w:rPr>
          <w:rFonts w:ascii="Garamond" w:hAnsi="Garamond"/>
        </w:rPr>
        <w:t xml:space="preserve">enin 35 §§ 3 (a) dhe 4 të Konventës. </w:t>
      </w:r>
    </w:p>
    <w:p w:rsidR="00813BF5" w:rsidRPr="008A7937" w:rsidRDefault="00813BF5" w:rsidP="00813BF5">
      <w:pPr>
        <w:pStyle w:val="NoSpacing"/>
        <w:widowControl w:val="0"/>
        <w:numPr>
          <w:ilvl w:val="0"/>
          <w:numId w:val="23"/>
        </w:numPr>
        <w:ind w:left="0" w:firstLine="284"/>
        <w:jc w:val="both"/>
        <w:rPr>
          <w:rFonts w:ascii="Garamond" w:hAnsi="Garamond"/>
          <w:b/>
        </w:rPr>
      </w:pPr>
      <w:r>
        <w:rPr>
          <w:rFonts w:ascii="Garamond" w:hAnsi="Garamond"/>
          <w:b/>
        </w:rPr>
        <w:t xml:space="preserve"> </w:t>
      </w:r>
      <w:r w:rsidRPr="008A7937">
        <w:rPr>
          <w:rFonts w:ascii="Garamond" w:hAnsi="Garamond"/>
          <w:b/>
        </w:rPr>
        <w:t>Në lidhje me ankimin nr. 40751/10</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Formulari i ankimit u dorëzua në emër të të gjithë ankuesve, por ai u firmos nga z. Gëzim Kaciu dhe z. Edmir Merlika, të cilët vepronin në emrin e</w:t>
      </w:r>
      <w:r>
        <w:rPr>
          <w:rFonts w:ascii="Garamond" w:hAnsi="Garamond"/>
        </w:rPr>
        <w:t xml:space="preserve"> </w:t>
      </w:r>
      <w:r w:rsidRPr="008A7937">
        <w:rPr>
          <w:rFonts w:ascii="Garamond" w:hAnsi="Garamond"/>
        </w:rPr>
        <w:t xml:space="preserve">tyre. Më 25 </w:t>
      </w:r>
      <w:r>
        <w:rPr>
          <w:rFonts w:ascii="Garamond" w:hAnsi="Garamond"/>
        </w:rPr>
        <w:t>t</w:t>
      </w:r>
      <w:r w:rsidRPr="008A7937">
        <w:rPr>
          <w:rFonts w:ascii="Garamond" w:hAnsi="Garamond"/>
        </w:rPr>
        <w:t>etor 2010, të gjithë ankuesve iu kërkua të dorëzonin prokurat e firmosura rregullisht, ku autorizohej z. Gëzim Kaciu dhe z. Edmir Merlika. Si përgjigje e kësaj, ata zbatuan kërkesën. Megjithatë, znj. Shpresa Merlika, e cila isht</w:t>
      </w:r>
      <w:r>
        <w:rPr>
          <w:rFonts w:ascii="Garamond" w:hAnsi="Garamond"/>
        </w:rPr>
        <w:t>e</w:t>
      </w:r>
      <w:r w:rsidRPr="008A7937">
        <w:rPr>
          <w:rFonts w:ascii="Garamond" w:hAnsi="Garamond"/>
        </w:rPr>
        <w:t xml:space="preserve"> njëra nga ankuesit, nuk e dorëzoi prokurën. Një prokurë e datës 26 </w:t>
      </w:r>
      <w:r>
        <w:rPr>
          <w:rFonts w:ascii="Garamond" w:hAnsi="Garamond"/>
        </w:rPr>
        <w:t>t</w:t>
      </w:r>
      <w:r w:rsidRPr="008A7937">
        <w:rPr>
          <w:rFonts w:ascii="Garamond" w:hAnsi="Garamond"/>
        </w:rPr>
        <w:t>etor 2007</w:t>
      </w:r>
      <w:r>
        <w:rPr>
          <w:rFonts w:ascii="Garamond" w:hAnsi="Garamond"/>
        </w:rPr>
        <w:t>,</w:t>
      </w:r>
      <w:r w:rsidRPr="008A7937">
        <w:rPr>
          <w:rFonts w:ascii="Garamond" w:hAnsi="Garamond"/>
        </w:rPr>
        <w:t xml:space="preserve"> autorizonte z. Gëzim Kaciu dhe z. Edmir Merlika të përfaqë</w:t>
      </w:r>
      <w:r>
        <w:rPr>
          <w:rFonts w:ascii="Garamond" w:hAnsi="Garamond"/>
        </w:rPr>
        <w:t>-</w:t>
      </w:r>
      <w:r w:rsidRPr="008A7937">
        <w:rPr>
          <w:rFonts w:ascii="Garamond" w:hAnsi="Garamond"/>
        </w:rPr>
        <w:t>sonte znj. Shpresa Merlika vetëm përpara Komisionit. Në këto rrethana, nuk mund të gjykohet se znj. Shpresa Merlika i ka dhënë u</w:t>
      </w:r>
      <w:r>
        <w:rPr>
          <w:rFonts w:ascii="Garamond" w:hAnsi="Garamond"/>
        </w:rPr>
        <w:t>d</w:t>
      </w:r>
      <w:r w:rsidRPr="008A7937">
        <w:rPr>
          <w:rFonts w:ascii="Garamond" w:hAnsi="Garamond"/>
        </w:rPr>
        <w:t xml:space="preserve">hëzime të detajuara dhe specifike z. Gëzim Kaciut ose Edmir Merlikës për të vepruar në emrin e saj. Kështu, ajo nuk mund të pretendojë se ka dorëzuar një ankesë dhe se është viktimë sipas interpretimit të </w:t>
      </w:r>
      <w:r>
        <w:rPr>
          <w:rFonts w:ascii="Garamond" w:hAnsi="Garamond"/>
        </w:rPr>
        <w:t>n</w:t>
      </w:r>
      <w:r w:rsidRPr="008A7937">
        <w:rPr>
          <w:rFonts w:ascii="Garamond" w:hAnsi="Garamond"/>
        </w:rPr>
        <w:t xml:space="preserve">enit 34 të Konventës (shiko </w:t>
      </w:r>
      <w:r w:rsidRPr="008A7937">
        <w:rPr>
          <w:rFonts w:ascii="Garamond" w:hAnsi="Garamond"/>
          <w:i/>
        </w:rPr>
        <w:t xml:space="preserve">Post kundër Hollandës, </w:t>
      </w:r>
      <w:r w:rsidRPr="008A7937">
        <w:rPr>
          <w:rFonts w:ascii="Garamond" w:hAnsi="Garamond"/>
        </w:rPr>
        <w:t xml:space="preserve">(vend.), ankimi nr. 2727/08, 20 </w:t>
      </w:r>
      <w:r>
        <w:rPr>
          <w:rFonts w:ascii="Garamond" w:hAnsi="Garamond"/>
        </w:rPr>
        <w:t>j</w:t>
      </w:r>
      <w:r w:rsidRPr="008A7937">
        <w:rPr>
          <w:rFonts w:ascii="Garamond" w:hAnsi="Garamond"/>
        </w:rPr>
        <w:t xml:space="preserve">anar 2009; </w:t>
      </w:r>
      <w:r w:rsidRPr="008A7937">
        <w:rPr>
          <w:rFonts w:ascii="Garamond" w:hAnsi="Garamond"/>
          <w:i/>
        </w:rPr>
        <w:t>K.M. dhe të tjerët kundër Rusisë</w:t>
      </w:r>
      <w:r w:rsidRPr="008A7937">
        <w:rPr>
          <w:rFonts w:ascii="Garamond" w:hAnsi="Garamond"/>
        </w:rPr>
        <w:t xml:space="preserve"> (vend.), nr. 46086/07, 29 </w:t>
      </w:r>
      <w:r>
        <w:rPr>
          <w:rFonts w:ascii="Garamond" w:hAnsi="Garamond"/>
        </w:rPr>
        <w:t>p</w:t>
      </w:r>
      <w:r w:rsidRPr="008A7937">
        <w:rPr>
          <w:rFonts w:ascii="Garamond" w:hAnsi="Garamond"/>
        </w:rPr>
        <w:t xml:space="preserve">rill 2010; </w:t>
      </w:r>
      <w:r w:rsidRPr="008A7937">
        <w:rPr>
          <w:rFonts w:ascii="Garamond" w:hAnsi="Garamond"/>
          <w:i/>
        </w:rPr>
        <w:t>Şükrü Çetin kundër Turqisë</w:t>
      </w:r>
      <w:r w:rsidRPr="008A7937">
        <w:rPr>
          <w:rFonts w:ascii="Garamond" w:hAnsi="Garamond"/>
        </w:rPr>
        <w:t xml:space="preserve"> (vend.), nr. 10449/08, 13 </w:t>
      </w:r>
      <w:r>
        <w:rPr>
          <w:rFonts w:ascii="Garamond" w:hAnsi="Garamond"/>
        </w:rPr>
        <w:t>s</w:t>
      </w:r>
      <w:r w:rsidRPr="008A7937">
        <w:rPr>
          <w:rFonts w:ascii="Garamond" w:hAnsi="Garamond"/>
        </w:rPr>
        <w:t xml:space="preserve">htator 2011, dhe </w:t>
      </w:r>
      <w:r w:rsidRPr="008A7937">
        <w:rPr>
          <w:rFonts w:ascii="Garamond" w:hAnsi="Garamond"/>
          <w:i/>
        </w:rPr>
        <w:t>Renata CYTACKA dhe të tjerët kundër Lituanisë</w:t>
      </w:r>
      <w:r w:rsidRPr="008A7937">
        <w:rPr>
          <w:rFonts w:ascii="Garamond" w:hAnsi="Garamond"/>
        </w:rPr>
        <w:t xml:space="preserve"> (vend.), 53788/08, 10 </w:t>
      </w:r>
      <w:r>
        <w:rPr>
          <w:rFonts w:ascii="Garamond" w:hAnsi="Garamond"/>
        </w:rPr>
        <w:t>k</w:t>
      </w:r>
      <w:r w:rsidRPr="008A7937">
        <w:rPr>
          <w:rFonts w:ascii="Garamond" w:hAnsi="Garamond"/>
        </w:rPr>
        <w:t xml:space="preserve">orrik 2012), kështu kjo pjesë e ankimit duhet të kundërshtohet sipas </w:t>
      </w:r>
      <w:r>
        <w:rPr>
          <w:rFonts w:ascii="Garamond" w:hAnsi="Garamond"/>
        </w:rPr>
        <w:t>n</w:t>
      </w:r>
      <w:r w:rsidRPr="008A7937">
        <w:rPr>
          <w:rFonts w:ascii="Garamond" w:hAnsi="Garamond"/>
        </w:rPr>
        <w:t xml:space="preserve">enit 35 §§ 3 (a) dhe 4 të Konventës.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Më 26 </w:t>
      </w:r>
      <w:r>
        <w:rPr>
          <w:rFonts w:ascii="Garamond" w:hAnsi="Garamond"/>
        </w:rPr>
        <w:t>g</w:t>
      </w:r>
      <w:r w:rsidRPr="008A7937">
        <w:rPr>
          <w:rFonts w:ascii="Garamond" w:hAnsi="Garamond"/>
        </w:rPr>
        <w:t>usht 2014, z. Edmir Merlika, i cili ishte njëri nga ankuesit, pranoi se ai nuk kish</w:t>
      </w:r>
      <w:r>
        <w:rPr>
          <w:rFonts w:ascii="Garamond" w:hAnsi="Garamond"/>
        </w:rPr>
        <w:t>i</w:t>
      </w:r>
      <w:r w:rsidRPr="008A7937">
        <w:rPr>
          <w:rFonts w:ascii="Garamond" w:hAnsi="Garamond"/>
        </w:rPr>
        <w:t xml:space="preserve">t të drejtë ligjore të ndiqte procedurat përpara Gjykatës. Ai nuk ishte njëri nga trashëgimtarët ligjorë të pronarit të mëparshëm, por babai i tij, z. Kujtim Merlika, po. Në këto rrethana, Gjykata pranon këtë parashtrim dhe gjykon se kjo pjesë e ankimit duhet kundërshtuar sipas </w:t>
      </w:r>
      <w:r>
        <w:rPr>
          <w:rFonts w:ascii="Garamond" w:hAnsi="Garamond"/>
        </w:rPr>
        <w:t>n</w:t>
      </w:r>
      <w:r w:rsidRPr="008A7937">
        <w:rPr>
          <w:rFonts w:ascii="Garamond" w:hAnsi="Garamond"/>
        </w:rPr>
        <w:t xml:space="preserve">enit 35 §§ 3 (a) dhe 4 të Konventës. </w:t>
      </w:r>
    </w:p>
    <w:p w:rsidR="00813BF5" w:rsidRPr="008A7937" w:rsidRDefault="00813BF5" w:rsidP="00813BF5">
      <w:pPr>
        <w:pStyle w:val="NoSpacing"/>
        <w:widowControl w:val="0"/>
        <w:numPr>
          <w:ilvl w:val="0"/>
          <w:numId w:val="23"/>
        </w:numPr>
        <w:ind w:left="0" w:firstLine="284"/>
        <w:jc w:val="both"/>
        <w:rPr>
          <w:rFonts w:ascii="Garamond" w:hAnsi="Garamond"/>
          <w:b/>
        </w:rPr>
      </w:pPr>
      <w:r>
        <w:rPr>
          <w:rFonts w:ascii="Garamond" w:hAnsi="Garamond"/>
          <w:b/>
        </w:rPr>
        <w:t xml:space="preserve"> </w:t>
      </w:r>
      <w:r w:rsidRPr="008A7937">
        <w:rPr>
          <w:rFonts w:ascii="Garamond" w:hAnsi="Garamond"/>
          <w:b/>
        </w:rPr>
        <w:t>Në lidhje me ankimin nr. 48522/10</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Z. Vasil Dhimerlika nuk dorëzoi formu</w:t>
      </w:r>
      <w:r>
        <w:rPr>
          <w:rFonts w:ascii="Garamond" w:hAnsi="Garamond"/>
        </w:rPr>
        <w:t>-</w:t>
      </w:r>
      <w:r w:rsidRPr="008A7937">
        <w:rPr>
          <w:rFonts w:ascii="Garamond" w:hAnsi="Garamond"/>
        </w:rPr>
        <w:t xml:space="preserve">larin e autoritetit për përfaqësimin e tij në procedimet përpara Gjykatës.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Gjykata vëren se z. Vasil Dhi</w:t>
      </w:r>
      <w:r>
        <w:rPr>
          <w:rFonts w:ascii="Garamond" w:hAnsi="Garamond"/>
        </w:rPr>
        <w:t>mertika nuk e paraqiti prokurën</w:t>
      </w:r>
      <w:r w:rsidRPr="008A7937">
        <w:rPr>
          <w:rFonts w:ascii="Garamond" w:hAnsi="Garamond"/>
        </w:rPr>
        <w:t xml:space="preserve"> dhe as nuk e firmosi formularin e aplikimit. Në këto rrethana, nuk mund të gjykohet se z. Vasil Dhimerlika i ka dhënë avokatit të tij udhëzime të detajuara dhe specifike për të vepruar në emrin e tij. Kështu, ai nuk mund të pretendojë se ka dorëzuar një ankim dhe se është viktimë sipas interpretimit të </w:t>
      </w:r>
      <w:r>
        <w:rPr>
          <w:rFonts w:ascii="Garamond" w:hAnsi="Garamond"/>
        </w:rPr>
        <w:t>n</w:t>
      </w:r>
      <w:r w:rsidRPr="008A7937">
        <w:rPr>
          <w:rFonts w:ascii="Garamond" w:hAnsi="Garamond"/>
        </w:rPr>
        <w:t>enit 34 të Konventës (shiko</w:t>
      </w:r>
      <w:r>
        <w:rPr>
          <w:rFonts w:ascii="Garamond" w:hAnsi="Garamond"/>
        </w:rPr>
        <w:t>,</w:t>
      </w:r>
      <w:r w:rsidRPr="008A7937">
        <w:rPr>
          <w:rFonts w:ascii="Garamond" w:hAnsi="Garamond"/>
        </w:rPr>
        <w:t xml:space="preserve"> gjithashtu</w:t>
      </w:r>
      <w:r>
        <w:rPr>
          <w:rFonts w:ascii="Garamond" w:hAnsi="Garamond"/>
        </w:rPr>
        <w:t>,</w:t>
      </w:r>
      <w:r w:rsidRPr="008A7937">
        <w:rPr>
          <w:rFonts w:ascii="Garamond" w:hAnsi="Garamond"/>
        </w:rPr>
        <w:t xml:space="preserve"> paragrafin 35 më</w:t>
      </w:r>
      <w:r>
        <w:rPr>
          <w:rFonts w:ascii="Garamond" w:hAnsi="Garamond"/>
        </w:rPr>
        <w:t xml:space="preserve"> </w:t>
      </w:r>
      <w:r w:rsidRPr="008A7937">
        <w:rPr>
          <w:rFonts w:ascii="Garamond" w:hAnsi="Garamond"/>
        </w:rPr>
        <w:t xml:space="preserve">sipër) dhe kjo pjesë e ankimit duhet kundërshtuar sipas </w:t>
      </w:r>
      <w:r>
        <w:rPr>
          <w:rFonts w:ascii="Garamond" w:hAnsi="Garamond"/>
        </w:rPr>
        <w:t>n</w:t>
      </w:r>
      <w:r w:rsidRPr="008A7937">
        <w:rPr>
          <w:rFonts w:ascii="Garamond" w:hAnsi="Garamond"/>
        </w:rPr>
        <w:t xml:space="preserve">enit 35 §§ 3 (a) dhe 4 të Konventës. </w:t>
      </w:r>
    </w:p>
    <w:p w:rsidR="00813BF5" w:rsidRPr="001F1B81" w:rsidRDefault="00813BF5" w:rsidP="00813BF5">
      <w:pPr>
        <w:pStyle w:val="NoSpacing"/>
        <w:widowControl w:val="0"/>
        <w:numPr>
          <w:ilvl w:val="0"/>
          <w:numId w:val="22"/>
        </w:numPr>
        <w:ind w:left="0" w:firstLine="284"/>
        <w:jc w:val="both"/>
        <w:rPr>
          <w:rFonts w:ascii="Garamond" w:hAnsi="Garamond"/>
        </w:rPr>
      </w:pPr>
      <w:r>
        <w:rPr>
          <w:rFonts w:ascii="Garamond" w:hAnsi="Garamond"/>
          <w:i/>
        </w:rPr>
        <w:t xml:space="preserve"> </w:t>
      </w:r>
      <w:r w:rsidRPr="008A7937">
        <w:rPr>
          <w:rFonts w:ascii="Garamond" w:hAnsi="Garamond"/>
          <w:i/>
        </w:rPr>
        <w:t>Në lidhje me pjesën e mbetur të ankimeve dhe të ankuesve</w:t>
      </w:r>
    </w:p>
    <w:p w:rsidR="00813BF5" w:rsidRPr="008A7937" w:rsidRDefault="00813BF5" w:rsidP="00813BF5">
      <w:pPr>
        <w:pStyle w:val="NoSpacing"/>
        <w:widowControl w:val="0"/>
        <w:ind w:left="284"/>
        <w:jc w:val="both"/>
        <w:rPr>
          <w:rFonts w:ascii="Garamond" w:hAnsi="Garamond"/>
        </w:rPr>
      </w:pP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Qeveria nuk ngriti ndonjë kundërshtim në lidhje me pozitën ligjore të pjesës së mbetur të ankuesve dhe me pranueshmërinë e pjesës së mbetur të ankesave.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Gjykata thekson se këto ankesa nuk janë të pabazuara në fakte sipas interpretimit të nenit 35 § 3 (a) të Konventës. Më tej, ajo thekson se ato nuk janë të papranueshme sipas ndonjë argumenti tjetër. Kështu, ato duhet të deklarohen të pranueshme. </w:t>
      </w:r>
    </w:p>
    <w:p w:rsidR="00813BF5" w:rsidRPr="0058247E" w:rsidRDefault="00813BF5" w:rsidP="00813BF5">
      <w:pPr>
        <w:pStyle w:val="NoSpacing"/>
        <w:widowControl w:val="0"/>
        <w:numPr>
          <w:ilvl w:val="0"/>
          <w:numId w:val="21"/>
        </w:numPr>
        <w:ind w:left="0" w:firstLine="284"/>
        <w:jc w:val="both"/>
        <w:rPr>
          <w:rFonts w:ascii="Garamond" w:hAnsi="Garamond"/>
          <w:spacing w:val="-4"/>
        </w:rPr>
      </w:pPr>
      <w:r w:rsidRPr="0058247E">
        <w:rPr>
          <w:rFonts w:ascii="Garamond" w:hAnsi="Garamond"/>
          <w:b/>
          <w:spacing w:val="-4"/>
        </w:rPr>
        <w:t xml:space="preserve"> CILËSITË</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Përveç kundërshtimit të ngritur në lidhje me ankimin nr. 5207/10, i cili u shqyrtua dhe u kundërshtua nga Gjykata (shiko paragrafët 32–33 më sipër), qeveria nuk debatoi për cilësitë e ankesave të ankuesve.</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lastRenderedPageBreak/>
        <w:t xml:space="preserve"> Në lidhje me rezultatet në çështjet e mëparshme kundër Shqipërisë për të cilat qeveria nuk paraqiti argumente të cilat do të garantonin një shmangie prej tyre (shiko, midis të tjerëve, </w:t>
      </w:r>
      <w:r w:rsidRPr="0058247E">
        <w:rPr>
          <w:rFonts w:ascii="Garamond" w:hAnsi="Garamond"/>
          <w:i/>
          <w:spacing w:val="-4"/>
        </w:rPr>
        <w:t xml:space="preserve">Manushaqe Puto dhe të tjerët, </w:t>
      </w:r>
      <w:r w:rsidRPr="0058247E">
        <w:rPr>
          <w:rFonts w:ascii="Garamond" w:hAnsi="Garamond"/>
          <w:spacing w:val="-4"/>
        </w:rPr>
        <w:t xml:space="preserve">cituar më sipër, §§ 93–97 dhe referencat cituar në vijim; dhe së fundmi, </w:t>
      </w:r>
      <w:r w:rsidRPr="0058247E">
        <w:rPr>
          <w:rFonts w:ascii="Garamond" w:hAnsi="Garamond"/>
          <w:i/>
          <w:spacing w:val="-4"/>
        </w:rPr>
        <w:t>Sharra dhe të tjerët</w:t>
      </w:r>
      <w:r w:rsidRPr="0058247E">
        <w:rPr>
          <w:rFonts w:ascii="Garamond" w:hAnsi="Garamond"/>
          <w:spacing w:val="-4"/>
        </w:rPr>
        <w:t xml:space="preserve">, cituar më sipër, §§ 49–51; </w:t>
      </w:r>
      <w:r w:rsidRPr="0058247E">
        <w:rPr>
          <w:rFonts w:ascii="Garamond" w:hAnsi="Garamond"/>
          <w:i/>
          <w:spacing w:val="-4"/>
        </w:rPr>
        <w:t>Metalla dhe të tjerët</w:t>
      </w:r>
      <w:r w:rsidRPr="0058247E">
        <w:rPr>
          <w:rFonts w:ascii="Garamond" w:hAnsi="Garamond"/>
          <w:spacing w:val="-4"/>
        </w:rPr>
        <w:t xml:space="preserve"> cituar më sipër, §§ 29–31; </w:t>
      </w:r>
      <w:r w:rsidRPr="0058247E">
        <w:rPr>
          <w:rFonts w:ascii="Garamond" w:hAnsi="Garamond"/>
          <w:i/>
          <w:spacing w:val="-4"/>
        </w:rPr>
        <w:t>Siliqi dhe të tjerët</w:t>
      </w:r>
      <w:r w:rsidRPr="0058247E">
        <w:rPr>
          <w:rFonts w:ascii="Garamond" w:hAnsi="Garamond"/>
          <w:spacing w:val="-4"/>
        </w:rPr>
        <w:t xml:space="preserve">, cituar më sipër, §§ 19), Gjykata konstaton se autoritetet vendase, për kaq shumë vite, nuk zbatuan vendimet vendase të formës së prerë dhe rezulton se nuk paguan kompensimin e akorduar dhe shkelën të drejtat e ankuesve sipas nenit 6 § 1 dhe sipas nenit 1të protokollit nr. 1 të Konventës.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Gjithashtu, Gjykata përfundon se nuk kishte, dhe vazhdon të mos ketë, shpërblime efikase vendase, të cilat mundësonin një rregullim të përshtatshëm dhe të mjaftueshëm për moszbatimin e tejzgjatur të vendimeve vendase të formës së prerë, të cilat akordonin kompensim. Kështu, ka një shkelje të nenit 13 të Konventës (shiko </w:t>
      </w:r>
      <w:r w:rsidRPr="0058247E">
        <w:rPr>
          <w:rFonts w:ascii="Garamond" w:hAnsi="Garamond"/>
          <w:i/>
          <w:spacing w:val="-4"/>
        </w:rPr>
        <w:t>Manushaqe Puto dhe të tjerët</w:t>
      </w:r>
      <w:r w:rsidRPr="0058247E">
        <w:rPr>
          <w:rFonts w:ascii="Garamond" w:hAnsi="Garamond"/>
          <w:spacing w:val="-4"/>
        </w:rPr>
        <w:t xml:space="preserve">, cituar më sipër, §§ 72–84 dhe referencat e cituara në të). </w:t>
      </w:r>
    </w:p>
    <w:p w:rsidR="00813BF5" w:rsidRPr="0058247E" w:rsidRDefault="00813BF5" w:rsidP="00813BF5">
      <w:pPr>
        <w:pStyle w:val="NoSpacing"/>
        <w:widowControl w:val="0"/>
        <w:numPr>
          <w:ilvl w:val="0"/>
          <w:numId w:val="20"/>
        </w:numPr>
        <w:ind w:left="0" w:firstLine="284"/>
        <w:jc w:val="both"/>
        <w:rPr>
          <w:rFonts w:ascii="Garamond" w:hAnsi="Garamond"/>
          <w:spacing w:val="-4"/>
        </w:rPr>
      </w:pPr>
      <w:r w:rsidRPr="0058247E">
        <w:rPr>
          <w:rFonts w:ascii="Garamond" w:hAnsi="Garamond"/>
          <w:spacing w:val="-4"/>
        </w:rPr>
        <w:t xml:space="preserve"> SHKELJE E PRETENDUAR E NENIT 6 § 1 E KONVENTËS NË LIDHJE ME KOHËZGJATJEN E PROCEDIMEVE</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Ankuesit në ankimet nr. 24468/10, 39492/10, 39495/10 dhe 48522/10 u ankuan sipas nenit 6 §1 për kohëzgjatjen e procedurave si rezultat i moszbatimit të vendimeve të Komisionit.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Gjykata vëren se kjo ankesë nuk është e pabazuar sipas interpretimit të nenit 35 § 3 (a) të Konventës. Më tej, ajo vëren se nuk është e papranueshme në ndonjë argument tjetër dhe për këtë arsye e deklaron atë të pranueshëm.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Gjykata argumenton se sipas gjetjeve në paragrafët 42–43 më sipër, çështja e kohëzgjatjes së procedurave duhet të konsiderohet se është përfshirë në çështjen e mospërfshirjes (shiko, për shembull, </w:t>
      </w:r>
      <w:r w:rsidRPr="0058247E">
        <w:rPr>
          <w:rFonts w:ascii="Garamond" w:hAnsi="Garamond"/>
          <w:i/>
          <w:spacing w:val="-4"/>
        </w:rPr>
        <w:t>Kutić kundër Kroacisë</w:t>
      </w:r>
      <w:r w:rsidRPr="0058247E">
        <w:rPr>
          <w:rFonts w:ascii="Garamond" w:hAnsi="Garamond"/>
          <w:spacing w:val="-4"/>
        </w:rPr>
        <w:t xml:space="preserve">, nr. 48778/99, § 34, GJEDNJ 2002–II dhe </w:t>
      </w:r>
      <w:r w:rsidRPr="0058247E">
        <w:rPr>
          <w:rFonts w:ascii="Garamond" w:hAnsi="Garamond"/>
          <w:i/>
          <w:spacing w:val="-4"/>
        </w:rPr>
        <w:t xml:space="preserve">Popova kundër Rusisë, </w:t>
      </w:r>
      <w:r w:rsidRPr="0058247E">
        <w:rPr>
          <w:rFonts w:ascii="Garamond" w:hAnsi="Garamond"/>
          <w:spacing w:val="-4"/>
        </w:rPr>
        <w:t xml:space="preserve">nr. 23697/02, § 44, 21 dhjetor 2006). Për këtë arsye, gjykata mendon se nuk është e nevojshme ta shqyrtojë këtë ankesë më veçantë. </w:t>
      </w:r>
    </w:p>
    <w:p w:rsidR="00813BF5" w:rsidRPr="0058247E" w:rsidRDefault="00813BF5" w:rsidP="00813BF5">
      <w:pPr>
        <w:pStyle w:val="NoSpacing"/>
        <w:widowControl w:val="0"/>
        <w:numPr>
          <w:ilvl w:val="0"/>
          <w:numId w:val="20"/>
        </w:numPr>
        <w:ind w:left="0" w:firstLine="284"/>
        <w:jc w:val="both"/>
        <w:rPr>
          <w:rFonts w:ascii="Garamond" w:hAnsi="Garamond"/>
          <w:spacing w:val="-4"/>
        </w:rPr>
      </w:pPr>
      <w:r w:rsidRPr="0058247E">
        <w:rPr>
          <w:rFonts w:ascii="Garamond" w:hAnsi="Garamond"/>
          <w:spacing w:val="-4"/>
        </w:rPr>
        <w:t xml:space="preserve"> ZBATIMI I NENIT 41 TË KONVE-NTËS</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Neni 41 i Konventës parashikon: </w:t>
      </w:r>
    </w:p>
    <w:p w:rsidR="00813BF5" w:rsidRPr="0058247E" w:rsidRDefault="00813BF5" w:rsidP="00813BF5">
      <w:pPr>
        <w:pStyle w:val="NoSpacing"/>
        <w:widowControl w:val="0"/>
        <w:ind w:firstLine="284"/>
        <w:jc w:val="both"/>
        <w:rPr>
          <w:rFonts w:ascii="Garamond" w:hAnsi="Garamond"/>
          <w:spacing w:val="-4"/>
        </w:rPr>
      </w:pPr>
      <w:r w:rsidRPr="0058247E">
        <w:rPr>
          <w:rFonts w:ascii="Garamond" w:hAnsi="Garamond"/>
          <w:spacing w:val="-4"/>
        </w:rPr>
        <w:t>“Nëse Gjykata konstaton se ka pasur një shkelje të Konventës ose të protokolleve në të, dhe nëse ligji i brendshëm i Palës së Lartë Kontraktuese në fjalë lejon që të bëhet vetëm kompensim i pjesshëm, nëse është e nevojshme, Gjykata duhet të ofrojë kompensim të drejtë për palën e dëmtuar.”</w:t>
      </w:r>
    </w:p>
    <w:p w:rsidR="00813BF5" w:rsidRPr="0058247E" w:rsidRDefault="00813BF5" w:rsidP="00813BF5">
      <w:pPr>
        <w:pStyle w:val="NoSpacing"/>
        <w:widowControl w:val="0"/>
        <w:numPr>
          <w:ilvl w:val="0"/>
          <w:numId w:val="24"/>
        </w:numPr>
        <w:ind w:left="0" w:firstLine="284"/>
        <w:jc w:val="both"/>
        <w:rPr>
          <w:rFonts w:ascii="Garamond" w:hAnsi="Garamond"/>
          <w:spacing w:val="-4"/>
        </w:rPr>
      </w:pPr>
      <w:r w:rsidRPr="0058247E">
        <w:rPr>
          <w:rFonts w:ascii="Garamond" w:hAnsi="Garamond"/>
          <w:b/>
          <w:spacing w:val="-4"/>
        </w:rPr>
        <w:t xml:space="preserve"> DËMI</w:t>
      </w:r>
    </w:p>
    <w:p w:rsidR="00813BF5" w:rsidRPr="0058247E" w:rsidRDefault="00813BF5" w:rsidP="00813BF5">
      <w:pPr>
        <w:pStyle w:val="NoSpacing"/>
        <w:widowControl w:val="0"/>
        <w:numPr>
          <w:ilvl w:val="0"/>
          <w:numId w:val="25"/>
        </w:numPr>
        <w:ind w:left="0" w:firstLine="284"/>
        <w:jc w:val="both"/>
        <w:rPr>
          <w:rFonts w:ascii="Garamond" w:hAnsi="Garamond"/>
          <w:spacing w:val="-4"/>
        </w:rPr>
      </w:pPr>
      <w:r w:rsidRPr="0058247E">
        <w:rPr>
          <w:rFonts w:ascii="Garamond" w:hAnsi="Garamond"/>
          <w:i/>
          <w:spacing w:val="-4"/>
        </w:rPr>
        <w:t xml:space="preserve"> Parashtrimet e palëve</w:t>
      </w:r>
    </w:p>
    <w:p w:rsidR="00813BF5" w:rsidRPr="0058247E" w:rsidRDefault="00813BF5" w:rsidP="00813BF5">
      <w:pPr>
        <w:pStyle w:val="NoSpacing"/>
        <w:widowControl w:val="0"/>
        <w:numPr>
          <w:ilvl w:val="0"/>
          <w:numId w:val="26"/>
        </w:numPr>
        <w:ind w:left="0" w:firstLine="284"/>
        <w:jc w:val="both"/>
        <w:rPr>
          <w:rFonts w:ascii="Garamond" w:hAnsi="Garamond"/>
          <w:spacing w:val="-4"/>
        </w:rPr>
      </w:pPr>
      <w:r w:rsidRPr="0058247E">
        <w:rPr>
          <w:rFonts w:ascii="Garamond" w:hAnsi="Garamond"/>
          <w:b/>
          <w:spacing w:val="-4"/>
        </w:rPr>
        <w:t xml:space="preserve"> Ankuesit</w:t>
      </w:r>
    </w:p>
    <w:p w:rsidR="00813BF5" w:rsidRPr="0058247E" w:rsidRDefault="00813BF5" w:rsidP="00813BF5">
      <w:pPr>
        <w:pStyle w:val="NoSpacing"/>
        <w:widowControl w:val="0"/>
        <w:numPr>
          <w:ilvl w:val="0"/>
          <w:numId w:val="27"/>
        </w:numPr>
        <w:ind w:left="0" w:firstLine="284"/>
        <w:jc w:val="both"/>
        <w:rPr>
          <w:rFonts w:ascii="Garamond" w:hAnsi="Garamond"/>
          <w:spacing w:val="-4"/>
        </w:rPr>
      </w:pPr>
      <w:r w:rsidRPr="0058247E">
        <w:rPr>
          <w:rFonts w:ascii="Garamond" w:hAnsi="Garamond"/>
          <w:i/>
          <w:spacing w:val="-4"/>
        </w:rPr>
        <w:t xml:space="preserve"> Vërejtjet e përgjithshme</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Ankuesit bënë të njëjtat parashtrime si ato të përmbledhura në këtë vendim të Gjykatës në çështjen </w:t>
      </w:r>
      <w:r w:rsidRPr="0058247E">
        <w:rPr>
          <w:rFonts w:ascii="Garamond" w:hAnsi="Garamond"/>
          <w:i/>
          <w:spacing w:val="-4"/>
        </w:rPr>
        <w:t>Sharra dhe të tjerët</w:t>
      </w:r>
      <w:r w:rsidRPr="0058247E">
        <w:rPr>
          <w:rFonts w:ascii="Garamond" w:hAnsi="Garamond"/>
          <w:spacing w:val="-4"/>
        </w:rPr>
        <w:t xml:space="preserve">, cituar më sipër, §§ 57–58. </w:t>
      </w:r>
    </w:p>
    <w:p w:rsidR="00813BF5" w:rsidRPr="0058247E" w:rsidRDefault="00813BF5" w:rsidP="00813BF5">
      <w:pPr>
        <w:pStyle w:val="NoSpacing"/>
        <w:widowControl w:val="0"/>
        <w:numPr>
          <w:ilvl w:val="0"/>
          <w:numId w:val="27"/>
        </w:numPr>
        <w:ind w:left="0" w:firstLine="284"/>
        <w:jc w:val="both"/>
        <w:rPr>
          <w:rFonts w:ascii="Garamond" w:hAnsi="Garamond"/>
          <w:spacing w:val="-4"/>
        </w:rPr>
      </w:pPr>
      <w:r w:rsidRPr="0058247E">
        <w:rPr>
          <w:rFonts w:ascii="Garamond" w:hAnsi="Garamond"/>
          <w:i/>
          <w:spacing w:val="-4"/>
        </w:rPr>
        <w:t xml:space="preserve"> Kërkesa specifike në lidhje me secilin aplikim</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Ankuesit patën kërkesa në lidhje me dëmin monetar dhe jomonetar, siç është paraqitur në tabelë në shtojcën 2.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lidhje me ankesën nr. 5207/10, ankuesi paraqiti kërkesat e tij për kompensim të drejtë pas përfundimit të afatit kohor të përcaktuar për atë qëllim (shiko gjithashtu paragrafin 9 më sipër).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lidhje me ankesën nr. 24468/10, ankuesit kërkuan që Gjykata të përdornin çmimin e referencës prej 30,376 lekësh shqiptarë (TË GJITHA)/m</w:t>
      </w:r>
      <w:r w:rsidRPr="0058247E">
        <w:rPr>
          <w:rFonts w:ascii="Garamond" w:hAnsi="Garamond"/>
          <w:spacing w:val="-4"/>
          <w:vertAlign w:val="superscript"/>
        </w:rPr>
        <w:t>2</w:t>
      </w:r>
      <w:r w:rsidRPr="0058247E">
        <w:rPr>
          <w:rFonts w:ascii="Garamond" w:hAnsi="Garamond"/>
          <w:spacing w:val="-4"/>
        </w:rPr>
        <w:t>, siç tregohet në hartat e vlerësimit të pronës në vitin 2013, në vend të çmimit të referencës prej 27,104 TË GJITHA/m</w:t>
      </w:r>
      <w:r w:rsidRPr="0058247E">
        <w:rPr>
          <w:rFonts w:ascii="Garamond" w:hAnsi="Garamond"/>
          <w:spacing w:val="-4"/>
          <w:vertAlign w:val="superscript"/>
        </w:rPr>
        <w:t>2</w:t>
      </w:r>
      <w:r w:rsidRPr="0058247E">
        <w:rPr>
          <w:rFonts w:ascii="Garamond" w:hAnsi="Garamond"/>
          <w:spacing w:val="-4"/>
        </w:rPr>
        <w:t>, siç tregohet në hartat e vlerësimit të pronës të vitit 2008. Ata parashtruan se zotëronin tre të katërtat e tokës me përmasën 10,600 m</w:t>
      </w:r>
      <w:r w:rsidRPr="0058247E">
        <w:rPr>
          <w:rFonts w:ascii="Garamond" w:hAnsi="Garamond"/>
          <w:spacing w:val="-4"/>
          <w:vertAlign w:val="superscript"/>
        </w:rPr>
        <w:t>2</w:t>
      </w:r>
      <w:r w:rsidRPr="0058247E">
        <w:rPr>
          <w:rFonts w:ascii="Garamond" w:hAnsi="Garamond"/>
          <w:spacing w:val="-4"/>
        </w:rPr>
        <w:t xml:space="preserve">. </w:t>
      </w:r>
    </w:p>
    <w:p w:rsidR="00813BF5"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Në lidhje me ankimin nr. 40751/10, ankuesit kërkuan që të aplikohet çmimi i referencës siç paraqitet në hartat e vlerësimit të vitit 2008, i cili është 120,000 TË GJITHA/m</w:t>
      </w:r>
      <w:r w:rsidRPr="008A7937">
        <w:rPr>
          <w:rFonts w:ascii="Garamond" w:hAnsi="Garamond"/>
          <w:vertAlign w:val="superscript"/>
        </w:rPr>
        <w:t>2</w:t>
      </w:r>
      <w:r w:rsidRPr="008A7937">
        <w:rPr>
          <w:rFonts w:ascii="Garamond" w:hAnsi="Garamond"/>
        </w:rPr>
        <w:t xml:space="preserve">. Ata pretendonin se zotëronin të gjithë pronën.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Në lidhje me ankimet nr. 39492/10, 39495/10 dhe 48522/10, ankuesit kërkuan që Gjykata të përdorte çmimin e referencës prej 7,000 TË GJITHA/m</w:t>
      </w:r>
      <w:r w:rsidRPr="008A7937">
        <w:rPr>
          <w:rFonts w:ascii="Garamond" w:hAnsi="Garamond"/>
          <w:vertAlign w:val="superscript"/>
        </w:rPr>
        <w:t>2</w:t>
      </w:r>
      <w:r w:rsidRPr="008A7937">
        <w:rPr>
          <w:rFonts w:ascii="Garamond" w:hAnsi="Garamond"/>
        </w:rPr>
        <w:t>, 20,473 TË GJITHA/m</w:t>
      </w:r>
      <w:r w:rsidRPr="008A7937">
        <w:rPr>
          <w:rFonts w:ascii="Garamond" w:hAnsi="Garamond"/>
          <w:vertAlign w:val="superscript"/>
        </w:rPr>
        <w:t>2</w:t>
      </w:r>
      <w:r w:rsidRPr="008A7937">
        <w:rPr>
          <w:rFonts w:ascii="Garamond" w:hAnsi="Garamond"/>
        </w:rPr>
        <w:t>, 17,427 TË GJITHA/m</w:t>
      </w:r>
      <w:r w:rsidRPr="008A7937">
        <w:rPr>
          <w:rFonts w:ascii="Garamond" w:hAnsi="Garamond"/>
          <w:vertAlign w:val="superscript"/>
        </w:rPr>
        <w:t>2</w:t>
      </w:r>
      <w:r w:rsidRPr="008A7937">
        <w:rPr>
          <w:rFonts w:ascii="Garamond" w:hAnsi="Garamond"/>
        </w:rPr>
        <w:t>, respektivisht, siç tregohet në hartat e vlerësimit të pronës së vitit 2008, në vend të çmimit të referencës prej 6,730 TË GJITHA/m</w:t>
      </w:r>
      <w:r w:rsidRPr="008A7937">
        <w:rPr>
          <w:rFonts w:ascii="Garamond" w:hAnsi="Garamond"/>
          <w:vertAlign w:val="superscript"/>
        </w:rPr>
        <w:t>2</w:t>
      </w:r>
      <w:r w:rsidRPr="008A7937">
        <w:rPr>
          <w:rFonts w:ascii="Garamond" w:hAnsi="Garamond"/>
        </w:rPr>
        <w:t>, 9,274 TË GJITHA/ m</w:t>
      </w:r>
      <w:r w:rsidRPr="008A7937">
        <w:rPr>
          <w:rFonts w:ascii="Garamond" w:hAnsi="Garamond"/>
          <w:vertAlign w:val="superscript"/>
        </w:rPr>
        <w:t>2</w:t>
      </w:r>
      <w:r w:rsidRPr="008A7937">
        <w:rPr>
          <w:rFonts w:ascii="Garamond" w:hAnsi="Garamond"/>
        </w:rPr>
        <w:t xml:space="preserve"> 12,193 TË GJITHA/m</w:t>
      </w:r>
      <w:r w:rsidRPr="008A7937">
        <w:rPr>
          <w:rFonts w:ascii="Garamond" w:hAnsi="Garamond"/>
          <w:vertAlign w:val="superscript"/>
        </w:rPr>
        <w:t>2</w:t>
      </w:r>
      <w:r w:rsidRPr="008A7937">
        <w:rPr>
          <w:rFonts w:ascii="Garamond" w:hAnsi="Garamond"/>
        </w:rPr>
        <w:t xml:space="preserve">, respektivisht, siç tregohet në hartat e vlerësimit të pronës së vitit 2013. Në lidhje me ankesën nr. 39495/10, ankuesit debatuan se zotëronin shtatë të tetat </w:t>
      </w:r>
      <w:r>
        <w:rPr>
          <w:rFonts w:ascii="Garamond" w:hAnsi="Garamond"/>
        </w:rPr>
        <w:t>e</w:t>
      </w:r>
      <w:r w:rsidRPr="008A7937">
        <w:rPr>
          <w:rFonts w:ascii="Garamond" w:hAnsi="Garamond"/>
        </w:rPr>
        <w:t xml:space="preserve"> pronës. Në lidhje me ankimet nr. 39492/10 dhe 48522/10, ata debatuan se zotëronin të gjithë pronën. </w:t>
      </w:r>
    </w:p>
    <w:p w:rsidR="00813BF5" w:rsidRPr="008A7937" w:rsidRDefault="00813BF5" w:rsidP="00813BF5">
      <w:pPr>
        <w:pStyle w:val="NoSpacing"/>
        <w:widowControl w:val="0"/>
        <w:numPr>
          <w:ilvl w:val="0"/>
          <w:numId w:val="26"/>
        </w:numPr>
        <w:ind w:left="0" w:firstLine="284"/>
        <w:jc w:val="both"/>
        <w:rPr>
          <w:rFonts w:ascii="Garamond" w:hAnsi="Garamond"/>
        </w:rPr>
      </w:pPr>
      <w:r>
        <w:rPr>
          <w:rFonts w:ascii="Garamond" w:hAnsi="Garamond"/>
          <w:b/>
        </w:rPr>
        <w:t xml:space="preserve"> </w:t>
      </w:r>
      <w:r w:rsidRPr="008A7937">
        <w:rPr>
          <w:rFonts w:ascii="Garamond" w:hAnsi="Garamond"/>
          <w:b/>
        </w:rPr>
        <w:t xml:space="preserve">Qeveria </w:t>
      </w:r>
    </w:p>
    <w:p w:rsidR="00813BF5" w:rsidRPr="008A7937" w:rsidRDefault="00813BF5" w:rsidP="00813BF5">
      <w:pPr>
        <w:pStyle w:val="NoSpacing"/>
        <w:widowControl w:val="0"/>
        <w:numPr>
          <w:ilvl w:val="0"/>
          <w:numId w:val="28"/>
        </w:numPr>
        <w:ind w:left="0" w:firstLine="284"/>
        <w:jc w:val="both"/>
        <w:rPr>
          <w:rFonts w:ascii="Garamond" w:hAnsi="Garamond"/>
        </w:rPr>
      </w:pPr>
      <w:r>
        <w:rPr>
          <w:rFonts w:ascii="Garamond" w:hAnsi="Garamond"/>
          <w:i/>
        </w:rPr>
        <w:lastRenderedPageBreak/>
        <w:t xml:space="preserve"> </w:t>
      </w:r>
      <w:r w:rsidRPr="008A7937">
        <w:rPr>
          <w:rFonts w:ascii="Garamond" w:hAnsi="Garamond"/>
          <w:i/>
        </w:rPr>
        <w:t>Vërejtje të përgjithshme</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Qeveria bëri të njëjtat parashtrime si ato të përmbledhura në këtë vendim </w:t>
      </w:r>
      <w:r>
        <w:rPr>
          <w:rFonts w:ascii="Garamond" w:hAnsi="Garamond"/>
        </w:rPr>
        <w:t>g</w:t>
      </w:r>
      <w:r w:rsidRPr="008A7937">
        <w:rPr>
          <w:rFonts w:ascii="Garamond" w:hAnsi="Garamond"/>
        </w:rPr>
        <w:t xml:space="preserve">jykate në çështjen </w:t>
      </w:r>
      <w:r w:rsidRPr="008A7937">
        <w:rPr>
          <w:rFonts w:ascii="Garamond" w:hAnsi="Garamond"/>
          <w:i/>
        </w:rPr>
        <w:t xml:space="preserve">Sharra dhe të tjerët, </w:t>
      </w:r>
      <w:r w:rsidRPr="008A7937">
        <w:rPr>
          <w:rFonts w:ascii="Garamond" w:hAnsi="Garamond"/>
        </w:rPr>
        <w:t>cituar më</w:t>
      </w:r>
      <w:r>
        <w:rPr>
          <w:rFonts w:ascii="Garamond" w:hAnsi="Garamond"/>
        </w:rPr>
        <w:t xml:space="preserve"> </w:t>
      </w:r>
      <w:r w:rsidRPr="008A7937">
        <w:rPr>
          <w:rFonts w:ascii="Garamond" w:hAnsi="Garamond"/>
        </w:rPr>
        <w:t>sipër, §§ 69</w:t>
      </w:r>
      <w:r>
        <w:rPr>
          <w:rFonts w:ascii="Garamond" w:hAnsi="Garamond"/>
        </w:rPr>
        <w:t>–</w:t>
      </w:r>
      <w:r w:rsidRPr="008A7937">
        <w:rPr>
          <w:rFonts w:ascii="Garamond" w:hAnsi="Garamond"/>
        </w:rPr>
        <w:t xml:space="preserve">71. </w:t>
      </w:r>
    </w:p>
    <w:p w:rsidR="00813BF5" w:rsidRPr="008A7937" w:rsidRDefault="00813BF5" w:rsidP="00813BF5">
      <w:pPr>
        <w:pStyle w:val="NoSpacing"/>
        <w:widowControl w:val="0"/>
        <w:numPr>
          <w:ilvl w:val="0"/>
          <w:numId w:val="28"/>
        </w:numPr>
        <w:ind w:left="0" w:firstLine="284"/>
        <w:jc w:val="both"/>
        <w:rPr>
          <w:rFonts w:ascii="Garamond" w:hAnsi="Garamond"/>
        </w:rPr>
      </w:pPr>
      <w:r>
        <w:rPr>
          <w:rFonts w:ascii="Garamond" w:hAnsi="Garamond"/>
          <w:i/>
        </w:rPr>
        <w:t xml:space="preserve"> </w:t>
      </w:r>
      <w:r w:rsidRPr="008A7937">
        <w:rPr>
          <w:rFonts w:ascii="Garamond" w:hAnsi="Garamond"/>
          <w:i/>
        </w:rPr>
        <w:t>Komente specifike në lidhje me secilin ankesë</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Në lidhje me ankimet nr. 5207/10 dhe 40751/10, qeveria nuk paraqiti komente për kërkesat e ankuesve për kompensim të drejtë brenda afatit kohor për atë qëllim (shiko</w:t>
      </w:r>
      <w:r>
        <w:rPr>
          <w:rFonts w:ascii="Garamond" w:hAnsi="Garamond"/>
        </w:rPr>
        <w:t>,</w:t>
      </w:r>
      <w:r w:rsidRPr="008A7937">
        <w:rPr>
          <w:rFonts w:ascii="Garamond" w:hAnsi="Garamond"/>
        </w:rPr>
        <w:t xml:space="preserve"> gjithashtu</w:t>
      </w:r>
      <w:r>
        <w:rPr>
          <w:rFonts w:ascii="Garamond" w:hAnsi="Garamond"/>
        </w:rPr>
        <w:t>,</w:t>
      </w:r>
      <w:r w:rsidRPr="008A7937">
        <w:rPr>
          <w:rFonts w:ascii="Garamond" w:hAnsi="Garamond"/>
        </w:rPr>
        <w:t xml:space="preserve"> paragrafin 8 më</w:t>
      </w:r>
      <w:r>
        <w:rPr>
          <w:rFonts w:ascii="Garamond" w:hAnsi="Garamond"/>
        </w:rPr>
        <w:t xml:space="preserve"> </w:t>
      </w:r>
      <w:r w:rsidRPr="008A7937">
        <w:rPr>
          <w:rFonts w:ascii="Garamond" w:hAnsi="Garamond"/>
        </w:rPr>
        <w:t xml:space="preserve">sipër). </w:t>
      </w:r>
    </w:p>
    <w:p w:rsidR="00813BF5" w:rsidRPr="00427770"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Në lidhje me ankimet nr</w:t>
      </w:r>
      <w:r>
        <w:rPr>
          <w:rFonts w:ascii="Garamond" w:hAnsi="Garamond"/>
        </w:rPr>
        <w:t>.</w:t>
      </w:r>
      <w:r w:rsidRPr="008A7937">
        <w:rPr>
          <w:rFonts w:ascii="Garamond" w:hAnsi="Garamond"/>
        </w:rPr>
        <w:t xml:space="preserve"> 24468/10, duke pasur parasysh faktin se në kohën e konfiskimit sipërfaqja e tokës ishte tokë bujqësore, qeveria propozoi që të zbatohej çmimi i referencës për tokën bujqësore në bazë të hartave të vlerësimit të </w:t>
      </w:r>
      <w:r w:rsidRPr="00427770">
        <w:rPr>
          <w:rFonts w:ascii="Garamond" w:hAnsi="Garamond"/>
        </w:rPr>
        <w:t>vitit 2014, çmim i cili është 230 TË GJITHA/m</w:t>
      </w:r>
      <w:r w:rsidRPr="00427770">
        <w:rPr>
          <w:rFonts w:ascii="Garamond" w:hAnsi="Garamond"/>
          <w:vertAlign w:val="superscript"/>
        </w:rPr>
        <w:t>2</w:t>
      </w:r>
      <w:r w:rsidRPr="00427770">
        <w:rPr>
          <w:rFonts w:ascii="Garamond" w:hAnsi="Garamond"/>
        </w:rPr>
        <w:t xml:space="preserve">. Qeveria konfirmoi se ankuesve iu njihej tre e katërta e të gjithë pronës.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Në lidhje me ankimin nr. 39492/10, qeveria argumentoi se ankuesit duhej të kompensoheshin në bazë të hartave të vlerësimit të vitit 2014, sipas së cilave çmimi i referencës ishte 4,865 TË GJITHA/m</w:t>
      </w:r>
      <w:r w:rsidRPr="008A7937">
        <w:rPr>
          <w:rFonts w:ascii="Garamond" w:hAnsi="Garamond"/>
          <w:vertAlign w:val="superscript"/>
        </w:rPr>
        <w:t>2</w:t>
      </w:r>
      <w:r w:rsidRPr="008A7937">
        <w:rPr>
          <w:rFonts w:ascii="Garamond" w:hAnsi="Garamond"/>
        </w:rPr>
        <w:t xml:space="preserve">. Qeveria konfirmoi se ankuesve iu jepej e drejta mbi të gjithë pronën.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Në lidhje me ankimin nr. 39495/10, qeveria parashtroi se duke qenë se në kohën e konfiskimit toka ishte bujqësore, duhet të aplikohet çmimi i referencës për tokën bujqësore. Sipërfaqja e tokës e ankuesve prej 201,244 m</w:t>
      </w:r>
      <w:r w:rsidRPr="008A7937">
        <w:rPr>
          <w:rFonts w:ascii="Garamond" w:hAnsi="Garamond"/>
          <w:vertAlign w:val="superscript"/>
        </w:rPr>
        <w:t>2</w:t>
      </w:r>
      <w:r w:rsidRPr="008A7937">
        <w:rPr>
          <w:rFonts w:ascii="Garamond" w:hAnsi="Garamond"/>
        </w:rPr>
        <w:t xml:space="preserve"> ishte e pozicionuar në dy zona kadastrale të ndryshme: 88,429 m</w:t>
      </w:r>
      <w:r w:rsidRPr="008A7937">
        <w:rPr>
          <w:rFonts w:ascii="Garamond" w:hAnsi="Garamond"/>
          <w:vertAlign w:val="superscript"/>
        </w:rPr>
        <w:t>2</w:t>
      </w:r>
      <w:r w:rsidRPr="008A7937">
        <w:rPr>
          <w:rFonts w:ascii="Garamond" w:hAnsi="Garamond"/>
        </w:rPr>
        <w:t xml:space="preserve"> ishin të pozicionuara në zonën kadastrale nr. 8320, e cila përbëhej nga tokë ndërtimi, çmimi i referencës së të cilës ishte 10,556 E GJITHA/m</w:t>
      </w:r>
      <w:r w:rsidRPr="008A7937">
        <w:rPr>
          <w:rFonts w:ascii="Garamond" w:hAnsi="Garamond"/>
          <w:vertAlign w:val="superscript"/>
        </w:rPr>
        <w:t>2</w:t>
      </w:r>
      <w:r w:rsidRPr="008A7937">
        <w:rPr>
          <w:rFonts w:ascii="Garamond" w:hAnsi="Garamond"/>
        </w:rPr>
        <w:t>. Zona kadastrale nuk paraqiti ndonjë çmim reference në lidhje me tokën bujqësore. Megjithatë, ata propozuan se duhet aplikuar çmimi i referencës për tokën bujqësore në lidhje me ndonjë zonë tjetër kadastrale më të afërt, çmim i cili është 230 E GJITHA/m</w:t>
      </w:r>
      <w:r w:rsidRPr="008A7937">
        <w:rPr>
          <w:rFonts w:ascii="Garamond" w:hAnsi="Garamond"/>
          <w:vertAlign w:val="superscript"/>
        </w:rPr>
        <w:t>2</w:t>
      </w:r>
      <w:r w:rsidRPr="008A7937">
        <w:rPr>
          <w:rFonts w:ascii="Garamond" w:hAnsi="Garamond"/>
        </w:rPr>
        <w:t>. Pjesa e mbetur prej 112,815 m</w:t>
      </w:r>
      <w:r w:rsidRPr="008A7937">
        <w:rPr>
          <w:rFonts w:ascii="Garamond" w:hAnsi="Garamond"/>
          <w:vertAlign w:val="superscript"/>
        </w:rPr>
        <w:t>2</w:t>
      </w:r>
      <w:r w:rsidRPr="008A7937">
        <w:rPr>
          <w:rFonts w:ascii="Garamond" w:hAnsi="Garamond"/>
        </w:rPr>
        <w:t xml:space="preserve"> pozicionohej në zonën kadastrale nr. 3992, çmimi i referencës i së cilës në lidhje me tokën bujqësore ishte 230 E GJITHA/m</w:t>
      </w:r>
      <w:r w:rsidRPr="008A7937">
        <w:rPr>
          <w:rFonts w:ascii="Garamond" w:hAnsi="Garamond"/>
          <w:vertAlign w:val="superscript"/>
        </w:rPr>
        <w:t>2</w:t>
      </w:r>
      <w:r w:rsidRPr="008A7937">
        <w:rPr>
          <w:rFonts w:ascii="Garamond" w:hAnsi="Garamond"/>
        </w:rPr>
        <w:t>. Qeveria ra dakor</w:t>
      </w:r>
      <w:r>
        <w:rPr>
          <w:rFonts w:ascii="Garamond" w:hAnsi="Garamond"/>
        </w:rPr>
        <w:t>d</w:t>
      </w:r>
      <w:r w:rsidRPr="008A7937">
        <w:rPr>
          <w:rFonts w:ascii="Garamond" w:hAnsi="Garamond"/>
        </w:rPr>
        <w:t xml:space="preserve"> se ankuesve iu njihej shtatë të tetat e pronës.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Në lidhje me ankesën nr. 48522/10, qeveria parashtroi se Agjen</w:t>
      </w:r>
      <w:r>
        <w:rPr>
          <w:rFonts w:ascii="Garamond" w:hAnsi="Garamond"/>
        </w:rPr>
        <w:t>c</w:t>
      </w:r>
      <w:r w:rsidRPr="008A7937">
        <w:rPr>
          <w:rFonts w:ascii="Garamond" w:hAnsi="Garamond"/>
        </w:rPr>
        <w:t>ia nuk mund të lokalizonte sipërfaqen e tokës së ankuesve në hartat e vlerësimit të vitit 2014. Gjithashtu, ata nuk mund të përcaktonin kategorinë e tokës. Qeveria kërkoi të dorëzonte komente të tjerë për kërkesën për kompensim të drejtë të ankuesve, pasi të merrte informacion të plotë nga autoritetet. Si alternativë, duke qenë se ne kohën e konfiskimit sipërfaqja e tokës kishte qenë kullotë, qeveria propozoi që të përdorej çmimi i referencës për tokën bujqësore i paraqitur në hartat e vlerësimit të vitit 2014, çmim i cili është 55 E GJITHA/m</w:t>
      </w:r>
      <w:r w:rsidRPr="008A7937">
        <w:rPr>
          <w:rFonts w:ascii="Garamond" w:hAnsi="Garamond"/>
          <w:vertAlign w:val="superscript"/>
        </w:rPr>
        <w:t>2</w:t>
      </w:r>
      <w:r w:rsidRPr="008A7937">
        <w:rPr>
          <w:rFonts w:ascii="Garamond" w:hAnsi="Garamond"/>
        </w:rPr>
        <w:t>.</w:t>
      </w:r>
      <w:r>
        <w:rPr>
          <w:rFonts w:ascii="Garamond" w:hAnsi="Garamond"/>
        </w:rPr>
        <w:t xml:space="preserve"> </w:t>
      </w:r>
    </w:p>
    <w:p w:rsidR="00813BF5" w:rsidRPr="008A7937" w:rsidRDefault="00813BF5" w:rsidP="00813BF5">
      <w:pPr>
        <w:pStyle w:val="NoSpacing"/>
        <w:widowControl w:val="0"/>
        <w:numPr>
          <w:ilvl w:val="0"/>
          <w:numId w:val="25"/>
        </w:numPr>
        <w:ind w:left="0" w:firstLine="284"/>
        <w:jc w:val="both"/>
        <w:rPr>
          <w:rFonts w:ascii="Garamond" w:hAnsi="Garamond"/>
        </w:rPr>
      </w:pPr>
      <w:r>
        <w:rPr>
          <w:rFonts w:ascii="Garamond" w:hAnsi="Garamond"/>
          <w:i/>
        </w:rPr>
        <w:t xml:space="preserve"> </w:t>
      </w:r>
      <w:r w:rsidRPr="008A7937">
        <w:rPr>
          <w:rFonts w:ascii="Garamond" w:hAnsi="Garamond"/>
          <w:i/>
        </w:rPr>
        <w:t>Vlerësimi i Gjykatës</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Gjykata shqyrtoi të njëjtat parashtrime të bëra nga palët në vendimin e saj në çështjen </w:t>
      </w:r>
      <w:r w:rsidRPr="008A7937">
        <w:rPr>
          <w:rFonts w:ascii="Garamond" w:hAnsi="Garamond"/>
          <w:i/>
        </w:rPr>
        <w:t>Sharra dhe të tjerët</w:t>
      </w:r>
      <w:r w:rsidRPr="008A7937">
        <w:rPr>
          <w:rFonts w:ascii="Garamond" w:hAnsi="Garamond"/>
        </w:rPr>
        <w:t>, cituar më</w:t>
      </w:r>
      <w:r>
        <w:rPr>
          <w:rFonts w:ascii="Garamond" w:hAnsi="Garamond"/>
        </w:rPr>
        <w:t xml:space="preserve"> </w:t>
      </w:r>
      <w:r w:rsidRPr="008A7937">
        <w:rPr>
          <w:rFonts w:ascii="Garamond" w:hAnsi="Garamond"/>
        </w:rPr>
        <w:t>sipër, §§ 78</w:t>
      </w:r>
      <w:r>
        <w:rPr>
          <w:rFonts w:ascii="Garamond" w:hAnsi="Garamond"/>
        </w:rPr>
        <w:t>–</w:t>
      </w:r>
      <w:r w:rsidRPr="008A7937">
        <w:rPr>
          <w:rFonts w:ascii="Garamond" w:hAnsi="Garamond"/>
        </w:rPr>
        <w:t xml:space="preserve">87. Gjykata arriti në përfundimin se dëmi monetar duhet të përcaktohet bazuar në hartat e vlerësimit të pronës të vitit 2008 (shiko </w:t>
      </w:r>
      <w:r w:rsidRPr="008A7937">
        <w:rPr>
          <w:rFonts w:ascii="Garamond" w:hAnsi="Garamond"/>
          <w:i/>
        </w:rPr>
        <w:t xml:space="preserve">Sharra dhe të tjerët, </w:t>
      </w:r>
      <w:r w:rsidRPr="008A7937">
        <w:rPr>
          <w:rFonts w:ascii="Garamond" w:hAnsi="Garamond"/>
        </w:rPr>
        <w:t>cituar më</w:t>
      </w:r>
      <w:r>
        <w:rPr>
          <w:rFonts w:ascii="Garamond" w:hAnsi="Garamond"/>
        </w:rPr>
        <w:t xml:space="preserve"> </w:t>
      </w:r>
      <w:r w:rsidRPr="008A7937">
        <w:rPr>
          <w:rFonts w:ascii="Garamond" w:hAnsi="Garamond"/>
        </w:rPr>
        <w:t xml:space="preserve">sipër, § 90; </w:t>
      </w:r>
      <w:r w:rsidRPr="008A7937">
        <w:rPr>
          <w:rFonts w:ascii="Garamond" w:hAnsi="Garamond"/>
          <w:i/>
        </w:rPr>
        <w:t xml:space="preserve">Manushaqe Puto dhe të tjerët, </w:t>
      </w:r>
      <w:r w:rsidRPr="008A7937">
        <w:rPr>
          <w:rFonts w:ascii="Garamond" w:hAnsi="Garamond"/>
        </w:rPr>
        <w:t>cituar më</w:t>
      </w:r>
      <w:r>
        <w:rPr>
          <w:rFonts w:ascii="Garamond" w:hAnsi="Garamond"/>
        </w:rPr>
        <w:t xml:space="preserve"> </w:t>
      </w:r>
      <w:r w:rsidRPr="008A7937">
        <w:rPr>
          <w:rFonts w:ascii="Garamond" w:hAnsi="Garamond"/>
        </w:rPr>
        <w:t xml:space="preserve">sipër, § 125; dhe </w:t>
      </w:r>
      <w:r w:rsidRPr="008A7937">
        <w:rPr>
          <w:rFonts w:ascii="Garamond" w:hAnsi="Garamond"/>
          <w:i/>
        </w:rPr>
        <w:t>Vrioni dhe të tjerët kundër Shqipërisë</w:t>
      </w:r>
      <w:r w:rsidRPr="008A7937">
        <w:rPr>
          <w:rFonts w:ascii="Garamond" w:hAnsi="Garamond"/>
        </w:rPr>
        <w:t xml:space="preserve"> (kompensim i drejtë), nr. 35720/04 dhe 42832/06, §§ 33</w:t>
      </w:r>
      <w:r>
        <w:rPr>
          <w:rFonts w:ascii="Garamond" w:hAnsi="Garamond"/>
        </w:rPr>
        <w:t>–</w:t>
      </w:r>
      <w:r w:rsidRPr="008A7937">
        <w:rPr>
          <w:rFonts w:ascii="Garamond" w:hAnsi="Garamond"/>
        </w:rPr>
        <w:t xml:space="preserve">39, 7 dhjetor 2010). Gjykata nuk gjen asnjë arsye për t’u distancuar nga këto gjetje. </w:t>
      </w:r>
    </w:p>
    <w:p w:rsidR="00813BF5" w:rsidRPr="008A7937" w:rsidRDefault="00813BF5" w:rsidP="00813BF5">
      <w:pPr>
        <w:pStyle w:val="NoSpacing"/>
        <w:widowControl w:val="0"/>
        <w:numPr>
          <w:ilvl w:val="0"/>
          <w:numId w:val="17"/>
        </w:numPr>
        <w:ind w:left="0" w:firstLine="284"/>
        <w:jc w:val="both"/>
        <w:rPr>
          <w:rFonts w:ascii="Garamond" w:hAnsi="Garamond"/>
        </w:rPr>
      </w:pPr>
      <w:r>
        <w:rPr>
          <w:rFonts w:ascii="Garamond" w:hAnsi="Garamond"/>
        </w:rPr>
        <w:t xml:space="preserve"> </w:t>
      </w:r>
      <w:r w:rsidRPr="008A7937">
        <w:rPr>
          <w:rFonts w:ascii="Garamond" w:hAnsi="Garamond"/>
        </w:rPr>
        <w:t xml:space="preserve">Në lidhje me ankimet nr. 24468/10 dhe 39495/10, Gjykata vëren se autoritetet e kishin njohur të drejtën e ankuesve për kompensim për tokën e ndërtimit dhe jo për tokën bujqësore ose për kullotën siç u kontestua nga qeveria.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Pr>
          <w:rFonts w:ascii="Garamond" w:hAnsi="Garamond"/>
        </w:rPr>
        <w:t xml:space="preserve"> </w:t>
      </w:r>
      <w:r w:rsidRPr="008A7937">
        <w:rPr>
          <w:rFonts w:ascii="Garamond" w:hAnsi="Garamond"/>
        </w:rPr>
        <w:t>Në lidhje me ankimin nr. 48522/10, Gjykata vëren se vendimi i Komisionit të Sarandës vërente faktin se toka e ankuesve ishte tokë ndërtimi, e pozicionuar midis kufijve të qytetit. Për këtë arsye, prona e ankuesve duhet konsideruar si tokë ndërtimi. Për sa ka të bëjë me formën e kompensimit, g</w:t>
      </w:r>
      <w:r>
        <w:rPr>
          <w:rFonts w:ascii="Garamond" w:hAnsi="Garamond"/>
        </w:rPr>
        <w:t>j</w:t>
      </w:r>
      <w:r w:rsidRPr="008A7937">
        <w:rPr>
          <w:rFonts w:ascii="Garamond" w:hAnsi="Garamond"/>
        </w:rPr>
        <w:t xml:space="preserve">ykata vëren se </w:t>
      </w:r>
      <w:r w:rsidRPr="0058247E">
        <w:rPr>
          <w:rFonts w:ascii="Garamond" w:hAnsi="Garamond"/>
          <w:spacing w:val="-4"/>
        </w:rPr>
        <w:t xml:space="preserve">Komisioni njohu kompensimin në bono shtetërore, bazuar në aktin e tokës bujqësore, pa specifikuar ndonjë shumë financiare. Megjithatë, Gjykata vëren se akti i pronës i vitit 2004, i cili shfuqizonte aktin e tokës bujqësore nuk parashikon kompensim me anë të bonove shtetërore. Për më tepër, kompensimi financiar është e vetmja formë kompensimi e akorduar së fundmi (shiko </w:t>
      </w:r>
      <w:r w:rsidRPr="0058247E">
        <w:rPr>
          <w:rFonts w:ascii="Garamond" w:hAnsi="Garamond"/>
          <w:i/>
          <w:spacing w:val="-4"/>
        </w:rPr>
        <w:t xml:space="preserve">Manushaqe Puto dhe të tjerët, </w:t>
      </w:r>
      <w:r w:rsidRPr="0058247E">
        <w:rPr>
          <w:rFonts w:ascii="Garamond" w:hAnsi="Garamond"/>
          <w:spacing w:val="-4"/>
        </w:rPr>
        <w:t>cituar më sipër, §§ 77 dhe 80). Në lidhje me sa më sipër, Gjykata arrin në përfundimin se ankuesve duhet t’iu akordohet kompensim financiar në lidhje me tokën me sipërfaqe prej 59,184 m</w:t>
      </w:r>
      <w:r w:rsidRPr="0058247E">
        <w:rPr>
          <w:rFonts w:ascii="Garamond" w:hAnsi="Garamond"/>
          <w:spacing w:val="-4"/>
          <w:vertAlign w:val="superscript"/>
        </w:rPr>
        <w:t>2</w:t>
      </w:r>
      <w:r w:rsidRPr="0058247E">
        <w:rPr>
          <w:rFonts w:ascii="Garamond" w:hAnsi="Garamond"/>
          <w:spacing w:val="-4"/>
        </w:rPr>
        <w:t xml:space="preserve">.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lidhje me ankimin nr. 5207/10, përfaqësuesi i ankuesit nuk paraqiti kërkesat e tij brenda afatit kohor të përcaktuar (shiko, gjithashtu, paragrafin 9 më sipër). Në lidhje me këtë, Gjykata mendon se nuk ekziston asnjë e drejtë për t’i ofruar ankuesit ndonjë shumë (shiko, më së fundmi, </w:t>
      </w:r>
      <w:r w:rsidRPr="0058247E">
        <w:rPr>
          <w:rFonts w:ascii="Garamond" w:hAnsi="Garamond"/>
          <w:i/>
          <w:spacing w:val="-4"/>
        </w:rPr>
        <w:t xml:space="preserve">Apostu kundër Rumanisë, </w:t>
      </w:r>
      <w:r w:rsidRPr="0058247E">
        <w:rPr>
          <w:rFonts w:ascii="Garamond" w:hAnsi="Garamond"/>
          <w:spacing w:val="-4"/>
        </w:rPr>
        <w:t xml:space="preserve">nr. 22765/12, § 136, 3 shkurt 2015). Megjithatë, Gjykata mendon se për aq kohë sa vendimi i Komisionit </w:t>
      </w:r>
      <w:r w:rsidRPr="0058247E">
        <w:rPr>
          <w:rFonts w:ascii="Garamond" w:hAnsi="Garamond"/>
          <w:spacing w:val="-4"/>
        </w:rPr>
        <w:lastRenderedPageBreak/>
        <w:t xml:space="preserve">mbetet në fuqi, detyrimi kryesor i shtetit përgjegjës për ta zbatuar atë, nuk mund të diskutohet. Kështu, ankuesi ka ende të drejtën për të gëzuar zbatimin e atij vendimi. Gjykata përsërit se forma më e mirë për të kompensuar në lidhje me shkeljen e nenit 6, është që të sigurojë se ankuesi, për aq sa është e mundur, të jetë në pozicionin që do të kishte qenë nëse kërkesat e nenit 6 nuk do të ishin shpërfillur (shiko, midis të tjerëve, </w:t>
      </w:r>
      <w:r w:rsidRPr="0058247E">
        <w:rPr>
          <w:rFonts w:ascii="Garamond" w:hAnsi="Garamond"/>
          <w:i/>
          <w:spacing w:val="-4"/>
        </w:rPr>
        <w:t xml:space="preserve">S.C. Prodcomexim SRL kundër Rumanisë (nr. 2), </w:t>
      </w:r>
      <w:r w:rsidRPr="0058247E">
        <w:rPr>
          <w:rFonts w:ascii="Garamond" w:hAnsi="Garamond"/>
          <w:spacing w:val="-4"/>
        </w:rPr>
        <w:t xml:space="preserve">nr. 31760/06, § 52, 6 korrik 2010). Duke pasur parasysh shkeljen e konstatuar, Gjykata arrin në përfundimin se ky parim ushtrohet edhe në çështjen në fjalë. Për këtë arsye, ajo gjykon se qeveria duhet të sigurojë, me anë të mjeteve të duhura, zbatimin e vendimit të Gjykatës së Lartë të datës 27 shtator 2001.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lidhje me ankimet nr. 40751/10 dhe 48522/10, për sa ka të bëjë me gjetjet në paragrafët 35–38 më sipër, Gjykata mendon se ankuesve duhet t’i akordohet kompensim për shtatë të tetat e sipërfaqeve të tokës me përmasa 1,530 m</w:t>
      </w:r>
      <w:r w:rsidRPr="0058247E">
        <w:rPr>
          <w:rFonts w:ascii="Garamond" w:hAnsi="Garamond"/>
          <w:spacing w:val="-4"/>
          <w:vertAlign w:val="superscript"/>
        </w:rPr>
        <w:t>2</w:t>
      </w:r>
      <w:r w:rsidRPr="0058247E">
        <w:rPr>
          <w:rFonts w:ascii="Garamond" w:hAnsi="Garamond"/>
          <w:spacing w:val="-4"/>
        </w:rPr>
        <w:t xml:space="preserve"> dhe 59,184 m</w:t>
      </w:r>
      <w:r w:rsidRPr="0058247E">
        <w:rPr>
          <w:rFonts w:ascii="Garamond" w:hAnsi="Garamond"/>
          <w:spacing w:val="-4"/>
          <w:vertAlign w:val="superscript"/>
        </w:rPr>
        <w:t>2</w:t>
      </w:r>
      <w:r w:rsidRPr="0058247E">
        <w:rPr>
          <w:rFonts w:ascii="Garamond" w:hAnsi="Garamond"/>
          <w:spacing w:val="-4"/>
        </w:rPr>
        <w:t xml:space="preserve">. </w:t>
      </w:r>
    </w:p>
    <w:p w:rsidR="00813BF5"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Duke pasur parasysh materialin në posedim, Gjykata e gjykon të arsyeshme të akordojë kompensimet për dëmin monetar dhe jomonetar, siç paraqitet në tabelën në shtojcën nr. 3. </w:t>
      </w:r>
    </w:p>
    <w:p w:rsidR="00813BF5" w:rsidRDefault="00813BF5" w:rsidP="00813BF5">
      <w:pPr>
        <w:pStyle w:val="NoSpacing"/>
        <w:widowControl w:val="0"/>
        <w:jc w:val="both"/>
        <w:rPr>
          <w:rFonts w:ascii="Garamond" w:hAnsi="Garamond"/>
          <w:spacing w:val="-4"/>
        </w:rPr>
      </w:pPr>
    </w:p>
    <w:p w:rsidR="00813BF5" w:rsidRDefault="00813BF5" w:rsidP="00813BF5">
      <w:pPr>
        <w:pStyle w:val="NoSpacing"/>
        <w:widowControl w:val="0"/>
        <w:jc w:val="both"/>
        <w:rPr>
          <w:rFonts w:ascii="Garamond" w:hAnsi="Garamond"/>
          <w:spacing w:val="-4"/>
        </w:rPr>
      </w:pPr>
    </w:p>
    <w:p w:rsidR="00813BF5" w:rsidRPr="0058247E" w:rsidRDefault="00813BF5" w:rsidP="00813BF5">
      <w:pPr>
        <w:pStyle w:val="NoSpacing"/>
        <w:widowControl w:val="0"/>
        <w:jc w:val="both"/>
        <w:rPr>
          <w:rFonts w:ascii="Garamond" w:hAnsi="Garamond"/>
          <w:spacing w:val="-4"/>
        </w:rPr>
      </w:pPr>
    </w:p>
    <w:p w:rsidR="00813BF5" w:rsidRPr="0058247E" w:rsidRDefault="00813BF5" w:rsidP="00813BF5">
      <w:pPr>
        <w:pStyle w:val="NoSpacing"/>
        <w:widowControl w:val="0"/>
        <w:numPr>
          <w:ilvl w:val="0"/>
          <w:numId w:val="24"/>
        </w:numPr>
        <w:ind w:left="0" w:firstLine="284"/>
        <w:jc w:val="both"/>
        <w:rPr>
          <w:rFonts w:ascii="Garamond" w:hAnsi="Garamond"/>
          <w:spacing w:val="-4"/>
        </w:rPr>
      </w:pPr>
      <w:r w:rsidRPr="0058247E">
        <w:rPr>
          <w:rFonts w:ascii="Garamond" w:hAnsi="Garamond"/>
          <w:b/>
          <w:spacing w:val="-4"/>
        </w:rPr>
        <w:t xml:space="preserve"> Kostot dhe shpenzimet</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Ankuesit bënë kërkesa në lidhje me kostot dhe shpenzimet, siç paraqitet në tabelën në shtojcën nr. 2.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lidhje me ankimet nr. 24468/10, 39492/10, 39495/10 dhe 48522/10, në të cilat citohet </w:t>
      </w:r>
      <w:r w:rsidRPr="0058247E">
        <w:rPr>
          <w:rFonts w:ascii="Garamond" w:hAnsi="Garamond"/>
          <w:i/>
          <w:spacing w:val="-4"/>
        </w:rPr>
        <w:t xml:space="preserve">Gjyli kundër Shqipërisë </w:t>
      </w:r>
      <w:r w:rsidRPr="0058247E">
        <w:rPr>
          <w:rFonts w:ascii="Garamond" w:hAnsi="Garamond"/>
          <w:spacing w:val="-4"/>
        </w:rPr>
        <w:t xml:space="preserve">(nr. 32907/07, § 72, 29 shtator 2009), sipas së cilës kostot dhe shpenzimet duhet jenë të paguara faktikisht dhe domosdoshmërish dhe të jenë të arsyeshme, qeveria ia la çështjen në mirëbesim Gjykatës për të vendosur shumën që do të akordohet për këtë rast.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Sipas vendimeve të Gjykatës, “një ankues ka të drejtën të rimbursohet për kostot dhe shpenzimet vetëm për aq kohë sa tregohet se këto janë bërë në të vërtetë dhe sepse kanë qenë të nevojshme, dhe se janë të arsyeshme” (shiko </w:t>
      </w:r>
      <w:r w:rsidRPr="0058247E">
        <w:rPr>
          <w:rFonts w:ascii="Garamond" w:hAnsi="Garamond"/>
          <w:i/>
          <w:spacing w:val="-4"/>
        </w:rPr>
        <w:t>Gjyli kundër Shqipërisë</w:t>
      </w:r>
      <w:r w:rsidRPr="0058247E">
        <w:rPr>
          <w:rFonts w:ascii="Garamond" w:hAnsi="Garamond"/>
          <w:spacing w:val="-4"/>
        </w:rPr>
        <w:t xml:space="preserve">, cituar më sipër, § 72). Në këtë këndvështrim, rregulli 60 §§ 2 dhe 3 i Rregullores së Gjykatës parashikon se ankuesit duhet të bashkëlidhin me kërkesat e tyre për kompensim të drejtë “çdo dokument mbështetës të lidhur me çështjen”. Nëse kjo gjë nuk realizohet, Gjykata “mund t’i kundërshtojë kërkesat plotësisht ose pjesërisht”.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lidhje me ankimin nr. 5207/10, Gjykata nuk do të akordojë kompensim për kostot dhe shpenzimet, duke qenë se kërkesat janë dorëzuar jashtë afatit (shiko, së fundmi, </w:t>
      </w:r>
      <w:r w:rsidRPr="0058247E">
        <w:rPr>
          <w:rFonts w:ascii="Garamond" w:hAnsi="Garamond"/>
          <w:i/>
          <w:spacing w:val="-4"/>
        </w:rPr>
        <w:t>Apostu</w:t>
      </w:r>
      <w:r w:rsidRPr="0058247E">
        <w:rPr>
          <w:rFonts w:ascii="Garamond" w:hAnsi="Garamond"/>
          <w:spacing w:val="-4"/>
        </w:rPr>
        <w:t xml:space="preserve">, cituar më sipër, § 136).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lidhje me ankimin nr. 40751/10, Gjykata nuk do të akordojë kompensim për kostot dhe shpenzimet, duke qenë se ankuesi nuk ka bërë ndonjë kërkesë specifike. </w:t>
      </w:r>
    </w:p>
    <w:p w:rsidR="00813BF5" w:rsidRPr="0058247E" w:rsidRDefault="00813BF5" w:rsidP="00813BF5">
      <w:pPr>
        <w:pStyle w:val="NoSpacing"/>
        <w:widowControl w:val="0"/>
        <w:numPr>
          <w:ilvl w:val="0"/>
          <w:numId w:val="17"/>
        </w:numPr>
        <w:ind w:left="0" w:firstLine="284"/>
        <w:jc w:val="both"/>
        <w:rPr>
          <w:rFonts w:ascii="Garamond" w:hAnsi="Garamond"/>
          <w:spacing w:val="-4"/>
        </w:rPr>
      </w:pPr>
      <w:r w:rsidRPr="0058247E">
        <w:rPr>
          <w:rFonts w:ascii="Garamond" w:hAnsi="Garamond"/>
          <w:spacing w:val="-4"/>
        </w:rPr>
        <w:t xml:space="preserve"> Në lidhje me gjetjet e saj në paragrafët 42–43, natyra përsëritëse e ankesave të ngritura në ankimet e mësipërme, parashtrimet e ngjashme të bëra nga Gjykata, përfaqësimi i ankuesve nga i njëjti avokat dhe pikëpamja e Gjykatës se shumica e kostove dhe e shpenzimeve të kërkuara nuk ishin të justifikueshme për kuant, Gjykata e gjykon të arsyeshme të akordojë kompensime në lidhje me kostot dhe shpenzimet, siç paraqitet në tabelën në shtojcën nr. 3. </w:t>
      </w:r>
    </w:p>
    <w:p w:rsidR="00813BF5" w:rsidRPr="0058247E" w:rsidRDefault="00813BF5" w:rsidP="00813BF5">
      <w:pPr>
        <w:pStyle w:val="NoSpacing"/>
        <w:widowControl w:val="0"/>
        <w:numPr>
          <w:ilvl w:val="0"/>
          <w:numId w:val="24"/>
        </w:numPr>
        <w:ind w:left="0" w:firstLine="284"/>
        <w:jc w:val="both"/>
        <w:rPr>
          <w:rFonts w:ascii="Garamond" w:hAnsi="Garamond"/>
          <w:spacing w:val="-4"/>
        </w:rPr>
      </w:pPr>
      <w:r w:rsidRPr="0058247E">
        <w:rPr>
          <w:rFonts w:ascii="Garamond" w:hAnsi="Garamond"/>
          <w:b/>
          <w:spacing w:val="-4"/>
        </w:rPr>
        <w:t xml:space="preserve"> INTERESI I PAPAGUAR </w:t>
      </w:r>
    </w:p>
    <w:p w:rsidR="00813BF5" w:rsidRPr="008A7937" w:rsidRDefault="00813BF5" w:rsidP="00813BF5">
      <w:pPr>
        <w:pStyle w:val="NoSpacing"/>
        <w:widowControl w:val="0"/>
        <w:numPr>
          <w:ilvl w:val="0"/>
          <w:numId w:val="17"/>
        </w:numPr>
        <w:ind w:left="0" w:firstLine="284"/>
        <w:jc w:val="both"/>
        <w:rPr>
          <w:rFonts w:ascii="Garamond" w:hAnsi="Garamond"/>
        </w:rPr>
      </w:pPr>
      <w:r w:rsidRPr="0058247E">
        <w:rPr>
          <w:rFonts w:ascii="Garamond" w:hAnsi="Garamond"/>
          <w:spacing w:val="-4"/>
        </w:rPr>
        <w:t xml:space="preserve"> Gjykata e konsideron si të përshtatshme që norma e interesit të papaguar duhet të</w:t>
      </w:r>
      <w:r w:rsidRPr="008A7937">
        <w:rPr>
          <w:rFonts w:ascii="Garamond" w:hAnsi="Garamond"/>
        </w:rPr>
        <w:t xml:space="preserve"> bazohet në normën marxhinale huadhënëse të Bankës Qendrore E</w:t>
      </w:r>
      <w:r>
        <w:rPr>
          <w:rFonts w:ascii="Garamond" w:hAnsi="Garamond"/>
        </w:rPr>
        <w:t>v</w:t>
      </w:r>
      <w:r w:rsidRPr="008A7937">
        <w:rPr>
          <w:rFonts w:ascii="Garamond" w:hAnsi="Garamond"/>
        </w:rPr>
        <w:t>ropiane, së cilës duhet t’i shtohen tre për</w:t>
      </w:r>
      <w:r>
        <w:rPr>
          <w:rFonts w:ascii="Garamond" w:hAnsi="Garamond"/>
        </w:rPr>
        <w:t xml:space="preserve"> </w:t>
      </w:r>
      <w:r w:rsidRPr="008A7937">
        <w:rPr>
          <w:rFonts w:ascii="Garamond" w:hAnsi="Garamond"/>
        </w:rPr>
        <w:t xml:space="preserve">qind. </w:t>
      </w:r>
    </w:p>
    <w:p w:rsidR="00813BF5" w:rsidRDefault="00813BF5" w:rsidP="00813BF5">
      <w:pPr>
        <w:pStyle w:val="NoSpacing"/>
        <w:widowControl w:val="0"/>
        <w:ind w:firstLine="284"/>
        <w:jc w:val="center"/>
        <w:rPr>
          <w:rFonts w:ascii="Garamond" w:hAnsi="Garamond"/>
        </w:rPr>
      </w:pPr>
      <w:r w:rsidRPr="008A7937">
        <w:rPr>
          <w:rFonts w:ascii="Garamond" w:hAnsi="Garamond"/>
        </w:rPr>
        <w:t>PËR KËTO ARSYE, GJYKATA, NË MËNYRË UNANIME,</w:t>
      </w:r>
    </w:p>
    <w:p w:rsidR="00813BF5" w:rsidRPr="0058247E" w:rsidRDefault="00813BF5" w:rsidP="00813BF5">
      <w:pPr>
        <w:pStyle w:val="NoSpacing"/>
        <w:widowControl w:val="0"/>
        <w:ind w:firstLine="284"/>
        <w:jc w:val="both"/>
        <w:rPr>
          <w:rFonts w:ascii="Garamond" w:hAnsi="Garamond"/>
          <w:sz w:val="14"/>
        </w:rPr>
      </w:pPr>
    </w:p>
    <w:p w:rsidR="00813BF5" w:rsidRPr="00B102C4" w:rsidRDefault="00813BF5" w:rsidP="00813BF5">
      <w:pPr>
        <w:pStyle w:val="NoSpacing"/>
        <w:widowControl w:val="0"/>
        <w:numPr>
          <w:ilvl w:val="0"/>
          <w:numId w:val="29"/>
        </w:numPr>
        <w:ind w:left="284" w:hanging="14"/>
        <w:jc w:val="both"/>
        <w:rPr>
          <w:rFonts w:ascii="Garamond" w:hAnsi="Garamond"/>
        </w:rPr>
      </w:pPr>
      <w:r>
        <w:rPr>
          <w:rFonts w:ascii="Garamond" w:hAnsi="Garamond"/>
          <w:i/>
        </w:rPr>
        <w:t xml:space="preserve"> </w:t>
      </w:r>
      <w:r w:rsidRPr="00B102C4">
        <w:rPr>
          <w:rFonts w:ascii="Garamond" w:hAnsi="Garamond"/>
          <w:i/>
        </w:rPr>
        <w:t xml:space="preserve">Vendos </w:t>
      </w:r>
      <w:r w:rsidRPr="00B102C4">
        <w:rPr>
          <w:rFonts w:ascii="Garamond" w:hAnsi="Garamond"/>
        </w:rPr>
        <w:t xml:space="preserve">t’i bashkojë të gjitha ankimet; </w:t>
      </w:r>
    </w:p>
    <w:p w:rsidR="00813BF5" w:rsidRPr="008A7937" w:rsidRDefault="00813BF5" w:rsidP="00813BF5">
      <w:pPr>
        <w:pStyle w:val="NoSpacing"/>
        <w:widowControl w:val="0"/>
        <w:numPr>
          <w:ilvl w:val="0"/>
          <w:numId w:val="29"/>
        </w:numPr>
        <w:ind w:left="0" w:firstLine="284"/>
        <w:jc w:val="both"/>
        <w:rPr>
          <w:rFonts w:ascii="Garamond" w:hAnsi="Garamond"/>
        </w:rPr>
      </w:pPr>
      <w:r>
        <w:rPr>
          <w:rFonts w:ascii="Garamond" w:hAnsi="Garamond"/>
          <w:i/>
        </w:rPr>
        <w:t xml:space="preserve"> </w:t>
      </w:r>
      <w:r w:rsidRPr="008A7937">
        <w:rPr>
          <w:rFonts w:ascii="Garamond" w:hAnsi="Garamond"/>
          <w:i/>
        </w:rPr>
        <w:t>E deklaron</w:t>
      </w:r>
      <w:r w:rsidRPr="008A7937">
        <w:rPr>
          <w:rFonts w:ascii="Garamond" w:hAnsi="Garamond"/>
        </w:rPr>
        <w:t xml:space="preserve"> ankimin nr. 36228/10 të papranueshëm; </w:t>
      </w:r>
    </w:p>
    <w:p w:rsidR="00813BF5" w:rsidRPr="008A7937" w:rsidRDefault="00813BF5" w:rsidP="00813BF5">
      <w:pPr>
        <w:pStyle w:val="NoSpacing"/>
        <w:widowControl w:val="0"/>
        <w:numPr>
          <w:ilvl w:val="0"/>
          <w:numId w:val="29"/>
        </w:numPr>
        <w:ind w:left="0" w:firstLine="284"/>
        <w:jc w:val="both"/>
        <w:rPr>
          <w:rFonts w:ascii="Garamond" w:hAnsi="Garamond"/>
        </w:rPr>
      </w:pPr>
      <w:r>
        <w:rPr>
          <w:rFonts w:ascii="Garamond" w:hAnsi="Garamond"/>
          <w:i/>
        </w:rPr>
        <w:t xml:space="preserve"> </w:t>
      </w:r>
      <w:r w:rsidRPr="008A7937">
        <w:rPr>
          <w:rFonts w:ascii="Garamond" w:hAnsi="Garamond"/>
          <w:i/>
        </w:rPr>
        <w:t xml:space="preserve">I deklaron </w:t>
      </w:r>
      <w:r w:rsidRPr="008A7937">
        <w:rPr>
          <w:rFonts w:ascii="Garamond" w:hAnsi="Garamond"/>
        </w:rPr>
        <w:t xml:space="preserve">ankimet në lidhje me </w:t>
      </w:r>
      <w:r>
        <w:rPr>
          <w:rFonts w:ascii="Garamond" w:hAnsi="Garamond"/>
        </w:rPr>
        <w:t>n</w:t>
      </w:r>
      <w:r w:rsidRPr="008A7937">
        <w:rPr>
          <w:rFonts w:ascii="Garamond" w:hAnsi="Garamond"/>
        </w:rPr>
        <w:t>enet 6 § 1 dhe 13 të Konventës</w:t>
      </w:r>
      <w:r>
        <w:rPr>
          <w:rFonts w:ascii="Garamond" w:hAnsi="Garamond"/>
        </w:rPr>
        <w:t>,</w:t>
      </w:r>
      <w:r w:rsidRPr="008A7937">
        <w:rPr>
          <w:rFonts w:ascii="Garamond" w:hAnsi="Garamond"/>
        </w:rPr>
        <w:t xml:space="preserve"> si edhe të nenit 1 të protokollit nr. 1 të Konventës në lidhje me moszbatimin e vendimeve vendase të formës së prerë dhe kohëzgjatjen e procedurave të pranueshme dhe pjesën e mbetur të ankimeve të papranueshme; </w:t>
      </w:r>
    </w:p>
    <w:p w:rsidR="00813BF5" w:rsidRPr="008A7937" w:rsidRDefault="00813BF5" w:rsidP="00813BF5">
      <w:pPr>
        <w:pStyle w:val="NoSpacing"/>
        <w:widowControl w:val="0"/>
        <w:numPr>
          <w:ilvl w:val="0"/>
          <w:numId w:val="29"/>
        </w:numPr>
        <w:ind w:left="0" w:firstLine="284"/>
        <w:jc w:val="both"/>
        <w:rPr>
          <w:rFonts w:ascii="Garamond" w:hAnsi="Garamond"/>
        </w:rPr>
      </w:pPr>
      <w:r>
        <w:rPr>
          <w:rFonts w:ascii="Garamond" w:hAnsi="Garamond"/>
          <w:i/>
        </w:rPr>
        <w:t xml:space="preserve"> </w:t>
      </w:r>
      <w:r w:rsidRPr="008A7937">
        <w:rPr>
          <w:rFonts w:ascii="Garamond" w:hAnsi="Garamond"/>
          <w:i/>
        </w:rPr>
        <w:t xml:space="preserve">Gjykon </w:t>
      </w:r>
      <w:r w:rsidRPr="008A7937">
        <w:rPr>
          <w:rFonts w:ascii="Garamond" w:hAnsi="Garamond"/>
        </w:rPr>
        <w:t xml:space="preserve">se znj. Shpresa Merlika, z. Edmir Merlika dhe z. Vasil Dhimertika nuk mund të pretendojnë të jenë </w:t>
      </w:r>
      <w:r>
        <w:rPr>
          <w:rFonts w:ascii="Garamond" w:hAnsi="Garamond"/>
        </w:rPr>
        <w:t>“</w:t>
      </w:r>
      <w:r w:rsidRPr="008A7937">
        <w:rPr>
          <w:rFonts w:ascii="Garamond" w:hAnsi="Garamond"/>
        </w:rPr>
        <w:t>viktima</w:t>
      </w:r>
      <w:r>
        <w:rPr>
          <w:rFonts w:ascii="Garamond" w:hAnsi="Garamond"/>
        </w:rPr>
        <w:t>”</w:t>
      </w:r>
      <w:r w:rsidRPr="008A7937">
        <w:rPr>
          <w:rFonts w:ascii="Garamond" w:hAnsi="Garamond"/>
        </w:rPr>
        <w:t xml:space="preserve"> në kuptim të </w:t>
      </w:r>
      <w:r>
        <w:rPr>
          <w:rFonts w:ascii="Garamond" w:hAnsi="Garamond"/>
        </w:rPr>
        <w:t>n</w:t>
      </w:r>
      <w:r w:rsidRPr="008A7937">
        <w:rPr>
          <w:rFonts w:ascii="Garamond" w:hAnsi="Garamond"/>
        </w:rPr>
        <w:t xml:space="preserve">enit 34 të Konventës për shkelje të </w:t>
      </w:r>
      <w:r>
        <w:rPr>
          <w:rFonts w:ascii="Garamond" w:hAnsi="Garamond"/>
        </w:rPr>
        <w:t>n</w:t>
      </w:r>
      <w:r w:rsidRPr="008A7937">
        <w:rPr>
          <w:rFonts w:ascii="Garamond" w:hAnsi="Garamond"/>
        </w:rPr>
        <w:t>eneve 6 § 1 dhe 13 të Konventës</w:t>
      </w:r>
      <w:r>
        <w:rPr>
          <w:rFonts w:ascii="Garamond" w:hAnsi="Garamond"/>
        </w:rPr>
        <w:t>,</w:t>
      </w:r>
      <w:r w:rsidRPr="008A7937">
        <w:rPr>
          <w:rFonts w:ascii="Garamond" w:hAnsi="Garamond"/>
        </w:rPr>
        <w:t xml:space="preserve"> si edhe të nenit 1 të protokollit nr. 1 të Konventës; </w:t>
      </w:r>
    </w:p>
    <w:p w:rsidR="00813BF5" w:rsidRPr="008A7937" w:rsidRDefault="00813BF5" w:rsidP="00813BF5">
      <w:pPr>
        <w:pStyle w:val="NoSpacing"/>
        <w:widowControl w:val="0"/>
        <w:numPr>
          <w:ilvl w:val="0"/>
          <w:numId w:val="29"/>
        </w:numPr>
        <w:ind w:left="0" w:firstLine="284"/>
        <w:jc w:val="both"/>
        <w:rPr>
          <w:rFonts w:ascii="Garamond" w:hAnsi="Garamond"/>
        </w:rPr>
      </w:pPr>
      <w:r>
        <w:rPr>
          <w:rFonts w:ascii="Garamond" w:hAnsi="Garamond"/>
          <w:i/>
        </w:rPr>
        <w:t xml:space="preserve"> </w:t>
      </w:r>
      <w:r w:rsidRPr="008A7937">
        <w:rPr>
          <w:rFonts w:ascii="Garamond" w:hAnsi="Garamond"/>
          <w:i/>
        </w:rPr>
        <w:t>Gjykon</w:t>
      </w:r>
      <w:r w:rsidRPr="008A7937">
        <w:rPr>
          <w:rFonts w:ascii="Garamond" w:hAnsi="Garamond"/>
        </w:rPr>
        <w:t xml:space="preserve"> se ka pasur një shkelje të </w:t>
      </w:r>
      <w:r>
        <w:rPr>
          <w:rFonts w:ascii="Garamond" w:hAnsi="Garamond"/>
        </w:rPr>
        <w:t>n</w:t>
      </w:r>
      <w:r w:rsidRPr="008A7937">
        <w:rPr>
          <w:rFonts w:ascii="Garamond" w:hAnsi="Garamond"/>
        </w:rPr>
        <w:t>eneve 6 § 1 dhe 13 të Konventës</w:t>
      </w:r>
      <w:r>
        <w:rPr>
          <w:rFonts w:ascii="Garamond" w:hAnsi="Garamond"/>
        </w:rPr>
        <w:t>,</w:t>
      </w:r>
      <w:r w:rsidRPr="008A7937">
        <w:rPr>
          <w:rFonts w:ascii="Garamond" w:hAnsi="Garamond"/>
        </w:rPr>
        <w:t xml:space="preserve"> si edhe të </w:t>
      </w:r>
      <w:r>
        <w:rPr>
          <w:rFonts w:ascii="Garamond" w:hAnsi="Garamond"/>
        </w:rPr>
        <w:t>n</w:t>
      </w:r>
      <w:r w:rsidRPr="008A7937">
        <w:rPr>
          <w:rFonts w:ascii="Garamond" w:hAnsi="Garamond"/>
        </w:rPr>
        <w:t xml:space="preserve">enit 1 të protokollit nr. 1 të Konventës për sa ka të bëjë me moszbatimin e vendimeve vendase të formës së </w:t>
      </w:r>
      <w:r w:rsidRPr="008A7937">
        <w:rPr>
          <w:rFonts w:ascii="Garamond" w:hAnsi="Garamond"/>
        </w:rPr>
        <w:lastRenderedPageBreak/>
        <w:t xml:space="preserve">prerë; </w:t>
      </w:r>
    </w:p>
    <w:p w:rsidR="00813BF5" w:rsidRPr="008A7937" w:rsidRDefault="00813BF5" w:rsidP="00813BF5">
      <w:pPr>
        <w:pStyle w:val="NoSpacing"/>
        <w:widowControl w:val="0"/>
        <w:numPr>
          <w:ilvl w:val="0"/>
          <w:numId w:val="29"/>
        </w:numPr>
        <w:ind w:left="0" w:firstLine="284"/>
        <w:jc w:val="both"/>
        <w:rPr>
          <w:rFonts w:ascii="Garamond" w:hAnsi="Garamond"/>
        </w:rPr>
      </w:pPr>
      <w:r>
        <w:rPr>
          <w:rFonts w:ascii="Garamond" w:hAnsi="Garamond"/>
          <w:i/>
        </w:rPr>
        <w:t xml:space="preserve"> </w:t>
      </w:r>
      <w:r w:rsidRPr="008A7937">
        <w:rPr>
          <w:rFonts w:ascii="Garamond" w:hAnsi="Garamond"/>
          <w:i/>
        </w:rPr>
        <w:t xml:space="preserve">Gjykon </w:t>
      </w:r>
      <w:r w:rsidRPr="008A7937">
        <w:rPr>
          <w:rFonts w:ascii="Garamond" w:hAnsi="Garamond"/>
        </w:rPr>
        <w:t xml:space="preserve">se nuk është e nevojshme të shqyrtohet ankesa sipas kuptimit të </w:t>
      </w:r>
      <w:r>
        <w:rPr>
          <w:rFonts w:ascii="Garamond" w:hAnsi="Garamond"/>
        </w:rPr>
        <w:t>n</w:t>
      </w:r>
      <w:r w:rsidRPr="008A7937">
        <w:rPr>
          <w:rFonts w:ascii="Garamond" w:hAnsi="Garamond"/>
        </w:rPr>
        <w:t xml:space="preserve">enit 6 § 1 të Konventës në lidhje me kohëzgjatjen e procedurave; </w:t>
      </w:r>
    </w:p>
    <w:p w:rsidR="00813BF5" w:rsidRPr="008A7937" w:rsidRDefault="00813BF5" w:rsidP="00813BF5">
      <w:pPr>
        <w:pStyle w:val="NoSpacing"/>
        <w:widowControl w:val="0"/>
        <w:numPr>
          <w:ilvl w:val="0"/>
          <w:numId w:val="29"/>
        </w:numPr>
        <w:ind w:left="0" w:firstLine="284"/>
        <w:jc w:val="both"/>
        <w:rPr>
          <w:rFonts w:ascii="Garamond" w:hAnsi="Garamond"/>
        </w:rPr>
      </w:pPr>
      <w:r>
        <w:rPr>
          <w:rFonts w:ascii="Garamond" w:hAnsi="Garamond"/>
          <w:i/>
        </w:rPr>
        <w:t xml:space="preserve"> </w:t>
      </w:r>
      <w:r w:rsidRPr="008A7937">
        <w:rPr>
          <w:rFonts w:ascii="Garamond" w:hAnsi="Garamond"/>
          <w:i/>
        </w:rPr>
        <w:t>Gjykon</w:t>
      </w:r>
    </w:p>
    <w:p w:rsidR="00813BF5" w:rsidRPr="008A7937" w:rsidRDefault="00813BF5" w:rsidP="00813BF5">
      <w:pPr>
        <w:pStyle w:val="NoSpacing"/>
        <w:widowControl w:val="0"/>
        <w:numPr>
          <w:ilvl w:val="0"/>
          <w:numId w:val="30"/>
        </w:numPr>
        <w:ind w:left="0" w:firstLine="284"/>
        <w:jc w:val="both"/>
        <w:rPr>
          <w:rFonts w:ascii="Garamond" w:hAnsi="Garamond"/>
        </w:rPr>
      </w:pPr>
      <w:r>
        <w:rPr>
          <w:rFonts w:ascii="Garamond" w:hAnsi="Garamond"/>
        </w:rPr>
        <w:t xml:space="preserve"> </w:t>
      </w:r>
      <w:r w:rsidRPr="008A7937">
        <w:rPr>
          <w:rFonts w:ascii="Garamond" w:hAnsi="Garamond"/>
        </w:rPr>
        <w:t>Se shteti i paditur duhet të sigurojë, me anë të mjeteve të duhura, zbatimin e vendimit të Gjykatës së Lartë</w:t>
      </w:r>
      <w:r>
        <w:rPr>
          <w:rFonts w:ascii="Garamond" w:hAnsi="Garamond"/>
        </w:rPr>
        <w:t>,</w:t>
      </w:r>
      <w:r w:rsidRPr="008A7937">
        <w:rPr>
          <w:rFonts w:ascii="Garamond" w:hAnsi="Garamond"/>
        </w:rPr>
        <w:t xml:space="preserve"> të datës 27 </w:t>
      </w:r>
      <w:r>
        <w:rPr>
          <w:rFonts w:ascii="Garamond" w:hAnsi="Garamond"/>
        </w:rPr>
        <w:t>s</w:t>
      </w:r>
      <w:r w:rsidRPr="008A7937">
        <w:rPr>
          <w:rFonts w:ascii="Garamond" w:hAnsi="Garamond"/>
        </w:rPr>
        <w:t xml:space="preserve">htator 2001, i dhënë në favor të ankuesit në ankesën nr. 5207/10, brenda tre muajve; </w:t>
      </w:r>
    </w:p>
    <w:p w:rsidR="00813BF5" w:rsidRPr="008A7937" w:rsidRDefault="00813BF5" w:rsidP="00813BF5">
      <w:pPr>
        <w:pStyle w:val="NoSpacing"/>
        <w:widowControl w:val="0"/>
        <w:numPr>
          <w:ilvl w:val="0"/>
          <w:numId w:val="30"/>
        </w:numPr>
        <w:ind w:left="0" w:firstLine="284"/>
        <w:jc w:val="both"/>
        <w:rPr>
          <w:rFonts w:ascii="Garamond" w:hAnsi="Garamond"/>
        </w:rPr>
      </w:pPr>
      <w:r>
        <w:rPr>
          <w:rFonts w:ascii="Garamond" w:hAnsi="Garamond"/>
        </w:rPr>
        <w:t xml:space="preserve"> </w:t>
      </w:r>
      <w:r w:rsidRPr="008A7937">
        <w:rPr>
          <w:rFonts w:ascii="Garamond" w:hAnsi="Garamond"/>
        </w:rPr>
        <w:t>Se shteti i paditur duhet t’i paguajë së</w:t>
      </w:r>
      <w:r>
        <w:rPr>
          <w:rFonts w:ascii="Garamond" w:hAnsi="Garamond"/>
        </w:rPr>
        <w:t xml:space="preserve"> </w:t>
      </w:r>
      <w:r w:rsidRPr="008A7937">
        <w:rPr>
          <w:rFonts w:ascii="Garamond" w:hAnsi="Garamond"/>
        </w:rPr>
        <w:t xml:space="preserve">bashku ankuesit, për ankimet nr. 24468/10, 39492/10, 39495/10, 40751/10 dhe 48522/10 brenda tre muajve, shumat e përmendura në paragrafët 65 dhe 71 të vendimit dhe të pasqyruara në tabelën në </w:t>
      </w:r>
      <w:r>
        <w:rPr>
          <w:rFonts w:ascii="Garamond" w:hAnsi="Garamond"/>
        </w:rPr>
        <w:t>s</w:t>
      </w:r>
      <w:r w:rsidRPr="008A7937">
        <w:rPr>
          <w:rFonts w:ascii="Garamond" w:hAnsi="Garamond"/>
        </w:rPr>
        <w:t xml:space="preserve">htojcën 3, plus çdo taksë që mund të jetë e tarifueshme, për t’u shkëmbyer në monedhën vendase në normën e zbatueshme në datën e shlyerjes; </w:t>
      </w:r>
    </w:p>
    <w:p w:rsidR="00813BF5" w:rsidRPr="008A7937" w:rsidRDefault="00813BF5" w:rsidP="00813BF5">
      <w:pPr>
        <w:pStyle w:val="NoSpacing"/>
        <w:widowControl w:val="0"/>
        <w:numPr>
          <w:ilvl w:val="0"/>
          <w:numId w:val="30"/>
        </w:numPr>
        <w:ind w:left="0" w:firstLine="284"/>
        <w:jc w:val="both"/>
        <w:rPr>
          <w:rFonts w:ascii="Garamond" w:hAnsi="Garamond"/>
        </w:rPr>
      </w:pPr>
      <w:r>
        <w:rPr>
          <w:rFonts w:ascii="Garamond" w:hAnsi="Garamond"/>
        </w:rPr>
        <w:t xml:space="preserve"> </w:t>
      </w:r>
      <w:r w:rsidRPr="008A7937">
        <w:rPr>
          <w:rFonts w:ascii="Garamond" w:hAnsi="Garamond"/>
        </w:rPr>
        <w:t>Se që nga përfundimi i tre muajve të përmendur më</w:t>
      </w:r>
      <w:r>
        <w:rPr>
          <w:rFonts w:ascii="Garamond" w:hAnsi="Garamond"/>
        </w:rPr>
        <w:t xml:space="preserve"> </w:t>
      </w:r>
      <w:r w:rsidRPr="008A7937">
        <w:rPr>
          <w:rFonts w:ascii="Garamond" w:hAnsi="Garamond"/>
        </w:rPr>
        <w:t>sipër deri në momentin e shlyerjes, interesi i thjeshtë do të jetë i pagueshëm në shumat e sipërpërmendura në një normë të barabartë me normën huadhënëse marxhinale të Bankës Qendrore Evropiane gjatë periudhës së mospagimit plus tre për</w:t>
      </w:r>
      <w:r>
        <w:rPr>
          <w:rFonts w:ascii="Garamond" w:hAnsi="Garamond"/>
        </w:rPr>
        <w:t xml:space="preserve"> </w:t>
      </w:r>
      <w:r w:rsidRPr="008A7937">
        <w:rPr>
          <w:rFonts w:ascii="Garamond" w:hAnsi="Garamond"/>
        </w:rPr>
        <w:t xml:space="preserve">qind; </w:t>
      </w:r>
    </w:p>
    <w:p w:rsidR="00813BF5" w:rsidRPr="008A7937" w:rsidRDefault="00813BF5" w:rsidP="00813BF5">
      <w:pPr>
        <w:pStyle w:val="NoSpacing"/>
        <w:widowControl w:val="0"/>
        <w:numPr>
          <w:ilvl w:val="0"/>
          <w:numId w:val="29"/>
        </w:numPr>
        <w:ind w:left="0" w:firstLine="284"/>
        <w:jc w:val="both"/>
        <w:rPr>
          <w:rFonts w:ascii="Garamond" w:hAnsi="Garamond"/>
          <w:i/>
        </w:rPr>
      </w:pPr>
      <w:r>
        <w:rPr>
          <w:rFonts w:ascii="Garamond" w:hAnsi="Garamond"/>
          <w:i/>
        </w:rPr>
        <w:t xml:space="preserve"> </w:t>
      </w:r>
      <w:r w:rsidRPr="008A7937">
        <w:rPr>
          <w:rFonts w:ascii="Garamond" w:hAnsi="Garamond"/>
          <w:i/>
        </w:rPr>
        <w:t xml:space="preserve">Rrëzon </w:t>
      </w:r>
      <w:r w:rsidRPr="008A7937">
        <w:rPr>
          <w:rFonts w:ascii="Garamond" w:hAnsi="Garamond"/>
        </w:rPr>
        <w:t xml:space="preserve">pjesën e mbetur të kërkesës së ankuesve për kompensim të drejtë. </w:t>
      </w:r>
    </w:p>
    <w:p w:rsidR="00813BF5" w:rsidRPr="008A7937" w:rsidRDefault="00813BF5" w:rsidP="00813BF5">
      <w:pPr>
        <w:pStyle w:val="NoSpacing"/>
        <w:widowControl w:val="0"/>
        <w:ind w:firstLine="284"/>
        <w:jc w:val="both"/>
        <w:rPr>
          <w:rFonts w:ascii="Garamond" w:hAnsi="Garamond"/>
        </w:rPr>
      </w:pPr>
      <w:r w:rsidRPr="008A7937">
        <w:rPr>
          <w:rFonts w:ascii="Garamond" w:hAnsi="Garamond"/>
        </w:rPr>
        <w:t xml:space="preserve">Përgatitur në anglisht dhe njoftuar me shkrim më 17 </w:t>
      </w:r>
      <w:r>
        <w:rPr>
          <w:rFonts w:ascii="Garamond" w:hAnsi="Garamond"/>
        </w:rPr>
        <w:t>m</w:t>
      </w:r>
      <w:r w:rsidRPr="008A7937">
        <w:rPr>
          <w:rFonts w:ascii="Garamond" w:hAnsi="Garamond"/>
        </w:rPr>
        <w:t xml:space="preserve">ars 2016, sipas rregullit 77 §§ 2 dhe 3 të Rregullores së Gjykatës. </w:t>
      </w:r>
    </w:p>
    <w:p w:rsidR="00813BF5" w:rsidRPr="00240178" w:rsidRDefault="00813BF5" w:rsidP="00813BF5">
      <w:pPr>
        <w:pStyle w:val="NoSpacing"/>
        <w:widowControl w:val="0"/>
        <w:ind w:firstLine="284"/>
        <w:jc w:val="both"/>
        <w:rPr>
          <w:rFonts w:ascii="Garamond" w:hAnsi="Garamond"/>
          <w:sz w:val="14"/>
          <w:szCs w:val="14"/>
        </w:rPr>
      </w:pPr>
    </w:p>
    <w:p w:rsidR="00813BF5" w:rsidRPr="00240178" w:rsidRDefault="00813BF5" w:rsidP="00813BF5">
      <w:pPr>
        <w:pStyle w:val="NoSpacing"/>
        <w:widowControl w:val="0"/>
        <w:jc w:val="right"/>
        <w:rPr>
          <w:rFonts w:ascii="Garamond" w:hAnsi="Garamond"/>
          <w:b/>
        </w:rPr>
      </w:pPr>
      <w:r w:rsidRPr="00240178">
        <w:rPr>
          <w:rFonts w:ascii="Garamond" w:hAnsi="Garamond"/>
          <w:b/>
        </w:rPr>
        <w:t xml:space="preserve">André Wampach </w:t>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sidRPr="00240178">
        <w:rPr>
          <w:rFonts w:ascii="Garamond" w:hAnsi="Garamond"/>
          <w:b/>
        </w:rPr>
        <w:tab/>
      </w:r>
      <w:r>
        <w:rPr>
          <w:rFonts w:ascii="Garamond" w:hAnsi="Garamond"/>
          <w:b/>
        </w:rPr>
        <w:t xml:space="preserve">            </w:t>
      </w:r>
    </w:p>
    <w:p w:rsidR="00813BF5" w:rsidRPr="00240178" w:rsidRDefault="00813BF5" w:rsidP="00813BF5">
      <w:pPr>
        <w:pStyle w:val="NoSpacing"/>
        <w:widowControl w:val="0"/>
        <w:jc w:val="right"/>
        <w:rPr>
          <w:rFonts w:ascii="Garamond" w:hAnsi="Garamond"/>
        </w:rPr>
      </w:pPr>
      <w:r w:rsidRPr="00240178">
        <w:rPr>
          <w:rFonts w:ascii="Garamond" w:hAnsi="Garamond"/>
        </w:rPr>
        <w:t xml:space="preserve">ZËVENDËSREGJISTRAR </w:t>
      </w:r>
      <w:r w:rsidRPr="00240178">
        <w:rPr>
          <w:rFonts w:ascii="Garamond" w:hAnsi="Garamond"/>
        </w:rPr>
        <w:tab/>
      </w:r>
      <w:r w:rsidRPr="00240178">
        <w:rPr>
          <w:rFonts w:ascii="Garamond" w:hAnsi="Garamond"/>
        </w:rPr>
        <w:tab/>
      </w:r>
      <w:r w:rsidRPr="00240178">
        <w:rPr>
          <w:rFonts w:ascii="Garamond" w:hAnsi="Garamond"/>
        </w:rPr>
        <w:tab/>
      </w:r>
      <w:r w:rsidRPr="00240178">
        <w:rPr>
          <w:rFonts w:ascii="Garamond" w:hAnsi="Garamond"/>
        </w:rPr>
        <w:tab/>
        <w:t xml:space="preserve">              </w:t>
      </w:r>
    </w:p>
    <w:p w:rsidR="00813BF5" w:rsidRPr="00240178" w:rsidRDefault="00813BF5" w:rsidP="00813BF5">
      <w:pPr>
        <w:pStyle w:val="NoSpacing"/>
        <w:widowControl w:val="0"/>
        <w:jc w:val="right"/>
        <w:rPr>
          <w:rFonts w:ascii="Garamond" w:hAnsi="Garamond"/>
          <w:b/>
          <w:sz w:val="14"/>
          <w:szCs w:val="14"/>
        </w:rPr>
      </w:pPr>
    </w:p>
    <w:p w:rsidR="00813BF5" w:rsidRDefault="00813BF5" w:rsidP="00813BF5">
      <w:pPr>
        <w:pStyle w:val="NoSpacing"/>
        <w:widowControl w:val="0"/>
        <w:jc w:val="right"/>
        <w:rPr>
          <w:rFonts w:ascii="Garamond" w:hAnsi="Garamond"/>
          <w:b/>
        </w:rPr>
      </w:pPr>
      <w:r w:rsidRPr="00240178">
        <w:rPr>
          <w:rFonts w:ascii="Garamond" w:hAnsi="Garamond"/>
          <w:b/>
        </w:rPr>
        <w:t xml:space="preserve">Kristina Pardalos </w:t>
      </w:r>
    </w:p>
    <w:p w:rsidR="00813BF5" w:rsidRPr="00240178" w:rsidRDefault="00813BF5" w:rsidP="00813BF5">
      <w:pPr>
        <w:pStyle w:val="NoSpacing"/>
        <w:widowControl w:val="0"/>
        <w:jc w:val="right"/>
        <w:rPr>
          <w:rFonts w:ascii="Garamond" w:hAnsi="Garamond"/>
        </w:rPr>
      </w:pPr>
      <w:r w:rsidRPr="00240178">
        <w:rPr>
          <w:rFonts w:ascii="Garamond" w:hAnsi="Garamond"/>
        </w:rPr>
        <w:t>PRESIDENTE</w:t>
      </w:r>
    </w:p>
    <w:p w:rsidR="00813BF5" w:rsidRPr="00240178" w:rsidRDefault="00813BF5" w:rsidP="00813BF5">
      <w:pPr>
        <w:pStyle w:val="NoSpacing"/>
        <w:widowControl w:val="0"/>
        <w:ind w:firstLine="284"/>
        <w:jc w:val="center"/>
        <w:rPr>
          <w:rFonts w:ascii="Garamond" w:hAnsi="Garamond"/>
          <w:b/>
        </w:rPr>
        <w:sectPr w:rsidR="00813BF5" w:rsidRPr="00240178" w:rsidSect="00E37695">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4283"/>
          <w:cols w:space="454"/>
          <w:docGrid w:linePitch="360"/>
        </w:sectPr>
      </w:pPr>
    </w:p>
    <w:p w:rsidR="00813BF5" w:rsidRPr="00240178" w:rsidRDefault="00813BF5" w:rsidP="00813BF5">
      <w:pPr>
        <w:pStyle w:val="Hapesira7"/>
        <w:rPr>
          <w:b/>
        </w:rPr>
      </w:pPr>
    </w:p>
    <w:p w:rsidR="00813BF5" w:rsidRPr="00B102C4" w:rsidRDefault="00813BF5" w:rsidP="00813BF5">
      <w:pPr>
        <w:pStyle w:val="NoSpacing"/>
        <w:widowControl w:val="0"/>
        <w:ind w:firstLine="284"/>
        <w:jc w:val="center"/>
        <w:rPr>
          <w:rFonts w:ascii="Garamond" w:hAnsi="Garamond"/>
        </w:rPr>
      </w:pPr>
      <w:r w:rsidRPr="00B102C4">
        <w:rPr>
          <w:rFonts w:ascii="Garamond" w:hAnsi="Garamond"/>
        </w:rPr>
        <w:t xml:space="preserve">SHTOJCA 1 </w:t>
      </w:r>
    </w:p>
    <w:p w:rsidR="00813BF5" w:rsidRPr="00B102C4" w:rsidRDefault="00813BF5" w:rsidP="00813BF5">
      <w:pPr>
        <w:pStyle w:val="NoSpacing"/>
        <w:widowControl w:val="0"/>
        <w:ind w:firstLine="284"/>
        <w:jc w:val="center"/>
        <w:rPr>
          <w:rFonts w:ascii="Garamond" w:hAnsi="Garamond"/>
        </w:rPr>
      </w:pPr>
      <w:r w:rsidRPr="00B102C4">
        <w:rPr>
          <w:rFonts w:ascii="Garamond" w:hAnsi="Garamond"/>
        </w:rPr>
        <w:t xml:space="preserve">LISTA E ANKUESVE </w:t>
      </w:r>
    </w:p>
    <w:p w:rsidR="00813BF5" w:rsidRPr="008A7937" w:rsidRDefault="00813BF5" w:rsidP="00813BF5">
      <w:pPr>
        <w:pStyle w:val="Hapesira7"/>
      </w:pPr>
    </w:p>
    <w:tbl>
      <w:tblPr>
        <w:tblW w:w="10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1890"/>
        <w:gridCol w:w="2070"/>
        <w:gridCol w:w="2160"/>
        <w:gridCol w:w="1620"/>
        <w:gridCol w:w="1980"/>
      </w:tblGrid>
      <w:tr w:rsidR="00813BF5" w:rsidRPr="008A7937" w:rsidTr="00FD78BE">
        <w:trPr>
          <w:jc w:val="center"/>
        </w:trPr>
        <w:tc>
          <w:tcPr>
            <w:tcW w:w="63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Nr.</w:t>
            </w:r>
          </w:p>
        </w:tc>
        <w:tc>
          <w:tcPr>
            <w:tcW w:w="189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Emri dhe numri i çështjes</w:t>
            </w:r>
          </w:p>
        </w:tc>
        <w:tc>
          <w:tcPr>
            <w:tcW w:w="2070" w:type="dxa"/>
          </w:tcPr>
          <w:p w:rsidR="00813BF5" w:rsidRDefault="00813BF5" w:rsidP="00FD78BE">
            <w:pPr>
              <w:pStyle w:val="NoSpacing"/>
              <w:widowControl w:val="0"/>
              <w:jc w:val="center"/>
              <w:rPr>
                <w:rFonts w:ascii="Garamond" w:hAnsi="Garamond"/>
                <w:b/>
                <w:sz w:val="20"/>
                <w:szCs w:val="20"/>
              </w:rPr>
            </w:pPr>
            <w:r w:rsidRPr="008A7937">
              <w:rPr>
                <w:rFonts w:ascii="Garamond" w:hAnsi="Garamond"/>
                <w:b/>
                <w:sz w:val="20"/>
                <w:szCs w:val="20"/>
              </w:rPr>
              <w:t xml:space="preserve">Emri i ankuesit </w:t>
            </w:r>
          </w:p>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(viti i lindjes)</w:t>
            </w:r>
          </w:p>
        </w:tc>
        <w:tc>
          <w:tcPr>
            <w:tcW w:w="216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Shteti ku banojnë</w:t>
            </w:r>
          </w:p>
        </w:tc>
        <w:tc>
          <w:tcPr>
            <w:tcW w:w="162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Përfaqësuar nga</w:t>
            </w:r>
          </w:p>
        </w:tc>
        <w:tc>
          <w:tcPr>
            <w:tcW w:w="198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Data e prezantimit</w:t>
            </w:r>
          </w:p>
        </w:tc>
      </w:tr>
      <w:tr w:rsidR="00813BF5" w:rsidRPr="008A7937" w:rsidTr="00FD78BE">
        <w:trPr>
          <w:jc w:val="center"/>
        </w:trPr>
        <w:tc>
          <w:tcPr>
            <w:tcW w:w="630" w:type="dxa"/>
          </w:tcPr>
          <w:p w:rsidR="00813BF5" w:rsidRPr="008A7937" w:rsidRDefault="00813BF5" w:rsidP="00FD78BE">
            <w:pPr>
              <w:pStyle w:val="NoSpacing"/>
              <w:widowControl w:val="0"/>
              <w:jc w:val="both"/>
              <w:rPr>
                <w:rFonts w:ascii="Garamond" w:hAnsi="Garamond"/>
                <w:sz w:val="20"/>
                <w:szCs w:val="20"/>
              </w:rPr>
            </w:pPr>
            <w:r w:rsidRPr="008A7937">
              <w:rPr>
                <w:rFonts w:ascii="Garamond" w:hAnsi="Garamond"/>
                <w:sz w:val="20"/>
                <w:szCs w:val="20"/>
              </w:rPr>
              <w:t>1</w:t>
            </w:r>
          </w:p>
        </w:tc>
        <w:tc>
          <w:tcPr>
            <w:tcW w:w="189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 xml:space="preserve">Rista, </w:t>
            </w:r>
            <w:r w:rsidRPr="008A7937">
              <w:rPr>
                <w:rFonts w:ascii="Garamond" w:hAnsi="Garamond"/>
                <w:sz w:val="20"/>
                <w:szCs w:val="20"/>
              </w:rPr>
              <w:t>nr. 5207/10</w:t>
            </w:r>
          </w:p>
        </w:tc>
        <w:tc>
          <w:tcPr>
            <w:tcW w:w="207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Kozma Rista</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J. Mërtiri, avokat </w:t>
            </w:r>
          </w:p>
        </w:tc>
        <w:tc>
          <w:tcPr>
            <w:tcW w:w="19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12 </w:t>
            </w:r>
            <w:r>
              <w:rPr>
                <w:rFonts w:ascii="Garamond" w:hAnsi="Garamond"/>
                <w:sz w:val="20"/>
                <w:szCs w:val="20"/>
              </w:rPr>
              <w:t>j</w:t>
            </w:r>
            <w:r w:rsidRPr="008A7937">
              <w:rPr>
                <w:rFonts w:ascii="Garamond" w:hAnsi="Garamond"/>
                <w:sz w:val="20"/>
                <w:szCs w:val="20"/>
              </w:rPr>
              <w:t>anar 2010</w:t>
            </w:r>
          </w:p>
        </w:tc>
      </w:tr>
      <w:tr w:rsidR="00813BF5" w:rsidRPr="008A7937" w:rsidTr="00FD78BE">
        <w:trPr>
          <w:jc w:val="center"/>
        </w:trPr>
        <w:tc>
          <w:tcPr>
            <w:tcW w:w="630" w:type="dxa"/>
          </w:tcPr>
          <w:p w:rsidR="00813BF5" w:rsidRPr="008A7937" w:rsidRDefault="00813BF5" w:rsidP="00FD78BE">
            <w:pPr>
              <w:pStyle w:val="NoSpacing"/>
              <w:widowControl w:val="0"/>
              <w:jc w:val="both"/>
              <w:rPr>
                <w:rFonts w:ascii="Garamond" w:hAnsi="Garamond"/>
                <w:sz w:val="20"/>
                <w:szCs w:val="20"/>
              </w:rPr>
            </w:pPr>
            <w:r w:rsidRPr="008A7937">
              <w:rPr>
                <w:rFonts w:ascii="Garamond" w:hAnsi="Garamond"/>
                <w:sz w:val="20"/>
                <w:szCs w:val="20"/>
              </w:rPr>
              <w:t>2</w:t>
            </w:r>
          </w:p>
        </w:tc>
        <w:tc>
          <w:tcPr>
            <w:tcW w:w="1890" w:type="dxa"/>
          </w:tcPr>
          <w:p w:rsidR="00813BF5" w:rsidRDefault="00813BF5" w:rsidP="00FD78BE">
            <w:pPr>
              <w:pStyle w:val="NoSpacing"/>
              <w:widowControl w:val="0"/>
              <w:rPr>
                <w:rFonts w:ascii="Garamond" w:hAnsi="Garamond"/>
                <w:i/>
                <w:sz w:val="20"/>
                <w:szCs w:val="20"/>
              </w:rPr>
            </w:pPr>
            <w:r w:rsidRPr="008A7937">
              <w:rPr>
                <w:rFonts w:ascii="Garamond" w:hAnsi="Garamond"/>
                <w:i/>
                <w:sz w:val="20"/>
                <w:szCs w:val="20"/>
              </w:rPr>
              <w:t>Gjikolli dhe Molla,</w:t>
            </w:r>
            <w:r>
              <w:rPr>
                <w:rFonts w:ascii="Garamond" w:hAnsi="Garamond"/>
                <w:i/>
                <w:sz w:val="20"/>
                <w:szCs w:val="20"/>
              </w:rPr>
              <w:t xml:space="preserve">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nr. 24468/10</w:t>
            </w:r>
          </w:p>
        </w:tc>
        <w:tc>
          <w:tcPr>
            <w:tcW w:w="207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Kurtesh Gjikolli (1925) i zëvendësuar nga trasghëgimtarët e tij Pakize Zajmi me mbiemër vajzërie Gjikolli, Rajmonda Karapici me mbiemër vajzërie Gjikolli, Adnnan Gjikolli.</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 Nuri Gjikolloi (Xhikaj) (1930) zëvendësuar nga trashëgimtarët e tij Ganimete Xhikaj, Dhurata Xhikaj, Përoarim Xhikaj, Pamela Xhikaj, Velson Xhikaj.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Hysnije Xhikolli (1932) zëvendësuar nga trashëgimtarët e saj Muharrem Xhikolli (1954), Burhan Xhikolli (1957), Edmila Molla me mbiemrë vajzërie Xhikolli (1959)</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Muharrem Xhikolli (1954)</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Burhan Xhikolli (1957),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Edmila Molla me mbiemrë vajzërie Xhikolli (1959) </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Itali</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 Puto, avokat</w:t>
            </w:r>
          </w:p>
        </w:tc>
        <w:tc>
          <w:tcPr>
            <w:tcW w:w="19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16 </w:t>
            </w:r>
            <w:r>
              <w:rPr>
                <w:rFonts w:ascii="Garamond" w:hAnsi="Garamond"/>
                <w:sz w:val="20"/>
                <w:szCs w:val="20"/>
              </w:rPr>
              <w:t>p</w:t>
            </w:r>
            <w:r w:rsidRPr="008A7937">
              <w:rPr>
                <w:rFonts w:ascii="Garamond" w:hAnsi="Garamond"/>
                <w:sz w:val="20"/>
                <w:szCs w:val="20"/>
              </w:rPr>
              <w:t>rill 2010</w:t>
            </w:r>
          </w:p>
        </w:tc>
      </w:tr>
      <w:tr w:rsidR="00813BF5" w:rsidRPr="008A7937" w:rsidTr="00FD78BE">
        <w:trPr>
          <w:jc w:val="center"/>
        </w:trPr>
        <w:tc>
          <w:tcPr>
            <w:tcW w:w="630" w:type="dxa"/>
          </w:tcPr>
          <w:p w:rsidR="00813BF5" w:rsidRPr="008A7937" w:rsidRDefault="00813BF5" w:rsidP="00FD78BE">
            <w:pPr>
              <w:pStyle w:val="NoSpacing"/>
              <w:widowControl w:val="0"/>
              <w:jc w:val="both"/>
              <w:rPr>
                <w:rFonts w:ascii="Garamond" w:hAnsi="Garamond"/>
                <w:sz w:val="20"/>
                <w:szCs w:val="20"/>
              </w:rPr>
            </w:pPr>
            <w:r w:rsidRPr="008A7937">
              <w:rPr>
                <w:rFonts w:ascii="Garamond" w:hAnsi="Garamond"/>
                <w:sz w:val="20"/>
                <w:szCs w:val="20"/>
              </w:rPr>
              <w:t>3</w:t>
            </w:r>
          </w:p>
        </w:tc>
        <w:tc>
          <w:tcPr>
            <w:tcW w:w="189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Hasa</w:t>
            </w:r>
            <w:r w:rsidRPr="008A7937">
              <w:rPr>
                <w:rFonts w:ascii="Garamond" w:hAnsi="Garamond"/>
                <w:sz w:val="20"/>
                <w:szCs w:val="20"/>
              </w:rPr>
              <w:t>, nr. 36228/10</w:t>
            </w:r>
          </w:p>
        </w:tc>
        <w:tc>
          <w:tcPr>
            <w:tcW w:w="207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Sherafedin Hasa (1944) zëvendësuar nga djali i tij Erol Hasa</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Ish</w:t>
            </w:r>
            <w:r>
              <w:rPr>
                <w:rFonts w:ascii="Garamond" w:hAnsi="Garamond"/>
                <w:sz w:val="20"/>
                <w:szCs w:val="20"/>
              </w:rPr>
              <w:t>-</w:t>
            </w:r>
            <w:r w:rsidRPr="008A7937">
              <w:rPr>
                <w:rFonts w:ascii="Garamond" w:hAnsi="Garamond"/>
                <w:sz w:val="20"/>
                <w:szCs w:val="20"/>
              </w:rPr>
              <w:t>Republika Jugosllave e Maqedonisë</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K.</w:t>
            </w:r>
            <w:r>
              <w:rPr>
                <w:rFonts w:ascii="Garamond" w:hAnsi="Garamond"/>
                <w:sz w:val="20"/>
                <w:szCs w:val="20"/>
              </w:rPr>
              <w:t xml:space="preserve"> </w:t>
            </w:r>
            <w:r w:rsidRPr="008A7937">
              <w:rPr>
                <w:rFonts w:ascii="Garamond" w:hAnsi="Garamond"/>
                <w:sz w:val="20"/>
                <w:szCs w:val="20"/>
              </w:rPr>
              <w:t>J.</w:t>
            </w:r>
            <w:r>
              <w:rPr>
                <w:rFonts w:ascii="Garamond" w:hAnsi="Garamond"/>
                <w:sz w:val="20"/>
                <w:szCs w:val="20"/>
              </w:rPr>
              <w:t xml:space="preserve"> </w:t>
            </w:r>
            <w:r w:rsidRPr="008A7937">
              <w:rPr>
                <w:rFonts w:ascii="Garamond" w:hAnsi="Garamond"/>
                <w:sz w:val="20"/>
                <w:szCs w:val="20"/>
              </w:rPr>
              <w:t xml:space="preserve">Jovanova,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avokat</w:t>
            </w:r>
          </w:p>
        </w:tc>
        <w:tc>
          <w:tcPr>
            <w:tcW w:w="19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18 qershor 2010</w:t>
            </w:r>
          </w:p>
        </w:tc>
      </w:tr>
      <w:tr w:rsidR="00813BF5" w:rsidRPr="008A7937" w:rsidTr="00FD78BE">
        <w:trPr>
          <w:jc w:val="center"/>
        </w:trPr>
        <w:tc>
          <w:tcPr>
            <w:tcW w:w="630" w:type="dxa"/>
          </w:tcPr>
          <w:p w:rsidR="00813BF5" w:rsidRPr="008A7937" w:rsidRDefault="00813BF5" w:rsidP="00FD78BE">
            <w:pPr>
              <w:pStyle w:val="NoSpacing"/>
              <w:widowControl w:val="0"/>
              <w:jc w:val="both"/>
              <w:rPr>
                <w:rFonts w:ascii="Garamond" w:hAnsi="Garamond"/>
                <w:sz w:val="20"/>
                <w:szCs w:val="20"/>
              </w:rPr>
            </w:pPr>
            <w:r w:rsidRPr="008A7937">
              <w:rPr>
                <w:rFonts w:ascii="Garamond" w:hAnsi="Garamond"/>
                <w:sz w:val="20"/>
                <w:szCs w:val="20"/>
              </w:rPr>
              <w:t>4</w:t>
            </w:r>
          </w:p>
        </w:tc>
        <w:tc>
          <w:tcPr>
            <w:tcW w:w="189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Galanxhi dhe të tjerët</w:t>
            </w:r>
            <w:r w:rsidRPr="008A7937">
              <w:rPr>
                <w:rFonts w:ascii="Garamond" w:hAnsi="Garamond"/>
                <w:sz w:val="20"/>
                <w:szCs w:val="20"/>
              </w:rPr>
              <w:t>, nr. 39492/10</w:t>
            </w:r>
          </w:p>
        </w:tc>
        <w:tc>
          <w:tcPr>
            <w:tcW w:w="207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Nexhip Galanxhi (1932)</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Ylli Galanxhi (1949)</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Rozalt Galanxhi (1971)</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Fredi Lara (1957)</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Florentina Galanxhi (1947)</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Esmeralda Trolai (1981)</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Lirika Asllani Lara (1946)</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Haxhire Zhegu Galanxhi (1938)</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Rexhina Lara (1981)</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Ariana Lara (1958)</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Livia Lara (1990)</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 Puto dhe A. Prifti me mbiemër vajzërie Memi, avokatë</w:t>
            </w:r>
          </w:p>
        </w:tc>
        <w:tc>
          <w:tcPr>
            <w:tcW w:w="19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9 korrik 2010</w:t>
            </w:r>
          </w:p>
        </w:tc>
      </w:tr>
      <w:tr w:rsidR="00813BF5" w:rsidRPr="008A7937" w:rsidTr="00FD78BE">
        <w:trPr>
          <w:jc w:val="center"/>
        </w:trPr>
        <w:tc>
          <w:tcPr>
            <w:tcW w:w="630" w:type="dxa"/>
          </w:tcPr>
          <w:p w:rsidR="00813BF5" w:rsidRPr="008A7937" w:rsidRDefault="00813BF5" w:rsidP="00FD78BE">
            <w:pPr>
              <w:pStyle w:val="NoSpacing"/>
              <w:widowControl w:val="0"/>
              <w:jc w:val="both"/>
              <w:rPr>
                <w:rFonts w:ascii="Garamond" w:hAnsi="Garamond"/>
                <w:sz w:val="20"/>
                <w:szCs w:val="20"/>
              </w:rPr>
            </w:pPr>
            <w:r w:rsidRPr="008A7937">
              <w:rPr>
                <w:rFonts w:ascii="Garamond" w:hAnsi="Garamond"/>
                <w:sz w:val="20"/>
                <w:szCs w:val="20"/>
              </w:rPr>
              <w:t>5</w:t>
            </w:r>
          </w:p>
        </w:tc>
        <w:tc>
          <w:tcPr>
            <w:tcW w:w="189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Frashëri dhe të tjerët¸</w:t>
            </w:r>
            <w:r w:rsidRPr="008A7937">
              <w:rPr>
                <w:rFonts w:ascii="Garamond" w:hAnsi="Garamond"/>
                <w:sz w:val="20"/>
                <w:szCs w:val="20"/>
              </w:rPr>
              <w:t xml:space="preserve"> </w:t>
            </w:r>
            <w:r w:rsidRPr="008A7937">
              <w:rPr>
                <w:rFonts w:ascii="Garamond" w:hAnsi="Garamond"/>
                <w:sz w:val="20"/>
                <w:szCs w:val="20"/>
              </w:rPr>
              <w:lastRenderedPageBreak/>
              <w:t>nr. 39495/10</w:t>
            </w:r>
          </w:p>
        </w:tc>
        <w:tc>
          <w:tcPr>
            <w:tcW w:w="207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lastRenderedPageBreak/>
              <w:t>Orhan Jegenmi (1936)</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lastRenderedPageBreak/>
              <w:t>Kapllan Jegeni (1937)</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Nermin Bubani (1939) zëvendësuar nga trashëgimtarët e saj Loredan Bubani (1939), Elvana Bubani me mbiemër vajzërie (1961), Gjergj Bubani (1966),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Suat Jegeni (1942)</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Naide Shkodra me mbiemër vajzërie Frashëri (1029)</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Fiqirete Frashëri (1930)</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Hajri Frashëri (1951)</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Hysref Frashëri (1956)</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Ilona Ziso (1962) </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lastRenderedPageBreak/>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lastRenderedPageBreak/>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lastRenderedPageBreak/>
              <w:t>S. Puto, avokat</w:t>
            </w:r>
          </w:p>
        </w:tc>
        <w:tc>
          <w:tcPr>
            <w:tcW w:w="19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9 korrik 2010</w:t>
            </w:r>
          </w:p>
        </w:tc>
      </w:tr>
      <w:tr w:rsidR="00813BF5" w:rsidRPr="008A7937" w:rsidTr="00FD78BE">
        <w:trPr>
          <w:jc w:val="center"/>
        </w:trPr>
        <w:tc>
          <w:tcPr>
            <w:tcW w:w="630" w:type="dxa"/>
          </w:tcPr>
          <w:p w:rsidR="00813BF5" w:rsidRPr="008A7937" w:rsidRDefault="00813BF5" w:rsidP="00FD78BE">
            <w:pPr>
              <w:pStyle w:val="NoSpacing"/>
              <w:widowControl w:val="0"/>
              <w:jc w:val="both"/>
              <w:rPr>
                <w:rFonts w:ascii="Garamond" w:hAnsi="Garamond"/>
                <w:sz w:val="20"/>
                <w:szCs w:val="20"/>
              </w:rPr>
            </w:pPr>
            <w:r w:rsidRPr="008A7937">
              <w:rPr>
                <w:rFonts w:ascii="Garamond" w:hAnsi="Garamond"/>
                <w:sz w:val="20"/>
                <w:szCs w:val="20"/>
              </w:rPr>
              <w:lastRenderedPageBreak/>
              <w:t>6</w:t>
            </w:r>
          </w:p>
        </w:tc>
        <w:tc>
          <w:tcPr>
            <w:tcW w:w="189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 xml:space="preserve">Merlika dhe të tjerët, </w:t>
            </w:r>
            <w:r w:rsidRPr="008A7937">
              <w:rPr>
                <w:rFonts w:ascii="Garamond" w:hAnsi="Garamond"/>
                <w:sz w:val="20"/>
                <w:szCs w:val="20"/>
              </w:rPr>
              <w:t>nr. 40751/10</w:t>
            </w:r>
          </w:p>
        </w:tc>
        <w:tc>
          <w:tcPr>
            <w:tcW w:w="207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Edrmir Merlika (1974)</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Gëzim Kaçiu (1956)</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Sajrije Kuta me mbiemër vajzërie Merlika (1934)</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Lumnije Karami me mbiemër vajzërie Merlika (1937)</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Luljeta Ndreu me mbiemër vajzërie Kaçiu (1960)</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Liljana Kaçiu (1963)</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Shyqyri Merlika (1935)</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Kujtim Merlika (1941)</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Ilir Alija (Merlika) (1941)</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Ardjan Merlika (1960)</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Hysen Kasmi (1946)</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Afrim Kaçiu (1958)</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Shpresa Merlika (1945)</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 Dodbiba, avokat</w:t>
            </w:r>
          </w:p>
        </w:tc>
        <w:tc>
          <w:tcPr>
            <w:tcW w:w="19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10 qershor 2010</w:t>
            </w:r>
          </w:p>
        </w:tc>
      </w:tr>
      <w:tr w:rsidR="00813BF5" w:rsidRPr="008A7937" w:rsidTr="00FD78BE">
        <w:trPr>
          <w:jc w:val="center"/>
        </w:trPr>
        <w:tc>
          <w:tcPr>
            <w:tcW w:w="630" w:type="dxa"/>
          </w:tcPr>
          <w:p w:rsidR="00813BF5" w:rsidRPr="008A7937" w:rsidRDefault="00813BF5" w:rsidP="00FD78BE">
            <w:pPr>
              <w:pStyle w:val="NoSpacing"/>
              <w:widowControl w:val="0"/>
              <w:jc w:val="both"/>
              <w:rPr>
                <w:rFonts w:ascii="Garamond" w:hAnsi="Garamond"/>
                <w:sz w:val="20"/>
                <w:szCs w:val="20"/>
              </w:rPr>
            </w:pPr>
            <w:r w:rsidRPr="008A7937">
              <w:rPr>
                <w:rFonts w:ascii="Garamond" w:hAnsi="Garamond"/>
                <w:sz w:val="20"/>
                <w:szCs w:val="20"/>
              </w:rPr>
              <w:t>7</w:t>
            </w:r>
          </w:p>
        </w:tc>
        <w:tc>
          <w:tcPr>
            <w:tcW w:w="189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 xml:space="preserve">Dhimertika dhe Nika, </w:t>
            </w:r>
            <w:r w:rsidRPr="008A7937">
              <w:rPr>
                <w:rFonts w:ascii="Garamond" w:hAnsi="Garamond"/>
                <w:sz w:val="20"/>
                <w:szCs w:val="20"/>
              </w:rPr>
              <w:t>nr. 48522/10</w:t>
            </w:r>
          </w:p>
        </w:tc>
        <w:tc>
          <w:tcPr>
            <w:tcW w:w="207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Arjan Dhimertika (1961)</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Konde Dhimertika (1941)</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Engjell Dhimertika (1963)</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Jeta Dhimertika (1973)</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Evjeni Dhimertika (1938)</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Vasil Dhimertika (1958) </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Leonora Nika me mbiemër vajzëerie Dhimertika (1962)</w:t>
            </w: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Gëzim Dhimertika (1972)</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Greqi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Greqi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Greqi</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Shqipëri </w:t>
            </w: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p>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Gjermani</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S. Puto, avokat</w:t>
            </w:r>
          </w:p>
        </w:tc>
        <w:tc>
          <w:tcPr>
            <w:tcW w:w="19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30 Korrik 2010</w:t>
            </w:r>
          </w:p>
        </w:tc>
      </w:tr>
    </w:tbl>
    <w:p w:rsidR="00813BF5" w:rsidRPr="008A7937" w:rsidRDefault="00813BF5" w:rsidP="00813BF5">
      <w:pPr>
        <w:pStyle w:val="Hapesira7"/>
      </w:pPr>
    </w:p>
    <w:p w:rsidR="00813BF5" w:rsidRPr="003D178C" w:rsidRDefault="00813BF5" w:rsidP="00813BF5">
      <w:pPr>
        <w:pStyle w:val="NoSpacing"/>
        <w:widowControl w:val="0"/>
        <w:jc w:val="center"/>
        <w:rPr>
          <w:rFonts w:ascii="Garamond" w:hAnsi="Garamond"/>
        </w:rPr>
      </w:pPr>
      <w:r w:rsidRPr="003D178C">
        <w:rPr>
          <w:rFonts w:ascii="Garamond" w:hAnsi="Garamond"/>
        </w:rPr>
        <w:t>SHTOJCA 2</w:t>
      </w:r>
    </w:p>
    <w:p w:rsidR="00813BF5" w:rsidRPr="003D178C" w:rsidRDefault="00813BF5" w:rsidP="00813BF5">
      <w:pPr>
        <w:pStyle w:val="NoSpacing"/>
        <w:widowControl w:val="0"/>
        <w:jc w:val="center"/>
        <w:rPr>
          <w:rFonts w:ascii="Garamond" w:hAnsi="Garamond"/>
        </w:rPr>
      </w:pPr>
      <w:r w:rsidRPr="003D178C">
        <w:rPr>
          <w:rFonts w:ascii="Garamond" w:hAnsi="Garamond"/>
        </w:rPr>
        <w:t xml:space="preserve">KËRKESAT E ANKUESVE PËR KOMPENSIM TË DREJTË </w:t>
      </w:r>
    </w:p>
    <w:p w:rsidR="00813BF5" w:rsidRPr="008A7937" w:rsidRDefault="00813BF5" w:rsidP="00813BF5">
      <w:pPr>
        <w:pStyle w:val="NoSpacing"/>
        <w:widowControl w:val="0"/>
        <w:jc w:val="center"/>
        <w:rPr>
          <w:rFonts w:ascii="Garamond" w:hAnsi="Garamond"/>
          <w:b/>
        </w:rPr>
      </w:pPr>
      <w:r w:rsidRPr="003D178C">
        <w:rPr>
          <w:rFonts w:ascii="Garamond" w:hAnsi="Garamond"/>
        </w:rPr>
        <w:t>SI EDHE PËR KOSTOT DHE SHPENZIMET</w:t>
      </w:r>
    </w:p>
    <w:p w:rsidR="00813BF5" w:rsidRPr="008A7937" w:rsidRDefault="00813BF5" w:rsidP="00813BF5">
      <w:pPr>
        <w:pStyle w:val="Hapesira7"/>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620"/>
        <w:gridCol w:w="2700"/>
        <w:gridCol w:w="2206"/>
        <w:gridCol w:w="2114"/>
      </w:tblGrid>
      <w:tr w:rsidR="00813BF5" w:rsidRPr="008A7937" w:rsidTr="00FD78BE">
        <w:tc>
          <w:tcPr>
            <w:tcW w:w="558"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 xml:space="preserve">Nr. </w:t>
            </w:r>
          </w:p>
        </w:tc>
        <w:tc>
          <w:tcPr>
            <w:tcW w:w="162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 xml:space="preserve">Emri dhe numri </w:t>
            </w:r>
            <w:r w:rsidRPr="008A7937">
              <w:rPr>
                <w:rFonts w:ascii="Garamond" w:hAnsi="Garamond"/>
                <w:b/>
                <w:sz w:val="20"/>
                <w:szCs w:val="20"/>
              </w:rPr>
              <w:lastRenderedPageBreak/>
              <w:t xml:space="preserve">i ankimit </w:t>
            </w:r>
          </w:p>
        </w:tc>
        <w:tc>
          <w:tcPr>
            <w:tcW w:w="270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lastRenderedPageBreak/>
              <w:t xml:space="preserve">Dëmi monetar </w:t>
            </w:r>
          </w:p>
        </w:tc>
        <w:tc>
          <w:tcPr>
            <w:tcW w:w="2206"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 xml:space="preserve">Dëmi jomonetar </w:t>
            </w:r>
          </w:p>
        </w:tc>
        <w:tc>
          <w:tcPr>
            <w:tcW w:w="2114"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Kosto dhe shpenzime</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lastRenderedPageBreak/>
              <w:t>1</w:t>
            </w:r>
          </w:p>
        </w:tc>
        <w:tc>
          <w:tcPr>
            <w:tcW w:w="1620" w:type="dxa"/>
          </w:tcPr>
          <w:p w:rsidR="00813BF5" w:rsidRPr="008A7937" w:rsidRDefault="00813BF5" w:rsidP="00FD78BE">
            <w:pPr>
              <w:pStyle w:val="NoSpacing"/>
              <w:widowControl w:val="0"/>
              <w:rPr>
                <w:rFonts w:ascii="Garamond" w:hAnsi="Garamond"/>
                <w:i/>
                <w:sz w:val="20"/>
                <w:szCs w:val="20"/>
              </w:rPr>
            </w:pPr>
            <w:r w:rsidRPr="008A7937">
              <w:rPr>
                <w:rFonts w:ascii="Garamond" w:hAnsi="Garamond"/>
                <w:i/>
                <w:sz w:val="20"/>
                <w:szCs w:val="20"/>
              </w:rPr>
              <w:t xml:space="preserve">Rista, </w:t>
            </w:r>
            <w:r w:rsidRPr="008A7937">
              <w:rPr>
                <w:rFonts w:ascii="Garamond" w:hAnsi="Garamond"/>
                <w:sz w:val="20"/>
                <w:szCs w:val="20"/>
              </w:rPr>
              <w:t>nr. 5207/10</w:t>
            </w:r>
          </w:p>
        </w:tc>
        <w:tc>
          <w:tcPr>
            <w:tcW w:w="270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EUR79,050 në lidhje me vlerën e pronës së sipërfaqes së tokës me përmase 930 m</w:t>
            </w:r>
            <w:r w:rsidRPr="008A7937">
              <w:rPr>
                <w:rFonts w:ascii="Garamond" w:hAnsi="Garamond"/>
                <w:sz w:val="20"/>
                <w:szCs w:val="20"/>
                <w:vertAlign w:val="superscript"/>
              </w:rPr>
              <w:t>2</w:t>
            </w:r>
            <w:r w:rsidRPr="008A7937">
              <w:rPr>
                <w:rFonts w:ascii="Garamond" w:hAnsi="Garamond"/>
                <w:sz w:val="20"/>
                <w:szCs w:val="20"/>
              </w:rPr>
              <w:t xml:space="preserve"> bazuar në hartat e vlerësimit të vitit 2008 (dorëzuar jashtë afatit)</w:t>
            </w:r>
          </w:p>
        </w:tc>
        <w:tc>
          <w:tcPr>
            <w:tcW w:w="2206"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3,000 (dorëzuar jashtë afatit kohor)</w:t>
            </w:r>
          </w:p>
        </w:tc>
        <w:tc>
          <w:tcPr>
            <w:tcW w:w="2114"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1,000 (dorëzuar jashtë afatit)</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2</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Gjikolli dhe Molla</w:t>
            </w:r>
            <w:r w:rsidRPr="008A7937">
              <w:rPr>
                <w:rFonts w:ascii="Garamond" w:hAnsi="Garamond"/>
                <w:sz w:val="20"/>
                <w:szCs w:val="20"/>
              </w:rPr>
              <w:t>, nr. 24468/10</w:t>
            </w:r>
          </w:p>
        </w:tc>
        <w:tc>
          <w:tcPr>
            <w:tcW w:w="270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1,724,922 në lidhje me vlerën e pronës së sipërfaqes së tokës me përmasë 10,600</w:t>
            </w:r>
            <w:r>
              <w:rPr>
                <w:rFonts w:ascii="Garamond" w:hAnsi="Garamond"/>
                <w:sz w:val="20"/>
                <w:szCs w:val="20"/>
              </w:rPr>
              <w:t xml:space="preserve"> </w:t>
            </w:r>
            <w:r w:rsidRPr="008A7937">
              <w:rPr>
                <w:rFonts w:ascii="Garamond" w:hAnsi="Garamond"/>
                <w:sz w:val="20"/>
                <w:szCs w:val="20"/>
              </w:rPr>
              <w:t>m</w:t>
            </w:r>
            <w:r w:rsidRPr="008A7937">
              <w:rPr>
                <w:rFonts w:ascii="Garamond" w:hAnsi="Garamond"/>
                <w:sz w:val="20"/>
                <w:szCs w:val="20"/>
                <w:vertAlign w:val="superscript"/>
              </w:rPr>
              <w:t>2</w:t>
            </w:r>
            <w:r w:rsidRPr="008A7937">
              <w:rPr>
                <w:rFonts w:ascii="Garamond" w:hAnsi="Garamond"/>
                <w:sz w:val="20"/>
                <w:szCs w:val="20"/>
              </w:rPr>
              <w:t xml:space="preserve"> për pjesën e ankuesit sipas hartave të vlerësimit të vitit 2013</w:t>
            </w:r>
          </w:p>
        </w:tc>
        <w:tc>
          <w:tcPr>
            <w:tcW w:w="2206"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180,000</w:t>
            </w:r>
          </w:p>
        </w:tc>
        <w:tc>
          <w:tcPr>
            <w:tcW w:w="2114"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1,000 (faturat janë dorëzuar)</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3</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 xml:space="preserve">Galanxhi dhe të tjerët, </w:t>
            </w:r>
            <w:r w:rsidRPr="008A7937">
              <w:rPr>
                <w:rFonts w:ascii="Garamond" w:hAnsi="Garamond"/>
                <w:sz w:val="20"/>
                <w:szCs w:val="20"/>
              </w:rPr>
              <w:t>nr. 39492/10</w:t>
            </w:r>
          </w:p>
        </w:tc>
        <w:tc>
          <w:tcPr>
            <w:tcW w:w="270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180,350 në lidhje me vlerën e sipërfaqes së tokës me përmasa 3,607 m</w:t>
            </w:r>
            <w:r w:rsidRPr="008A7937">
              <w:rPr>
                <w:rFonts w:ascii="Garamond" w:hAnsi="Garamond"/>
                <w:sz w:val="20"/>
                <w:szCs w:val="20"/>
                <w:vertAlign w:val="superscript"/>
              </w:rPr>
              <w:t>2</w:t>
            </w:r>
            <w:r w:rsidRPr="008A7937">
              <w:rPr>
                <w:rFonts w:ascii="Garamond" w:hAnsi="Garamond"/>
                <w:sz w:val="20"/>
                <w:szCs w:val="20"/>
              </w:rPr>
              <w:t xml:space="preserve"> bazuar në har</w:t>
            </w:r>
            <w:r>
              <w:rPr>
                <w:rFonts w:ascii="Garamond" w:hAnsi="Garamond"/>
                <w:sz w:val="20"/>
                <w:szCs w:val="20"/>
              </w:rPr>
              <w:t>tat e vlerësimit të vitit 2008</w:t>
            </w:r>
          </w:p>
        </w:tc>
        <w:tc>
          <w:tcPr>
            <w:tcW w:w="2206"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180,000</w:t>
            </w:r>
          </w:p>
        </w:tc>
        <w:tc>
          <w:tcPr>
            <w:tcW w:w="2114"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1,000 (janë dorëzuar faturat)</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4</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Frashëri dhe të tjerët</w:t>
            </w:r>
            <w:r w:rsidRPr="008A7937">
              <w:rPr>
                <w:rFonts w:ascii="Garamond" w:hAnsi="Garamond"/>
                <w:sz w:val="20"/>
                <w:szCs w:val="20"/>
              </w:rPr>
              <w:t>, nr. 39495/10</w:t>
            </w:r>
          </w:p>
        </w:tc>
        <w:tc>
          <w:tcPr>
            <w:tcW w:w="270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25,270,354 në lidhje me vlerën e sipërfaqes së tokës me përmasa 201,244 m</w:t>
            </w:r>
            <w:r w:rsidRPr="008A7937">
              <w:rPr>
                <w:rFonts w:ascii="Garamond" w:hAnsi="Garamond"/>
                <w:sz w:val="20"/>
                <w:szCs w:val="20"/>
                <w:vertAlign w:val="superscript"/>
              </w:rPr>
              <w:t>2</w:t>
            </w:r>
            <w:r w:rsidRPr="008A7937">
              <w:rPr>
                <w:rFonts w:ascii="Garamond" w:hAnsi="Garamond"/>
                <w:sz w:val="20"/>
                <w:szCs w:val="20"/>
              </w:rPr>
              <w:t xml:space="preserve"> për</w:t>
            </w:r>
            <w:r>
              <w:rPr>
                <w:rFonts w:ascii="Garamond" w:hAnsi="Garamond"/>
                <w:sz w:val="20"/>
                <w:szCs w:val="20"/>
              </w:rPr>
              <w:t xml:space="preserve"> </w:t>
            </w:r>
            <w:r w:rsidRPr="008A7937">
              <w:rPr>
                <w:rFonts w:ascii="Garamond" w:hAnsi="Garamond"/>
                <w:sz w:val="20"/>
                <w:szCs w:val="20"/>
              </w:rPr>
              <w:t>pjesën e ankuesve në bazë të hartave të vlerësimit të vitit 2008</w:t>
            </w:r>
          </w:p>
        </w:tc>
        <w:tc>
          <w:tcPr>
            <w:tcW w:w="2206"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135,000</w:t>
            </w:r>
          </w:p>
        </w:tc>
        <w:tc>
          <w:tcPr>
            <w:tcW w:w="2114"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1,000 (janë dorëzuar faturat )</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5</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Merlika dhe të tjerët</w:t>
            </w:r>
            <w:r w:rsidRPr="008A7937">
              <w:rPr>
                <w:rFonts w:ascii="Garamond" w:hAnsi="Garamond"/>
                <w:sz w:val="20"/>
                <w:szCs w:val="20"/>
              </w:rPr>
              <w:t>, nr. 40751/10</w:t>
            </w:r>
          </w:p>
        </w:tc>
        <w:tc>
          <w:tcPr>
            <w:tcW w:w="270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1,370,000 në lidhje me vlerën e tokës me sipërfaqe prej 1,530 m</w:t>
            </w:r>
            <w:r w:rsidRPr="008A7937">
              <w:rPr>
                <w:rFonts w:ascii="Garamond" w:hAnsi="Garamond"/>
                <w:sz w:val="20"/>
                <w:szCs w:val="20"/>
                <w:vertAlign w:val="superscript"/>
              </w:rPr>
              <w:t>2</w:t>
            </w:r>
            <w:r w:rsidRPr="008A7937">
              <w:rPr>
                <w:rFonts w:ascii="Garamond" w:hAnsi="Garamond"/>
                <w:sz w:val="20"/>
                <w:szCs w:val="20"/>
              </w:rPr>
              <w:t xml:space="preserve"> sipas hartave të vlerësimit të vitit 2008.</w:t>
            </w:r>
          </w:p>
        </w:tc>
        <w:tc>
          <w:tcPr>
            <w:tcW w:w="2206"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50,000</w:t>
            </w:r>
          </w:p>
        </w:tc>
        <w:tc>
          <w:tcPr>
            <w:tcW w:w="2114"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Asnjë (nuk është dorëzuar asnjë kërkesë specifike)</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6</w:t>
            </w:r>
          </w:p>
        </w:tc>
        <w:tc>
          <w:tcPr>
            <w:tcW w:w="162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 xml:space="preserve">Dhimertika dhe Nika, </w:t>
            </w:r>
            <w:r w:rsidRPr="008A7937">
              <w:rPr>
                <w:rFonts w:ascii="Garamond" w:hAnsi="Garamond"/>
                <w:sz w:val="20"/>
                <w:szCs w:val="20"/>
              </w:rPr>
              <w:t>nr. 48522/10</w:t>
            </w:r>
          </w:p>
        </w:tc>
        <w:tc>
          <w:tcPr>
            <w:tcW w:w="270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7,367,140 në lidhje me vlerën e tokës me sipërfaqe 59,184 m</w:t>
            </w:r>
            <w:r w:rsidRPr="008A7937">
              <w:rPr>
                <w:rFonts w:ascii="Garamond" w:hAnsi="Garamond"/>
                <w:sz w:val="20"/>
                <w:szCs w:val="20"/>
                <w:vertAlign w:val="superscript"/>
              </w:rPr>
              <w:t>2</w:t>
            </w:r>
            <w:r w:rsidRPr="008A7937">
              <w:rPr>
                <w:rFonts w:ascii="Garamond" w:hAnsi="Garamond"/>
                <w:sz w:val="20"/>
                <w:szCs w:val="20"/>
              </w:rPr>
              <w:t xml:space="preserve"> bazuar në hartat e vlerësimit të vitit 2008</w:t>
            </w:r>
          </w:p>
        </w:tc>
        <w:tc>
          <w:tcPr>
            <w:tcW w:w="2206"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120,000</w:t>
            </w:r>
          </w:p>
        </w:tc>
        <w:tc>
          <w:tcPr>
            <w:tcW w:w="2114"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1,000 (janë dorëzuar faturat)</w:t>
            </w:r>
          </w:p>
        </w:tc>
      </w:tr>
    </w:tbl>
    <w:p w:rsidR="00813BF5" w:rsidRPr="008A7937" w:rsidRDefault="00813BF5" w:rsidP="00813BF5">
      <w:pPr>
        <w:pStyle w:val="NoSpacing"/>
        <w:widowControl w:val="0"/>
        <w:jc w:val="center"/>
        <w:rPr>
          <w:rFonts w:ascii="Garamond" w:hAnsi="Garamond"/>
          <w:b/>
        </w:rPr>
      </w:pPr>
    </w:p>
    <w:p w:rsidR="00813BF5" w:rsidRPr="003D178C" w:rsidRDefault="00813BF5" w:rsidP="00813BF5">
      <w:pPr>
        <w:pStyle w:val="NoSpacing"/>
        <w:widowControl w:val="0"/>
        <w:jc w:val="center"/>
        <w:rPr>
          <w:rFonts w:ascii="Garamond" w:hAnsi="Garamond"/>
        </w:rPr>
      </w:pPr>
      <w:r w:rsidRPr="003D178C">
        <w:rPr>
          <w:rFonts w:ascii="Garamond" w:hAnsi="Garamond"/>
        </w:rPr>
        <w:t>SHTOJCA 3</w:t>
      </w:r>
    </w:p>
    <w:p w:rsidR="00813BF5" w:rsidRPr="003D178C" w:rsidRDefault="00813BF5" w:rsidP="00813BF5">
      <w:pPr>
        <w:pStyle w:val="NoSpacing"/>
        <w:widowControl w:val="0"/>
        <w:jc w:val="center"/>
        <w:rPr>
          <w:rFonts w:ascii="Garamond" w:hAnsi="Garamond"/>
        </w:rPr>
      </w:pPr>
      <w:r w:rsidRPr="003D178C">
        <w:rPr>
          <w:rFonts w:ascii="Garamond" w:hAnsi="Garamond"/>
        </w:rPr>
        <w:t>VENDIMI I GJYKATËS</w:t>
      </w:r>
    </w:p>
    <w:p w:rsidR="00813BF5" w:rsidRPr="008A7937" w:rsidRDefault="00813BF5" w:rsidP="00813BF5">
      <w:pPr>
        <w:pStyle w:val="Hapesira7"/>
      </w:pPr>
    </w:p>
    <w:tbl>
      <w:tblPr>
        <w:tblW w:w="8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2160"/>
        <w:gridCol w:w="3780"/>
        <w:gridCol w:w="2340"/>
      </w:tblGrid>
      <w:tr w:rsidR="00813BF5" w:rsidRPr="008A7937" w:rsidTr="00FD78BE">
        <w:tc>
          <w:tcPr>
            <w:tcW w:w="558"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 xml:space="preserve">Nr. </w:t>
            </w:r>
          </w:p>
        </w:tc>
        <w:tc>
          <w:tcPr>
            <w:tcW w:w="216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 xml:space="preserve">Emri dhe numri i ankimit </w:t>
            </w:r>
          </w:p>
        </w:tc>
        <w:tc>
          <w:tcPr>
            <w:tcW w:w="378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 xml:space="preserve">Dëmi monetar dhe dëmi jomonetar </w:t>
            </w:r>
          </w:p>
        </w:tc>
        <w:tc>
          <w:tcPr>
            <w:tcW w:w="2340" w:type="dxa"/>
          </w:tcPr>
          <w:p w:rsidR="00813BF5" w:rsidRPr="008A7937" w:rsidRDefault="00813BF5" w:rsidP="00FD78BE">
            <w:pPr>
              <w:pStyle w:val="NoSpacing"/>
              <w:widowControl w:val="0"/>
              <w:jc w:val="center"/>
              <w:rPr>
                <w:rFonts w:ascii="Garamond" w:hAnsi="Garamond"/>
                <w:b/>
                <w:sz w:val="20"/>
                <w:szCs w:val="20"/>
              </w:rPr>
            </w:pPr>
            <w:r w:rsidRPr="008A7937">
              <w:rPr>
                <w:rFonts w:ascii="Garamond" w:hAnsi="Garamond"/>
                <w:b/>
                <w:sz w:val="20"/>
                <w:szCs w:val="20"/>
              </w:rPr>
              <w:t>Kosto dhe shpenzime</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1</w:t>
            </w:r>
          </w:p>
        </w:tc>
        <w:tc>
          <w:tcPr>
            <w:tcW w:w="2160" w:type="dxa"/>
          </w:tcPr>
          <w:p w:rsidR="00813BF5" w:rsidRPr="008A7937" w:rsidRDefault="00813BF5" w:rsidP="00FD78BE">
            <w:pPr>
              <w:pStyle w:val="NoSpacing"/>
              <w:widowControl w:val="0"/>
              <w:rPr>
                <w:rFonts w:ascii="Garamond" w:hAnsi="Garamond"/>
                <w:i/>
                <w:sz w:val="20"/>
                <w:szCs w:val="20"/>
              </w:rPr>
            </w:pPr>
            <w:r w:rsidRPr="008A7937">
              <w:rPr>
                <w:rFonts w:ascii="Garamond" w:hAnsi="Garamond"/>
                <w:i/>
                <w:sz w:val="20"/>
                <w:szCs w:val="20"/>
              </w:rPr>
              <w:t xml:space="preserve">Rista, </w:t>
            </w:r>
            <w:r w:rsidRPr="008A7937">
              <w:rPr>
                <w:rFonts w:ascii="Garamond" w:hAnsi="Garamond"/>
                <w:sz w:val="20"/>
                <w:szCs w:val="20"/>
              </w:rPr>
              <w:t>nr. 5207/10</w:t>
            </w:r>
          </w:p>
        </w:tc>
        <w:tc>
          <w:tcPr>
            <w:tcW w:w="37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Asnjë (kërkesat u dorëzuan jashtë afatit)</w:t>
            </w:r>
          </w:p>
        </w:tc>
        <w:tc>
          <w:tcPr>
            <w:tcW w:w="234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Asnjë (kërkesat u dorëzuan jashtë afatit)</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2</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Gjikolli dhe Molla</w:t>
            </w:r>
            <w:r w:rsidRPr="008A7937">
              <w:rPr>
                <w:rFonts w:ascii="Garamond" w:hAnsi="Garamond"/>
                <w:sz w:val="20"/>
                <w:szCs w:val="20"/>
              </w:rPr>
              <w:t>, nr. 24468/10</w:t>
            </w:r>
          </w:p>
        </w:tc>
        <w:tc>
          <w:tcPr>
            <w:tcW w:w="37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1,562,100 (një milion e pesëqind e gjashtëdhjetë e dy mijë e njëqind)</w:t>
            </w:r>
          </w:p>
        </w:tc>
        <w:tc>
          <w:tcPr>
            <w:tcW w:w="234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850 (tetëqind e pesëdhjetë)</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3</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 xml:space="preserve">Galanxhi dhe të tjerët, </w:t>
            </w:r>
            <w:r w:rsidRPr="008A7937">
              <w:rPr>
                <w:rFonts w:ascii="Garamond" w:hAnsi="Garamond"/>
                <w:sz w:val="20"/>
                <w:szCs w:val="20"/>
              </w:rPr>
              <w:t>nr. 39492/10</w:t>
            </w:r>
          </w:p>
        </w:tc>
        <w:tc>
          <w:tcPr>
            <w:tcW w:w="37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 xml:space="preserve">EUR 216,600 (dyqind e gjashtëmbëdhjetë mijë e gjashtëqind) </w:t>
            </w:r>
          </w:p>
        </w:tc>
        <w:tc>
          <w:tcPr>
            <w:tcW w:w="234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850 (tetëqind e pesëdhjetë)</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4</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Frashëri dhe të tjerët</w:t>
            </w:r>
            <w:r w:rsidRPr="008A7937">
              <w:rPr>
                <w:rFonts w:ascii="Garamond" w:hAnsi="Garamond"/>
                <w:sz w:val="20"/>
                <w:szCs w:val="20"/>
              </w:rPr>
              <w:t>, nr. 39495/10</w:t>
            </w:r>
          </w:p>
        </w:tc>
        <w:tc>
          <w:tcPr>
            <w:tcW w:w="37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3,330,500 (tre milion</w:t>
            </w:r>
            <w:r>
              <w:rPr>
                <w:rFonts w:ascii="Garamond" w:hAnsi="Garamond"/>
                <w:sz w:val="20"/>
                <w:szCs w:val="20"/>
              </w:rPr>
              <w:t>ë</w:t>
            </w:r>
            <w:r w:rsidRPr="008A7937">
              <w:rPr>
                <w:rFonts w:ascii="Garamond" w:hAnsi="Garamond"/>
                <w:sz w:val="20"/>
                <w:szCs w:val="20"/>
              </w:rPr>
              <w:t xml:space="preserve"> e treqind e tridhjetë mijë e pesëqind)</w:t>
            </w:r>
          </w:p>
        </w:tc>
        <w:tc>
          <w:tcPr>
            <w:tcW w:w="234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850 (tetëqind e pesëdhjetë)</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5</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Merlika dhe të tjerët</w:t>
            </w:r>
            <w:r w:rsidRPr="008A7937">
              <w:rPr>
                <w:rFonts w:ascii="Garamond" w:hAnsi="Garamond"/>
                <w:sz w:val="20"/>
                <w:szCs w:val="20"/>
              </w:rPr>
              <w:t>, nr. 40751/10</w:t>
            </w:r>
          </w:p>
        </w:tc>
        <w:tc>
          <w:tcPr>
            <w:tcW w:w="37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1,171,800 (një milion e njëqind e shtatëdhjetë e një mijë e tetëqind) së bashku për të njëmbëdhjetë ankuesit.</w:t>
            </w:r>
          </w:p>
        </w:tc>
        <w:tc>
          <w:tcPr>
            <w:tcW w:w="234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Asnjë (nuk është dorëzuar asnjë kërkesë specifike)</w:t>
            </w:r>
          </w:p>
        </w:tc>
      </w:tr>
      <w:tr w:rsidR="00813BF5" w:rsidRPr="008A7937" w:rsidTr="00FD78BE">
        <w:tc>
          <w:tcPr>
            <w:tcW w:w="558" w:type="dxa"/>
          </w:tcPr>
          <w:p w:rsidR="00813BF5" w:rsidRPr="008A7937" w:rsidRDefault="00813BF5" w:rsidP="00FD78BE">
            <w:pPr>
              <w:pStyle w:val="NoSpacing"/>
              <w:widowControl w:val="0"/>
              <w:jc w:val="center"/>
              <w:rPr>
                <w:rFonts w:ascii="Garamond" w:hAnsi="Garamond"/>
                <w:sz w:val="20"/>
                <w:szCs w:val="20"/>
              </w:rPr>
            </w:pPr>
            <w:r w:rsidRPr="008A7937">
              <w:rPr>
                <w:rFonts w:ascii="Garamond" w:hAnsi="Garamond"/>
                <w:sz w:val="20"/>
                <w:szCs w:val="20"/>
              </w:rPr>
              <w:t>6</w:t>
            </w:r>
          </w:p>
        </w:tc>
        <w:tc>
          <w:tcPr>
            <w:tcW w:w="2160" w:type="dxa"/>
          </w:tcPr>
          <w:p w:rsidR="00813BF5" w:rsidRPr="008A7937" w:rsidRDefault="00813BF5" w:rsidP="00FD78BE">
            <w:pPr>
              <w:pStyle w:val="NoSpacing"/>
              <w:widowControl w:val="0"/>
              <w:rPr>
                <w:rFonts w:ascii="Garamond" w:hAnsi="Garamond"/>
                <w:sz w:val="20"/>
                <w:szCs w:val="20"/>
              </w:rPr>
            </w:pPr>
            <w:r w:rsidRPr="008A7937">
              <w:rPr>
                <w:rFonts w:ascii="Garamond" w:hAnsi="Garamond"/>
                <w:i/>
                <w:sz w:val="20"/>
                <w:szCs w:val="20"/>
              </w:rPr>
              <w:t xml:space="preserve">Dhimertika dhe Nika, </w:t>
            </w:r>
            <w:r w:rsidRPr="008A7937">
              <w:rPr>
                <w:rFonts w:ascii="Garamond" w:hAnsi="Garamond"/>
                <w:sz w:val="20"/>
                <w:szCs w:val="20"/>
              </w:rPr>
              <w:t>nr. 48522/10</w:t>
            </w:r>
          </w:p>
        </w:tc>
        <w:tc>
          <w:tcPr>
            <w:tcW w:w="378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4,416,900 (katër milion</w:t>
            </w:r>
            <w:r>
              <w:rPr>
                <w:rFonts w:ascii="Garamond" w:hAnsi="Garamond"/>
                <w:sz w:val="20"/>
                <w:szCs w:val="20"/>
              </w:rPr>
              <w:t>ë</w:t>
            </w:r>
            <w:r w:rsidRPr="008A7937">
              <w:rPr>
                <w:rFonts w:ascii="Garamond" w:hAnsi="Garamond"/>
                <w:sz w:val="20"/>
                <w:szCs w:val="20"/>
              </w:rPr>
              <w:t xml:space="preserve"> e katërqind e gjashtëmbëdhjetë mijë e nëntëqind) së bashku për të shtatë ankuesit</w:t>
            </w:r>
          </w:p>
        </w:tc>
        <w:tc>
          <w:tcPr>
            <w:tcW w:w="2340" w:type="dxa"/>
          </w:tcPr>
          <w:p w:rsidR="00813BF5" w:rsidRPr="008A7937" w:rsidRDefault="00813BF5" w:rsidP="00FD78BE">
            <w:pPr>
              <w:pStyle w:val="NoSpacing"/>
              <w:widowControl w:val="0"/>
              <w:rPr>
                <w:rFonts w:ascii="Garamond" w:hAnsi="Garamond"/>
                <w:sz w:val="20"/>
                <w:szCs w:val="20"/>
              </w:rPr>
            </w:pPr>
            <w:r w:rsidRPr="008A7937">
              <w:rPr>
                <w:rFonts w:ascii="Garamond" w:hAnsi="Garamond"/>
                <w:sz w:val="20"/>
                <w:szCs w:val="20"/>
              </w:rPr>
              <w:t>EUR 850 (tetëqind e pesëdhjetë)</w:t>
            </w:r>
          </w:p>
        </w:tc>
      </w:tr>
    </w:tbl>
    <w:p w:rsidR="008B33CF" w:rsidRDefault="008B33CF"/>
    <w:sectPr w:rsidR="008B33C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37695">
      <w:pPr>
        <w:spacing w:after="0" w:line="240" w:lineRule="auto"/>
      </w:pPr>
      <w:r>
        <w:separator/>
      </w:r>
    </w:p>
  </w:endnote>
  <w:endnote w:type="continuationSeparator" w:id="0">
    <w:p w:rsidR="00000000" w:rsidRDefault="00E37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inion Pro">
    <w:panose1 w:val="00000000000000000000"/>
    <w:charset w:val="00"/>
    <w:family w:val="roman"/>
    <w:notTrueType/>
    <w:pitch w:val="variable"/>
    <w:sig w:usb0="E00002AF" w:usb1="5000E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1F1B81" w:rsidRPr="00B4283E" w:rsidRDefault="00813BF5"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4300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B81" w:rsidRPr="005B4361" w:rsidRDefault="00E37695"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1F1B81" w:rsidRPr="00833610" w:rsidRDefault="00813BF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F1B81" w:rsidRDefault="00E376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37695">
      <w:pPr>
        <w:spacing w:after="0" w:line="240" w:lineRule="auto"/>
      </w:pPr>
      <w:r>
        <w:separator/>
      </w:r>
    </w:p>
  </w:footnote>
  <w:footnote w:type="continuationSeparator" w:id="0">
    <w:p w:rsidR="00000000" w:rsidRDefault="00E376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F1B81" w:rsidRPr="00EB260B" w:rsidTr="00CE4E16">
      <w:trPr>
        <w:trHeight w:val="936"/>
        <w:jc w:val="center"/>
      </w:trPr>
      <w:tc>
        <w:tcPr>
          <w:tcW w:w="2811" w:type="dxa"/>
          <w:shd w:val="pct5" w:color="auto" w:fill="F2F2F2"/>
          <w:vAlign w:val="center"/>
        </w:tcPr>
        <w:p w:rsidR="001F1B81" w:rsidRPr="00EB260B" w:rsidRDefault="00813BF5" w:rsidP="00CE4E1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F1B81" w:rsidRPr="00EB260B" w:rsidRDefault="00813BF5" w:rsidP="00CE4E16">
          <w:pPr>
            <w:pStyle w:val="NoSpacing"/>
            <w:spacing w:before="100" w:after="100"/>
            <w:jc w:val="center"/>
            <w:rPr>
              <w:rFonts w:ascii="Garamond" w:hAnsi="Garamond"/>
              <w:b/>
              <w:sz w:val="28"/>
              <w:szCs w:val="28"/>
            </w:rPr>
          </w:pPr>
          <w:r>
            <w:rPr>
              <w:noProof/>
              <w:lang w:val="en-US"/>
            </w:rPr>
            <w:drawing>
              <wp:inline distT="0" distB="0" distL="0" distR="0" wp14:anchorId="06A84D93" wp14:editId="01B4AE0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F1B81" w:rsidRPr="00EB260B" w:rsidRDefault="00813BF5" w:rsidP="00CE4E16">
          <w:pPr>
            <w:pStyle w:val="NoSpacing"/>
            <w:spacing w:before="100" w:after="100"/>
            <w:jc w:val="center"/>
            <w:rPr>
              <w:rFonts w:ascii="Garamond" w:hAnsi="Garamond"/>
              <w:b/>
              <w:sz w:val="28"/>
              <w:szCs w:val="28"/>
            </w:rPr>
          </w:pPr>
          <w:r>
            <w:rPr>
              <w:rFonts w:ascii="Garamond" w:hAnsi="Garamond"/>
              <w:b/>
              <w:sz w:val="28"/>
              <w:szCs w:val="28"/>
            </w:rPr>
            <w:t xml:space="preserve"> Viti 2016 – Numri 74 </w:t>
          </w:r>
        </w:p>
      </w:tc>
    </w:tr>
  </w:tbl>
  <w:p w:rsidR="001F1B81" w:rsidRPr="00385E2C" w:rsidRDefault="00E3769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B81" w:rsidRDefault="00E376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B81" w:rsidRDefault="00E37695"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4221887"/>
    <w:multiLevelType w:val="hybridMultilevel"/>
    <w:tmpl w:val="269A608C"/>
    <w:lvl w:ilvl="0" w:tplc="F77E2686">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8BE39B5"/>
    <w:multiLevelType w:val="hybridMultilevel"/>
    <w:tmpl w:val="069E2BC8"/>
    <w:lvl w:ilvl="0" w:tplc="9684B9D8">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0247FE"/>
    <w:multiLevelType w:val="hybridMultilevel"/>
    <w:tmpl w:val="9D648F66"/>
    <w:lvl w:ilvl="0" w:tplc="40C095A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271825"/>
    <w:multiLevelType w:val="hybridMultilevel"/>
    <w:tmpl w:val="B01CB56A"/>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3D4D6F"/>
    <w:multiLevelType w:val="hybridMultilevel"/>
    <w:tmpl w:val="F2E0150C"/>
    <w:lvl w:ilvl="0" w:tplc="9EDCDCD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4F8F77C5"/>
    <w:multiLevelType w:val="hybridMultilevel"/>
    <w:tmpl w:val="373ED854"/>
    <w:lvl w:ilvl="0" w:tplc="041C0017">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2B24DFF"/>
    <w:multiLevelType w:val="hybridMultilevel"/>
    <w:tmpl w:val="03344A7A"/>
    <w:lvl w:ilvl="0" w:tplc="E97491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4410A2"/>
    <w:multiLevelType w:val="hybridMultilevel"/>
    <w:tmpl w:val="B6240D6E"/>
    <w:lvl w:ilvl="0" w:tplc="690A278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4446B5"/>
    <w:multiLevelType w:val="hybridMultilevel"/>
    <w:tmpl w:val="5B2C3A4C"/>
    <w:lvl w:ilvl="0" w:tplc="D6E23ED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E96EAB"/>
    <w:multiLevelType w:val="hybridMultilevel"/>
    <w:tmpl w:val="C780F8CC"/>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993694"/>
    <w:multiLevelType w:val="hybridMultilevel"/>
    <w:tmpl w:val="232CC784"/>
    <w:lvl w:ilvl="0" w:tplc="8B30493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nsid w:val="6A7A1285"/>
    <w:multiLevelType w:val="hybridMultilevel"/>
    <w:tmpl w:val="DE889540"/>
    <w:lvl w:ilvl="0" w:tplc="03ECEA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80C2ED4"/>
    <w:multiLevelType w:val="hybridMultilevel"/>
    <w:tmpl w:val="9CEC94E8"/>
    <w:lvl w:ilvl="0" w:tplc="1BA26136">
      <w:start w:val="1"/>
      <w:numFmt w:val="decimal"/>
      <w:lvlText w:val="%1."/>
      <w:lvlJc w:val="left"/>
      <w:pPr>
        <w:ind w:left="630" w:hanging="360"/>
      </w:pPr>
      <w:rPr>
        <w:rFonts w:hint="default"/>
        <w:i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nsid w:val="7AC23F69"/>
    <w:multiLevelType w:val="hybridMultilevel"/>
    <w:tmpl w:val="31E80EAE"/>
    <w:lvl w:ilvl="0" w:tplc="0BD68F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7"/>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9"/>
  </w:num>
  <w:num w:numId="16">
    <w:abstractNumId w:val="26"/>
  </w:num>
  <w:num w:numId="17">
    <w:abstractNumId w:val="21"/>
  </w:num>
  <w:num w:numId="18">
    <w:abstractNumId w:val="28"/>
  </w:num>
  <w:num w:numId="19">
    <w:abstractNumId w:val="14"/>
  </w:num>
  <w:num w:numId="20">
    <w:abstractNumId w:val="25"/>
  </w:num>
  <w:num w:numId="21">
    <w:abstractNumId w:val="23"/>
  </w:num>
  <w:num w:numId="22">
    <w:abstractNumId w:val="16"/>
  </w:num>
  <w:num w:numId="23">
    <w:abstractNumId w:val="15"/>
  </w:num>
  <w:num w:numId="24">
    <w:abstractNumId w:val="19"/>
  </w:num>
  <w:num w:numId="25">
    <w:abstractNumId w:val="20"/>
  </w:num>
  <w:num w:numId="26">
    <w:abstractNumId w:val="18"/>
  </w:num>
  <w:num w:numId="27">
    <w:abstractNumId w:val="13"/>
  </w:num>
  <w:num w:numId="28">
    <w:abstractNumId w:val="11"/>
  </w:num>
  <w:num w:numId="29">
    <w:abstractNumId w:val="27"/>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BF5"/>
    <w:rsid w:val="00813BF5"/>
    <w:rsid w:val="008B33CF"/>
    <w:rsid w:val="00E3769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13BF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813BF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813BF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13BF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13BF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13BF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13BF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13BF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13BF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813BF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813BF5"/>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813BF5"/>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813BF5"/>
    <w:rPr>
      <w:rFonts w:ascii="Cambria" w:eastAsia="MS Mincho" w:hAnsi="Cambria" w:cs="Cambria"/>
      <w:b/>
      <w:bCs/>
      <w:sz w:val="24"/>
      <w:szCs w:val="24"/>
      <w:lang w:val="en-US"/>
    </w:rPr>
  </w:style>
  <w:style w:type="character" w:customStyle="1" w:styleId="Heading4Char">
    <w:name w:val="Heading 4 Char"/>
    <w:basedOn w:val="DefaultParagraphFont"/>
    <w:link w:val="Heading4"/>
    <w:rsid w:val="00813BF5"/>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813BF5"/>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813BF5"/>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813BF5"/>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813BF5"/>
    <w:rPr>
      <w:rFonts w:ascii="Cambria" w:eastAsia="MS Mincho" w:hAnsi="Cambria" w:cs="Cambria"/>
      <w:sz w:val="20"/>
      <w:szCs w:val="20"/>
      <w:lang w:val="en-US"/>
    </w:rPr>
  </w:style>
  <w:style w:type="character" w:customStyle="1" w:styleId="Heading9Char">
    <w:name w:val="Heading 9 Char"/>
    <w:basedOn w:val="DefaultParagraphFont"/>
    <w:link w:val="Heading9"/>
    <w:rsid w:val="00813BF5"/>
    <w:rPr>
      <w:rFonts w:ascii="Cambria" w:eastAsia="MS Mincho" w:hAnsi="Cambria" w:cs="Cambria"/>
      <w:i/>
      <w:iCs/>
      <w:spacing w:val="5"/>
      <w:sz w:val="20"/>
      <w:szCs w:val="20"/>
      <w:lang w:val="en-US"/>
    </w:rPr>
  </w:style>
  <w:style w:type="paragraph" w:styleId="NoSpacing">
    <w:name w:val="No Spacing"/>
    <w:link w:val="NoSpacingChar"/>
    <w:uiPriority w:val="1"/>
    <w:qFormat/>
    <w:rsid w:val="00813BF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813BF5"/>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813B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13BF5"/>
    <w:rPr>
      <w:rFonts w:ascii="Tahoma" w:eastAsia="Calibri" w:hAnsi="Tahoma" w:cs="Tahoma"/>
      <w:sz w:val="16"/>
      <w:szCs w:val="16"/>
      <w:lang w:val="en-US"/>
    </w:rPr>
  </w:style>
  <w:style w:type="paragraph" w:styleId="Header">
    <w:name w:val="header"/>
    <w:basedOn w:val="Normal"/>
    <w:link w:val="HeaderChar"/>
    <w:uiPriority w:val="99"/>
    <w:unhideWhenUsed/>
    <w:rsid w:val="00813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BF5"/>
    <w:rPr>
      <w:rFonts w:ascii="Calibri" w:eastAsia="Calibri" w:hAnsi="Calibri" w:cs="Times New Roman"/>
      <w:lang w:val="en-US"/>
    </w:rPr>
  </w:style>
  <w:style w:type="paragraph" w:styleId="Footer">
    <w:name w:val="footer"/>
    <w:basedOn w:val="Normal"/>
    <w:link w:val="FooterChar"/>
    <w:uiPriority w:val="99"/>
    <w:unhideWhenUsed/>
    <w:rsid w:val="00813B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BF5"/>
    <w:rPr>
      <w:rFonts w:ascii="Calibri" w:eastAsia="Calibri" w:hAnsi="Calibri" w:cs="Times New Roman"/>
      <w:lang w:val="en-US"/>
    </w:rPr>
  </w:style>
  <w:style w:type="paragraph" w:customStyle="1" w:styleId="Akti">
    <w:name w:val="Akti"/>
    <w:link w:val="AktiChar"/>
    <w:rsid w:val="00813BF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13BF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13BF5"/>
    <w:rPr>
      <w:rFonts w:ascii="Garamond" w:eastAsia="MS Mincho" w:hAnsi="Garamond" w:cs="CG Times"/>
      <w:b/>
      <w:bCs/>
      <w:sz w:val="24"/>
      <w:lang w:val="en-GB"/>
    </w:rPr>
  </w:style>
  <w:style w:type="paragraph" w:customStyle="1" w:styleId="Paragrafi">
    <w:name w:val="Paragrafi"/>
    <w:link w:val="ParagrafiChar"/>
    <w:rsid w:val="00813BF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13BF5"/>
    <w:rPr>
      <w:rFonts w:ascii="Garamond" w:eastAsia="MS Mincho" w:hAnsi="Garamond" w:cs="CG Times"/>
      <w:sz w:val="24"/>
      <w:lang w:val="en-US"/>
    </w:rPr>
  </w:style>
  <w:style w:type="paragraph" w:customStyle="1" w:styleId="Titulli">
    <w:name w:val="Titulli"/>
    <w:next w:val="Normal"/>
    <w:link w:val="TitulliChar"/>
    <w:rsid w:val="00813BF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13BF5"/>
    <w:rPr>
      <w:rFonts w:ascii="Garamond" w:eastAsia="MS Mincho" w:hAnsi="Garamond" w:cs="CG Times"/>
      <w:b/>
      <w:bCs/>
      <w:caps/>
      <w:sz w:val="24"/>
      <w:lang w:val="en-GB"/>
    </w:rPr>
  </w:style>
  <w:style w:type="character" w:customStyle="1" w:styleId="AktiChar">
    <w:name w:val="Akti Char"/>
    <w:basedOn w:val="DefaultParagraphFont"/>
    <w:link w:val="Akti"/>
    <w:rsid w:val="00813BF5"/>
    <w:rPr>
      <w:rFonts w:ascii="Garamond" w:eastAsia="MS Mincho" w:hAnsi="Garamond" w:cs="CG Times"/>
      <w:b/>
      <w:bCs/>
      <w:caps/>
      <w:color w:val="000000"/>
      <w:sz w:val="24"/>
      <w:lang w:val="en-GB"/>
    </w:rPr>
  </w:style>
  <w:style w:type="paragraph" w:customStyle="1" w:styleId="NeniNr">
    <w:name w:val="Neni_Nr"/>
    <w:next w:val="Normal"/>
    <w:link w:val="NeniNrChar"/>
    <w:rsid w:val="00813BF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13BF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13BF5"/>
    <w:rPr>
      <w:rFonts w:ascii="Garamond" w:eastAsia="MS Mincho" w:hAnsi="Garamond" w:cs="CG Times"/>
      <w:sz w:val="24"/>
      <w:lang w:val="en-GB"/>
    </w:rPr>
  </w:style>
  <w:style w:type="paragraph" w:customStyle="1" w:styleId="Autoriteti">
    <w:name w:val="Autoriteti"/>
    <w:next w:val="Normal"/>
    <w:link w:val="AutoritetiChar"/>
    <w:rsid w:val="00813BF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13BF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13BF5"/>
    <w:rPr>
      <w:rFonts w:ascii="Garamond" w:eastAsia="MS Mincho" w:hAnsi="Garamond" w:cs="CG Times"/>
      <w:caps/>
      <w:sz w:val="24"/>
      <w:lang w:val="en-GB"/>
    </w:rPr>
  </w:style>
  <w:style w:type="character" w:customStyle="1" w:styleId="AutoritetiEmerChar">
    <w:name w:val="Autoriteti_Emer Char"/>
    <w:link w:val="AutoritetiEmer"/>
    <w:locked/>
    <w:rsid w:val="00813BF5"/>
    <w:rPr>
      <w:rFonts w:ascii="Garamond" w:eastAsia="MS Mincho" w:hAnsi="Garamond" w:cs="Times New Roman"/>
      <w:b/>
      <w:bCs/>
      <w:sz w:val="24"/>
      <w:lang w:val="en-GB"/>
    </w:rPr>
  </w:style>
  <w:style w:type="paragraph" w:customStyle="1" w:styleId="Titull-Titull">
    <w:name w:val="Titull-Titull"/>
    <w:basedOn w:val="Paragrafi"/>
    <w:qFormat/>
    <w:rsid w:val="00813BF5"/>
    <w:pPr>
      <w:ind w:firstLine="0"/>
      <w:jc w:val="center"/>
    </w:pPr>
    <w:rPr>
      <w:caps/>
      <w:szCs w:val="24"/>
    </w:rPr>
  </w:style>
  <w:style w:type="paragraph" w:customStyle="1" w:styleId="Vendosi">
    <w:name w:val="Vendosi"/>
    <w:basedOn w:val="Titull-Titull"/>
    <w:qFormat/>
    <w:rsid w:val="00813BF5"/>
  </w:style>
  <w:style w:type="paragraph" w:customStyle="1" w:styleId="Hapesira7">
    <w:name w:val="Hapesira 7"/>
    <w:basedOn w:val="Paragrafi"/>
    <w:qFormat/>
    <w:rsid w:val="00813BF5"/>
    <w:rPr>
      <w:sz w:val="14"/>
      <w:szCs w:val="24"/>
    </w:rPr>
  </w:style>
  <w:style w:type="paragraph" w:styleId="ListParagraph">
    <w:name w:val="List Paragraph"/>
    <w:aliases w:val="List Paragraph2"/>
    <w:basedOn w:val="Normal"/>
    <w:link w:val="ListParagraphChar"/>
    <w:uiPriority w:val="34"/>
    <w:qFormat/>
    <w:rsid w:val="00813BF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13BF5"/>
    <w:rPr>
      <w:rFonts w:ascii="Calibri" w:eastAsia="Times New Roman" w:hAnsi="Calibri" w:cs="Times New Roman"/>
      <w:lang w:val="en-US"/>
    </w:rPr>
  </w:style>
  <w:style w:type="paragraph" w:customStyle="1" w:styleId="Style1">
    <w:name w:val="Style1"/>
    <w:basedOn w:val="Akti"/>
    <w:qFormat/>
    <w:rsid w:val="00813BF5"/>
  </w:style>
  <w:style w:type="character" w:customStyle="1" w:styleId="Heading2Char1">
    <w:name w:val="Heading 2 Char1"/>
    <w:link w:val="Heading2"/>
    <w:uiPriority w:val="1"/>
    <w:locked/>
    <w:rsid w:val="00813BF5"/>
    <w:rPr>
      <w:rFonts w:ascii="Cambria" w:eastAsia="MS Mincho" w:hAnsi="Cambria" w:cs="Cambria"/>
      <w:b/>
      <w:bCs/>
      <w:sz w:val="26"/>
      <w:szCs w:val="26"/>
      <w:lang w:val="en-US"/>
    </w:rPr>
  </w:style>
  <w:style w:type="character" w:customStyle="1" w:styleId="Heading3Char1">
    <w:name w:val="Heading 3 Char1"/>
    <w:aliases w:val="Germa Char1"/>
    <w:link w:val="Heading3"/>
    <w:locked/>
    <w:rsid w:val="00813BF5"/>
    <w:rPr>
      <w:rFonts w:ascii="Cambria" w:eastAsia="MS Mincho" w:hAnsi="Cambria" w:cs="Cambria"/>
      <w:b/>
      <w:bCs/>
      <w:sz w:val="24"/>
      <w:szCs w:val="24"/>
      <w:lang w:val="en-US"/>
    </w:rPr>
  </w:style>
  <w:style w:type="paragraph" w:customStyle="1" w:styleId="ADDRESS">
    <w:name w:val="ADDRESS"/>
    <w:basedOn w:val="Normal"/>
    <w:rsid w:val="00813BF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13BF5"/>
    <w:pPr>
      <w:spacing w:after="0" w:line="240" w:lineRule="auto"/>
      <w:jc w:val="both"/>
    </w:pPr>
    <w:rPr>
      <w:rFonts w:ascii="CG Times" w:eastAsia="MS Mincho" w:hAnsi="CG Times" w:cs="CG Times"/>
      <w:sz w:val="21"/>
      <w:lang w:val="en-GB"/>
    </w:rPr>
  </w:style>
  <w:style w:type="paragraph" w:customStyle="1" w:styleId="AneksiNr">
    <w:name w:val="Aneksi_Nr"/>
    <w:next w:val="Normal"/>
    <w:rsid w:val="00813BF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13BF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813BF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813BF5"/>
    <w:rPr>
      <w:rFonts w:ascii="Arial" w:eastAsia="Times New Roman" w:hAnsi="Arial" w:cs="Arial"/>
      <w:color w:val="000000"/>
      <w:sz w:val="24"/>
      <w:szCs w:val="24"/>
      <w:lang w:val="en-US"/>
    </w:rPr>
  </w:style>
  <w:style w:type="paragraph" w:customStyle="1" w:styleId="BazLigjPropozues">
    <w:name w:val="Baz_Ligj_Propozues"/>
    <w:rsid w:val="00813BF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13BF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13BF5"/>
    <w:rPr>
      <w:rFonts w:ascii="Times New Roman" w:eastAsia="Times New Roman" w:hAnsi="Times New Roman" w:cs="Times New Roman"/>
      <w:caps/>
      <w:sz w:val="26"/>
      <w:szCs w:val="26"/>
      <w:lang w:val="en-GB"/>
    </w:rPr>
  </w:style>
  <w:style w:type="character" w:customStyle="1" w:styleId="apple-converted-space">
    <w:name w:val="apple-converted-space"/>
    <w:rsid w:val="00813BF5"/>
  </w:style>
  <w:style w:type="character" w:styleId="Hyperlink">
    <w:name w:val="Hyperlink"/>
    <w:uiPriority w:val="99"/>
    <w:unhideWhenUsed/>
    <w:rsid w:val="00813BF5"/>
    <w:rPr>
      <w:color w:val="0000FF"/>
      <w:u w:val="single"/>
    </w:rPr>
  </w:style>
  <w:style w:type="character" w:styleId="FollowedHyperlink">
    <w:name w:val="FollowedHyperlink"/>
    <w:uiPriority w:val="99"/>
    <w:unhideWhenUsed/>
    <w:rsid w:val="00813BF5"/>
    <w:rPr>
      <w:color w:val="800080"/>
      <w:u w:val="single"/>
    </w:rPr>
  </w:style>
  <w:style w:type="paragraph" w:customStyle="1" w:styleId="font5">
    <w:name w:val="font5"/>
    <w:basedOn w:val="Normal"/>
    <w:rsid w:val="00813BF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13BF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13BF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13BF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13BF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13BF5"/>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813BF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13BF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13BF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13BF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13BF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13BF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13BF5"/>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813BF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13BF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13BF5"/>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813BF5"/>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813BF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13BF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13BF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13BF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13BF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13BF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13BF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13BF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13BF5"/>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813BF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13BF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13BF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13BF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13BF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13BF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13BF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13BF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13BF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13BF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13BF5"/>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813BF5"/>
  </w:style>
  <w:style w:type="paragraph" w:customStyle="1" w:styleId="PjesaNr">
    <w:name w:val="Pjesa_Nr"/>
    <w:next w:val="Normal"/>
    <w:rsid w:val="00813BF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13BF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13BF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13BF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13BF5"/>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813BF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13BF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13BF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13BF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13BF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13BF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13BF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13BF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13BF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13BF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13BF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13BF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13BF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13BF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13BF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13BF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13BF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13BF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13BF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13BF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13BF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13BF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13BF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13BF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13BF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13BF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13BF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813BF5"/>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13BF5"/>
    <w:rPr>
      <w:b/>
      <w:bCs/>
    </w:rPr>
  </w:style>
  <w:style w:type="paragraph" w:customStyle="1" w:styleId="xl136">
    <w:name w:val="xl136"/>
    <w:basedOn w:val="Normal"/>
    <w:rsid w:val="00813BF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13BF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13BF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13BF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13BF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13BF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13BF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13BF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13BF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13BF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13BF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13BF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13BF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13BF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13BF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13BF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13BF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13BF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13BF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13BF5"/>
  </w:style>
  <w:style w:type="paragraph" w:styleId="Title">
    <w:name w:val="Title"/>
    <w:basedOn w:val="Heading1"/>
    <w:next w:val="Normal"/>
    <w:link w:val="TitleChar"/>
    <w:qFormat/>
    <w:rsid w:val="00813BF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13BF5"/>
    <w:rPr>
      <w:rFonts w:ascii="Calibri" w:eastAsia="Times New Roman" w:hAnsi="Calibri" w:cs="Arial"/>
      <w:b/>
      <w:caps/>
      <w:spacing w:val="10"/>
      <w:sz w:val="40"/>
      <w:szCs w:val="40"/>
    </w:rPr>
  </w:style>
  <w:style w:type="paragraph" w:customStyle="1" w:styleId="articlebody">
    <w:name w:val="articlebody"/>
    <w:basedOn w:val="Normal"/>
    <w:uiPriority w:val="99"/>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13BF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813BF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13BF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13BF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13BF5"/>
    <w:pPr>
      <w:spacing w:after="100"/>
      <w:ind w:left="660" w:firstLine="0"/>
      <w:jc w:val="left"/>
    </w:pPr>
    <w:rPr>
      <w:rFonts w:eastAsia="Times New Roman"/>
    </w:rPr>
  </w:style>
  <w:style w:type="paragraph" w:styleId="TOC5">
    <w:name w:val="toc 5"/>
    <w:basedOn w:val="Normal"/>
    <w:next w:val="Normal"/>
    <w:autoRedefine/>
    <w:unhideWhenUsed/>
    <w:rsid w:val="00813BF5"/>
    <w:pPr>
      <w:spacing w:after="100"/>
      <w:ind w:left="880" w:firstLine="0"/>
      <w:jc w:val="left"/>
    </w:pPr>
    <w:rPr>
      <w:rFonts w:eastAsia="Times New Roman"/>
    </w:rPr>
  </w:style>
  <w:style w:type="paragraph" w:styleId="TOC6">
    <w:name w:val="toc 6"/>
    <w:basedOn w:val="Normal"/>
    <w:next w:val="Normal"/>
    <w:autoRedefine/>
    <w:unhideWhenUsed/>
    <w:rsid w:val="00813BF5"/>
    <w:pPr>
      <w:spacing w:after="100"/>
      <w:ind w:left="1100" w:firstLine="0"/>
      <w:jc w:val="left"/>
    </w:pPr>
    <w:rPr>
      <w:rFonts w:eastAsia="Times New Roman"/>
    </w:rPr>
  </w:style>
  <w:style w:type="paragraph" w:styleId="TOC7">
    <w:name w:val="toc 7"/>
    <w:basedOn w:val="Normal"/>
    <w:next w:val="Normal"/>
    <w:autoRedefine/>
    <w:unhideWhenUsed/>
    <w:rsid w:val="00813BF5"/>
    <w:pPr>
      <w:spacing w:after="100"/>
      <w:ind w:left="1320" w:firstLine="0"/>
      <w:jc w:val="left"/>
    </w:pPr>
    <w:rPr>
      <w:rFonts w:eastAsia="Times New Roman"/>
    </w:rPr>
  </w:style>
  <w:style w:type="paragraph" w:styleId="TOC8">
    <w:name w:val="toc 8"/>
    <w:basedOn w:val="Normal"/>
    <w:next w:val="Normal"/>
    <w:autoRedefine/>
    <w:unhideWhenUsed/>
    <w:rsid w:val="00813BF5"/>
    <w:pPr>
      <w:spacing w:after="100"/>
      <w:ind w:left="1540" w:firstLine="0"/>
      <w:jc w:val="left"/>
    </w:pPr>
    <w:rPr>
      <w:rFonts w:eastAsia="Times New Roman"/>
    </w:rPr>
  </w:style>
  <w:style w:type="paragraph" w:styleId="TOC9">
    <w:name w:val="toc 9"/>
    <w:basedOn w:val="Normal"/>
    <w:next w:val="Normal"/>
    <w:autoRedefine/>
    <w:unhideWhenUsed/>
    <w:rsid w:val="00813BF5"/>
    <w:pPr>
      <w:spacing w:after="100"/>
      <w:ind w:left="1760" w:firstLine="0"/>
      <w:jc w:val="left"/>
    </w:pPr>
    <w:rPr>
      <w:rFonts w:eastAsia="Times New Roman"/>
    </w:rPr>
  </w:style>
  <w:style w:type="paragraph" w:styleId="BodyTextIndent">
    <w:name w:val="Body Text Indent"/>
    <w:basedOn w:val="Normal"/>
    <w:link w:val="BodyTextIndentChar"/>
    <w:unhideWhenUsed/>
    <w:rsid w:val="00813BF5"/>
    <w:pPr>
      <w:spacing w:after="120"/>
      <w:ind w:left="360"/>
    </w:pPr>
  </w:style>
  <w:style w:type="character" w:customStyle="1" w:styleId="BodyTextIndentChar">
    <w:name w:val="Body Text Indent Char"/>
    <w:basedOn w:val="DefaultParagraphFont"/>
    <w:link w:val="BodyTextIndent"/>
    <w:rsid w:val="00813BF5"/>
    <w:rPr>
      <w:rFonts w:ascii="Calibri" w:eastAsia="Calibri" w:hAnsi="Calibri" w:cs="Times New Roman"/>
      <w:lang w:val="en-US"/>
    </w:rPr>
  </w:style>
  <w:style w:type="paragraph" w:customStyle="1" w:styleId="numridata0">
    <w:name w:val="numridata"/>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13BF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13BF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13BF5"/>
    <w:rPr>
      <w:rFonts w:ascii="Times New Roman" w:eastAsia="Times New Roman" w:hAnsi="Times New Roman" w:cs="Times New Roman"/>
      <w:sz w:val="16"/>
      <w:szCs w:val="16"/>
      <w:lang w:val="en-US"/>
    </w:rPr>
  </w:style>
  <w:style w:type="paragraph" w:customStyle="1" w:styleId="s32b251d">
    <w:name w:val="s32b251d"/>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13BF5"/>
  </w:style>
  <w:style w:type="paragraph" w:customStyle="1" w:styleId="s30eec3f8">
    <w:name w:val="s30eec3f8"/>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13BF5"/>
    <w:rPr>
      <w:sz w:val="24"/>
      <w:lang w:val="en-GB" w:eastAsia="fr-FR"/>
    </w:rPr>
  </w:style>
  <w:style w:type="paragraph" w:customStyle="1" w:styleId="JuPara">
    <w:name w:val="Ju_Para"/>
    <w:basedOn w:val="Normal"/>
    <w:link w:val="JuParaCar"/>
    <w:rsid w:val="00813BF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13BF5"/>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813BF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813BF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13BF5"/>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813BF5"/>
    <w:rPr>
      <w:vertAlign w:val="superscript"/>
    </w:rPr>
  </w:style>
  <w:style w:type="paragraph" w:customStyle="1" w:styleId="ju-005fpara">
    <w:name w:val="ju-005fpara"/>
    <w:basedOn w:val="Normal"/>
    <w:rsid w:val="00813BF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13BF5"/>
  </w:style>
  <w:style w:type="character" w:customStyle="1" w:styleId="s7d2086b4">
    <w:name w:val="s7d2086b4"/>
    <w:basedOn w:val="DefaultParagraphFont"/>
    <w:uiPriority w:val="99"/>
    <w:rsid w:val="00813BF5"/>
  </w:style>
  <w:style w:type="character" w:customStyle="1" w:styleId="hps">
    <w:name w:val="hps"/>
    <w:basedOn w:val="DefaultParagraphFont"/>
    <w:rsid w:val="00813BF5"/>
  </w:style>
  <w:style w:type="paragraph" w:customStyle="1" w:styleId="paragrafi0">
    <w:name w:val="paragraf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13BF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13BF5"/>
    <w:rPr>
      <w:rFonts w:cs="Times New Roman"/>
    </w:rPr>
  </w:style>
  <w:style w:type="paragraph" w:customStyle="1" w:styleId="titulli0">
    <w:name w:val="titull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13BF5"/>
  </w:style>
  <w:style w:type="paragraph" w:customStyle="1" w:styleId="akti0">
    <w:name w:val="akt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813BF5"/>
  </w:style>
  <w:style w:type="paragraph" w:customStyle="1" w:styleId="CM49">
    <w:name w:val="CM49"/>
    <w:basedOn w:val="Normal"/>
    <w:next w:val="Normal"/>
    <w:rsid w:val="00813BF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13BF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13BF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13BF5"/>
    <w:pPr>
      <w:widowControl w:val="0"/>
    </w:pPr>
    <w:rPr>
      <w:rFonts w:ascii="Helvetica" w:eastAsia="Times New Roman" w:hAnsi="Helvetica" w:cs="Helvetica"/>
      <w:lang w:val="sq-AL"/>
    </w:rPr>
  </w:style>
  <w:style w:type="paragraph" w:customStyle="1" w:styleId="CM57">
    <w:name w:val="CM57"/>
    <w:basedOn w:val="Normal"/>
    <w:next w:val="Normal"/>
    <w:rsid w:val="00813BF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13BF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13BF5"/>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813BF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13BF5"/>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813BF5"/>
  </w:style>
  <w:style w:type="character" w:customStyle="1" w:styleId="StyleHeading6BoldChar">
    <w:name w:val="Style Heading 6 + Bold Char"/>
    <w:link w:val="StyleHeading6Bold"/>
    <w:rsid w:val="00813BF5"/>
    <w:rPr>
      <w:rFonts w:ascii="Cambria" w:eastAsia="MS Mincho" w:hAnsi="Cambria" w:cs="Cambria"/>
      <w:b/>
      <w:bCs/>
      <w:i/>
      <w:iCs/>
      <w:color w:val="7F7F7F"/>
      <w:sz w:val="24"/>
      <w:szCs w:val="24"/>
      <w:lang w:val="en-US"/>
    </w:rPr>
  </w:style>
  <w:style w:type="paragraph" w:customStyle="1" w:styleId="tableheaders">
    <w:name w:val="table headers"/>
    <w:rsid w:val="00813BF5"/>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813BF5"/>
    <w:rPr>
      <w:b w:val="0"/>
    </w:rPr>
  </w:style>
  <w:style w:type="paragraph" w:styleId="PlainText">
    <w:name w:val="Plain Text"/>
    <w:basedOn w:val="Normal"/>
    <w:link w:val="PlainTextChar"/>
    <w:uiPriority w:val="99"/>
    <w:unhideWhenUsed/>
    <w:rsid w:val="00813BF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13BF5"/>
    <w:rPr>
      <w:rFonts w:ascii="Consolas" w:eastAsia="Calibri" w:hAnsi="Consolas" w:cs="Times New Roman"/>
      <w:sz w:val="21"/>
      <w:szCs w:val="21"/>
    </w:rPr>
  </w:style>
  <w:style w:type="paragraph" w:customStyle="1" w:styleId="StyleStyle1Bold">
    <w:name w:val="Style Style1 + Bold"/>
    <w:basedOn w:val="Style1"/>
    <w:rsid w:val="00813BF5"/>
  </w:style>
  <w:style w:type="paragraph" w:customStyle="1" w:styleId="CM1">
    <w:name w:val="CM1"/>
    <w:basedOn w:val="Default"/>
    <w:next w:val="Default"/>
    <w:rsid w:val="00813BF5"/>
    <w:rPr>
      <w:rFonts w:ascii="EUAlbertina" w:hAnsi="EUAlbertina"/>
      <w:color w:val="auto"/>
    </w:rPr>
  </w:style>
  <w:style w:type="paragraph" w:customStyle="1" w:styleId="CM4">
    <w:name w:val="CM4"/>
    <w:basedOn w:val="Normal"/>
    <w:next w:val="Normal"/>
    <w:rsid w:val="00813BF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13BF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13BF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13BF5"/>
    <w:rPr>
      <w:rFonts w:ascii="Tahoma" w:eastAsia="Times New Roman" w:hAnsi="Tahoma" w:cs="Times New Roman"/>
      <w:sz w:val="16"/>
      <w:szCs w:val="16"/>
    </w:rPr>
  </w:style>
  <w:style w:type="numbering" w:customStyle="1" w:styleId="NoList3">
    <w:name w:val="No List3"/>
    <w:next w:val="NoList"/>
    <w:semiHidden/>
    <w:rsid w:val="00813BF5"/>
  </w:style>
  <w:style w:type="numbering" w:customStyle="1" w:styleId="NoList4">
    <w:name w:val="No List4"/>
    <w:next w:val="NoList"/>
    <w:semiHidden/>
    <w:rsid w:val="00813BF5"/>
  </w:style>
  <w:style w:type="paragraph" w:customStyle="1" w:styleId="Point1">
    <w:name w:val="Point 1"/>
    <w:basedOn w:val="Normal"/>
    <w:link w:val="Point1Char"/>
    <w:rsid w:val="00813BF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13BF5"/>
    <w:rPr>
      <w:rFonts w:ascii="Calibri" w:eastAsia="Times New Roman" w:hAnsi="Calibri" w:cs="Times New Roman"/>
      <w:sz w:val="24"/>
      <w:szCs w:val="24"/>
      <w:lang w:val="en-GB" w:eastAsia="en-GB"/>
    </w:rPr>
  </w:style>
  <w:style w:type="character" w:customStyle="1" w:styleId="longtext">
    <w:name w:val="long_text"/>
    <w:rsid w:val="00813BF5"/>
    <w:rPr>
      <w:rFonts w:ascii="Comic Sans MS" w:hAnsi="Comic Sans MS"/>
      <w:b/>
      <w:sz w:val="96"/>
      <w:szCs w:val="24"/>
      <w:lang w:val="pl-PL" w:eastAsia="pl-PL" w:bidi="ar-SA"/>
    </w:rPr>
  </w:style>
  <w:style w:type="paragraph" w:customStyle="1" w:styleId="Text1">
    <w:name w:val="Text 1"/>
    <w:basedOn w:val="Normal"/>
    <w:link w:val="Text1Char"/>
    <w:rsid w:val="00813BF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13BF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13BF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13BF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13BF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13BF5"/>
  </w:style>
  <w:style w:type="character" w:customStyle="1" w:styleId="SectionTitleCharCharChar">
    <w:name w:val="SectionTitle Char Char Char"/>
    <w:link w:val="SectionTitleCharChar"/>
    <w:rsid w:val="00813BF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13BF5"/>
    <w:rPr>
      <w:rFonts w:ascii="Calibri" w:eastAsia="Times New Roman" w:hAnsi="Calibri" w:cs="Times New Roman"/>
      <w:b/>
      <w:bCs/>
      <w:smallCaps/>
      <w:sz w:val="28"/>
      <w:szCs w:val="28"/>
      <w:lang w:val="en-GB" w:eastAsia="en-GB"/>
    </w:rPr>
  </w:style>
  <w:style w:type="character" w:customStyle="1" w:styleId="Text1Char">
    <w:name w:val="Text 1 Char"/>
    <w:link w:val="Text1"/>
    <w:rsid w:val="00813BF5"/>
    <w:rPr>
      <w:rFonts w:ascii="Calibri" w:eastAsia="Times New Roman" w:hAnsi="Calibri" w:cs="Times New Roman"/>
      <w:sz w:val="24"/>
      <w:szCs w:val="24"/>
      <w:lang w:val="en-GB" w:eastAsia="en-GB"/>
    </w:rPr>
  </w:style>
  <w:style w:type="character" w:customStyle="1" w:styleId="Point1CharChar">
    <w:name w:val="Point 1 Char Char"/>
    <w:rsid w:val="00813BF5"/>
    <w:rPr>
      <w:sz w:val="24"/>
      <w:szCs w:val="24"/>
      <w:lang w:val="en-GB" w:eastAsia="en-GB" w:bidi="ar-SA"/>
    </w:rPr>
  </w:style>
  <w:style w:type="paragraph" w:customStyle="1" w:styleId="Point0">
    <w:name w:val="Point 0"/>
    <w:basedOn w:val="Normal"/>
    <w:rsid w:val="00813BF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13BF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13BF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13BF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13BF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13BF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13BF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13BF5"/>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813BF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13BF5"/>
    <w:rPr>
      <w:rFonts w:ascii="CG Times" w:hAnsi="CG Times"/>
      <w:sz w:val="22"/>
      <w:lang w:val="en-US" w:eastAsia="en-US" w:bidi="ar-SA"/>
    </w:rPr>
  </w:style>
  <w:style w:type="paragraph" w:customStyle="1" w:styleId="SectionTitle">
    <w:name w:val="SectionTitle"/>
    <w:basedOn w:val="Normal"/>
    <w:next w:val="Heading1"/>
    <w:rsid w:val="00813BF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13BF5"/>
  </w:style>
  <w:style w:type="paragraph" w:styleId="TableofFigures">
    <w:name w:val="table of figures"/>
    <w:basedOn w:val="Normal"/>
    <w:next w:val="Normal"/>
    <w:rsid w:val="00813BF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13BF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13BF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13BF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13BF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13BF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13BF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13BF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13BF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13BF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13BF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13BF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13BF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13BF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13BF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13BF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13BF5"/>
    <w:pPr>
      <w:spacing w:after="0" w:line="360" w:lineRule="auto"/>
      <w:ind w:firstLine="0"/>
      <w:jc w:val="left"/>
    </w:pPr>
    <w:rPr>
      <w:rFonts w:ascii="Tahoma" w:eastAsia="Times New Roman" w:hAnsi="Tahoma"/>
      <w:lang w:val="de-AT" w:eastAsia="de-DE"/>
    </w:rPr>
  </w:style>
  <w:style w:type="paragraph" w:styleId="List">
    <w:name w:val="List"/>
    <w:basedOn w:val="Normal"/>
    <w:rsid w:val="00813BF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13BF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13BF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13BF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13BF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13BF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13BF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13BF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13BF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13BF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13BF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13BF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13BF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13BF5"/>
    <w:rPr>
      <w:sz w:val="16"/>
      <w:szCs w:val="16"/>
    </w:rPr>
  </w:style>
  <w:style w:type="paragraph" w:styleId="CommentText">
    <w:name w:val="annotation text"/>
    <w:aliases w:val=" Char"/>
    <w:basedOn w:val="Normal"/>
    <w:link w:val="CommentTextChar"/>
    <w:unhideWhenUsed/>
    <w:rsid w:val="00813BF5"/>
    <w:rPr>
      <w:rFonts w:eastAsia="MS Mincho"/>
      <w:sz w:val="20"/>
      <w:szCs w:val="20"/>
      <w:lang w:val="sq-AL"/>
    </w:rPr>
  </w:style>
  <w:style w:type="character" w:customStyle="1" w:styleId="CommentTextChar">
    <w:name w:val="Comment Text Char"/>
    <w:aliases w:val=" Char Char1"/>
    <w:basedOn w:val="DefaultParagraphFont"/>
    <w:link w:val="CommentText"/>
    <w:rsid w:val="00813BF5"/>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813BF5"/>
    <w:rPr>
      <w:b/>
      <w:bCs/>
    </w:rPr>
  </w:style>
  <w:style w:type="character" w:customStyle="1" w:styleId="CommentSubjectChar">
    <w:name w:val="Comment Subject Char"/>
    <w:basedOn w:val="CommentTextChar"/>
    <w:link w:val="CommentSubject"/>
    <w:rsid w:val="00813BF5"/>
    <w:rPr>
      <w:rFonts w:ascii="Calibri" w:eastAsia="MS Mincho" w:hAnsi="Calibri" w:cs="Times New Roman"/>
      <w:b/>
      <w:bCs/>
      <w:sz w:val="20"/>
      <w:szCs w:val="20"/>
    </w:rPr>
  </w:style>
  <w:style w:type="paragraph" w:styleId="ListNumber4">
    <w:name w:val="List Number 4"/>
    <w:basedOn w:val="Normal"/>
    <w:rsid w:val="00813BF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13BF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13BF5"/>
  </w:style>
  <w:style w:type="paragraph" w:styleId="MacroText">
    <w:name w:val="macro"/>
    <w:link w:val="MacroTextChar"/>
    <w:semiHidden/>
    <w:rsid w:val="00813BF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13BF5"/>
    <w:rPr>
      <w:rFonts w:ascii="Courier New" w:eastAsia="Times New Roman" w:hAnsi="Courier New" w:cs="Times New Roman"/>
      <w:lang w:val="de-DE" w:eastAsia="de-DE"/>
    </w:rPr>
  </w:style>
  <w:style w:type="paragraph" w:styleId="NormalIndent">
    <w:name w:val="Normal Indent"/>
    <w:basedOn w:val="Normal"/>
    <w:link w:val="NormalIndentChar"/>
    <w:rsid w:val="00813BF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13BF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13BF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13BF5"/>
    <w:rPr>
      <w:rFonts w:ascii="Tahoma" w:hAnsi="Tahoma"/>
      <w:sz w:val="22"/>
    </w:rPr>
  </w:style>
  <w:style w:type="paragraph" w:styleId="BlockText">
    <w:name w:val="Block Text"/>
    <w:basedOn w:val="Normal"/>
    <w:rsid w:val="00813BF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13BF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13BF5"/>
    <w:rPr>
      <w:rFonts w:ascii="Tahoma" w:eastAsia="Times New Roman" w:hAnsi="Tahoma" w:cs="Times New Roman"/>
      <w:lang w:val="de-AT" w:eastAsia="de-DE"/>
    </w:rPr>
  </w:style>
  <w:style w:type="character" w:customStyle="1" w:styleId="Emphasis1">
    <w:name w:val="Emphasis1"/>
    <w:semiHidden/>
    <w:rsid w:val="00813BF5"/>
  </w:style>
  <w:style w:type="paragraph" w:styleId="NoteHeading">
    <w:name w:val="Note Heading"/>
    <w:basedOn w:val="Normal"/>
    <w:next w:val="Normal"/>
    <w:link w:val="NoteHeadingChar"/>
    <w:rsid w:val="00813BF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13BF5"/>
    <w:rPr>
      <w:rFonts w:ascii="Tahoma" w:eastAsia="Times New Roman" w:hAnsi="Tahoma" w:cs="Times New Roman"/>
      <w:lang w:val="de-AT" w:eastAsia="de-DE"/>
    </w:rPr>
  </w:style>
  <w:style w:type="paragraph" w:styleId="MessageHeader">
    <w:name w:val="Message Header"/>
    <w:basedOn w:val="Normal"/>
    <w:link w:val="MessageHeaderChar"/>
    <w:semiHidden/>
    <w:rsid w:val="00813BF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13BF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13BF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13BF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13BF5"/>
    <w:rPr>
      <w:rFonts w:ascii="Tahoma" w:eastAsia="Times New Roman" w:hAnsi="Tahoma" w:cs="Times New Roman"/>
      <w:sz w:val="20"/>
      <w:szCs w:val="20"/>
      <w:lang w:val="en-US"/>
    </w:rPr>
  </w:style>
  <w:style w:type="character" w:styleId="EndnoteReference">
    <w:name w:val="endnote reference"/>
    <w:uiPriority w:val="99"/>
    <w:semiHidden/>
    <w:unhideWhenUsed/>
    <w:rsid w:val="00813BF5"/>
    <w:rPr>
      <w:vertAlign w:val="superscript"/>
    </w:rPr>
  </w:style>
  <w:style w:type="paragraph" w:styleId="BodyTextFirstIndent2">
    <w:name w:val="Body Text First Indent 2"/>
    <w:basedOn w:val="BodyTextIndent"/>
    <w:link w:val="BodyTextFirstIndent2Char"/>
    <w:semiHidden/>
    <w:rsid w:val="00813BF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13BF5"/>
    <w:rPr>
      <w:rFonts w:ascii="Tahoma" w:eastAsia="Times New Roman" w:hAnsi="Tahoma" w:cs="Times New Roman"/>
      <w:lang w:val="de-AT" w:eastAsia="de-DE"/>
    </w:rPr>
  </w:style>
  <w:style w:type="numbering" w:styleId="111111">
    <w:name w:val="Outline List 2"/>
    <w:basedOn w:val="NoList"/>
    <w:semiHidden/>
    <w:rsid w:val="00813BF5"/>
    <w:pPr>
      <w:numPr>
        <w:numId w:val="14"/>
      </w:numPr>
    </w:pPr>
  </w:style>
  <w:style w:type="paragraph" w:customStyle="1" w:styleId="Zusatz2">
    <w:name w:val="Zusatz 2"/>
    <w:basedOn w:val="Normal"/>
    <w:next w:val="Normal"/>
    <w:semiHidden/>
    <w:rsid w:val="00813BF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13BF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13BF5"/>
    <w:pPr>
      <w:numPr>
        <w:numId w:val="15"/>
      </w:numPr>
    </w:pPr>
  </w:style>
  <w:style w:type="paragraph" w:styleId="Salutation">
    <w:name w:val="Salutation"/>
    <w:basedOn w:val="Normal"/>
    <w:next w:val="Normal"/>
    <w:link w:val="SalutationChar"/>
    <w:semiHidden/>
    <w:rsid w:val="00813BF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13BF5"/>
    <w:rPr>
      <w:rFonts w:ascii="Tahoma" w:eastAsia="Times New Roman" w:hAnsi="Tahoma" w:cs="Times New Roman"/>
      <w:lang w:val="de-AT" w:eastAsia="de-DE"/>
    </w:rPr>
  </w:style>
  <w:style w:type="numbering" w:styleId="ArticleSection">
    <w:name w:val="Outline List 3"/>
    <w:basedOn w:val="NoList"/>
    <w:semiHidden/>
    <w:rsid w:val="00813BF5"/>
    <w:pPr>
      <w:numPr>
        <w:numId w:val="16"/>
      </w:numPr>
    </w:pPr>
  </w:style>
  <w:style w:type="paragraph" w:styleId="Closing">
    <w:name w:val="Closing"/>
    <w:basedOn w:val="Normal"/>
    <w:link w:val="ClosingChar"/>
    <w:semiHidden/>
    <w:rsid w:val="00813BF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13BF5"/>
    <w:rPr>
      <w:rFonts w:ascii="Tahoma" w:eastAsia="Times New Roman" w:hAnsi="Tahoma" w:cs="Times New Roman"/>
      <w:lang w:val="de-AT" w:eastAsia="de-DE"/>
    </w:rPr>
  </w:style>
  <w:style w:type="character" w:styleId="Emphasis">
    <w:name w:val="Emphasis"/>
    <w:uiPriority w:val="20"/>
    <w:qFormat/>
    <w:rsid w:val="00813BF5"/>
    <w:rPr>
      <w:i/>
      <w:iCs/>
    </w:rPr>
  </w:style>
  <w:style w:type="paragraph" w:styleId="HTMLAddress">
    <w:name w:val="HTML Address"/>
    <w:basedOn w:val="Normal"/>
    <w:link w:val="HTMLAddressChar"/>
    <w:semiHidden/>
    <w:rsid w:val="00813BF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13BF5"/>
    <w:rPr>
      <w:rFonts w:ascii="Tahoma" w:eastAsia="Times New Roman" w:hAnsi="Tahoma" w:cs="Times New Roman"/>
      <w:i/>
      <w:iCs/>
      <w:lang w:val="de-AT" w:eastAsia="de-DE"/>
    </w:rPr>
  </w:style>
  <w:style w:type="character" w:styleId="HTMLAcronym">
    <w:name w:val="HTML Acronym"/>
    <w:semiHidden/>
    <w:rsid w:val="00813BF5"/>
  </w:style>
  <w:style w:type="character" w:styleId="HTMLSample">
    <w:name w:val="HTML Sample"/>
    <w:semiHidden/>
    <w:rsid w:val="00813BF5"/>
    <w:rPr>
      <w:rFonts w:ascii="Courier New" w:hAnsi="Courier New" w:cs="Courier New"/>
    </w:rPr>
  </w:style>
  <w:style w:type="character" w:styleId="HTMLCode">
    <w:name w:val="HTML Code"/>
    <w:semiHidden/>
    <w:rsid w:val="00813BF5"/>
    <w:rPr>
      <w:rFonts w:ascii="Courier New" w:hAnsi="Courier New" w:cs="Courier New"/>
      <w:sz w:val="20"/>
      <w:szCs w:val="20"/>
    </w:rPr>
  </w:style>
  <w:style w:type="character" w:styleId="HTMLDefinition">
    <w:name w:val="HTML Definition"/>
    <w:semiHidden/>
    <w:rsid w:val="00813BF5"/>
    <w:rPr>
      <w:i/>
      <w:iCs/>
    </w:rPr>
  </w:style>
  <w:style w:type="character" w:styleId="HTMLTypewriter">
    <w:name w:val="HTML Typewriter"/>
    <w:semiHidden/>
    <w:rsid w:val="00813BF5"/>
    <w:rPr>
      <w:rFonts w:ascii="Courier New" w:hAnsi="Courier New" w:cs="Courier New"/>
      <w:sz w:val="20"/>
      <w:szCs w:val="20"/>
    </w:rPr>
  </w:style>
  <w:style w:type="character" w:styleId="HTMLKeyboard">
    <w:name w:val="HTML Keyboard"/>
    <w:semiHidden/>
    <w:rsid w:val="00813BF5"/>
    <w:rPr>
      <w:rFonts w:ascii="Courier New" w:hAnsi="Courier New" w:cs="Courier New"/>
      <w:sz w:val="20"/>
      <w:szCs w:val="20"/>
    </w:rPr>
  </w:style>
  <w:style w:type="character" w:styleId="HTMLVariable">
    <w:name w:val="HTML Variable"/>
    <w:semiHidden/>
    <w:rsid w:val="00813BF5"/>
    <w:rPr>
      <w:i/>
      <w:iCs/>
    </w:rPr>
  </w:style>
  <w:style w:type="paragraph" w:styleId="HTMLPreformatted">
    <w:name w:val="HTML Preformatted"/>
    <w:basedOn w:val="Normal"/>
    <w:link w:val="HTMLPreformattedChar"/>
    <w:semiHidden/>
    <w:rsid w:val="00813BF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813BF5"/>
    <w:rPr>
      <w:rFonts w:ascii="Courier New" w:eastAsia="Times New Roman" w:hAnsi="Courier New" w:cs="Times New Roman"/>
      <w:sz w:val="20"/>
      <w:lang w:val="de-AT" w:eastAsia="de-DE"/>
    </w:rPr>
  </w:style>
  <w:style w:type="character" w:styleId="HTMLCite">
    <w:name w:val="HTML Cite"/>
    <w:semiHidden/>
    <w:rsid w:val="00813BF5"/>
    <w:rPr>
      <w:i/>
      <w:iCs/>
    </w:rPr>
  </w:style>
  <w:style w:type="table" w:styleId="Table3Deffects1">
    <w:name w:val="Table 3D effects 1"/>
    <w:basedOn w:val="TableNormal"/>
    <w:semiHidden/>
    <w:rsid w:val="00813BF5"/>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13BF5"/>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13BF5"/>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13BF5"/>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13BF5"/>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13BF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13BF5"/>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13BF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13BF5"/>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13BF5"/>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13BF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13BF5"/>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13BF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13BF5"/>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13BF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13BF5"/>
    <w:rPr>
      <w:rFonts w:ascii="Tahoma" w:eastAsia="Times New Roman" w:hAnsi="Tahoma" w:cs="Times New Roman"/>
      <w:lang w:val="de-AT" w:eastAsia="de-DE"/>
    </w:rPr>
  </w:style>
  <w:style w:type="paragraph" w:styleId="E-mailSignature">
    <w:name w:val="E-mail Signature"/>
    <w:basedOn w:val="Normal"/>
    <w:link w:val="E-mailSignatureChar"/>
    <w:rsid w:val="00813BF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13BF5"/>
    <w:rPr>
      <w:rFonts w:ascii="Tahoma" w:eastAsia="Times New Roman" w:hAnsi="Tahoma" w:cs="Times New Roman"/>
      <w:lang w:val="de-AT" w:eastAsia="de-DE"/>
    </w:rPr>
  </w:style>
  <w:style w:type="paragraph" w:styleId="BodyText2">
    <w:name w:val="Body Text 2"/>
    <w:basedOn w:val="Normal"/>
    <w:link w:val="BodyText2Char"/>
    <w:rsid w:val="00813BF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13BF5"/>
    <w:rPr>
      <w:rFonts w:ascii="Tahoma" w:eastAsia="Times New Roman" w:hAnsi="Tahoma" w:cs="Times New Roman"/>
      <w:lang w:val="de-AT" w:eastAsia="de-DE"/>
    </w:rPr>
  </w:style>
  <w:style w:type="paragraph" w:styleId="BodyTextIndent2">
    <w:name w:val="Body Text Indent 2"/>
    <w:basedOn w:val="Normal"/>
    <w:link w:val="BodyTextIndent2Char"/>
    <w:rsid w:val="00813BF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13BF5"/>
    <w:rPr>
      <w:rFonts w:ascii="Tahoma" w:eastAsia="Times New Roman" w:hAnsi="Tahoma" w:cs="Times New Roman"/>
      <w:lang w:val="de-AT" w:eastAsia="de-DE"/>
    </w:rPr>
  </w:style>
  <w:style w:type="paragraph" w:styleId="BodyTextIndent3">
    <w:name w:val="Body Text Indent 3"/>
    <w:basedOn w:val="Normal"/>
    <w:link w:val="BodyTextIndent3Char"/>
    <w:rsid w:val="00813BF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13BF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13BF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13BF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13BF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13BF5"/>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813BF5"/>
    <w:rPr>
      <w:rFonts w:ascii="CG Times" w:eastAsia="Times New Roman" w:hAnsi="CG Times" w:cs="Times New Roman"/>
      <w:b/>
      <w:szCs w:val="24"/>
      <w:lang w:val="en-US"/>
    </w:rPr>
  </w:style>
  <w:style w:type="character" w:customStyle="1" w:styleId="SubtitleChar1">
    <w:name w:val="Subtitle Char1"/>
    <w:locked/>
    <w:rsid w:val="00813BF5"/>
    <w:rPr>
      <w:rFonts w:ascii="Cambria" w:hAnsi="Cambria"/>
      <w:sz w:val="24"/>
      <w:szCs w:val="24"/>
    </w:rPr>
  </w:style>
  <w:style w:type="paragraph" w:customStyle="1" w:styleId="Char1">
    <w:name w:val="Char1"/>
    <w:basedOn w:val="Normal"/>
    <w:rsid w:val="00813BF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13BF5"/>
    <w:rPr>
      <w:rFonts w:ascii="Tahoma" w:hAnsi="Tahoma" w:cs="Tahoma"/>
      <w:i/>
      <w:iCs/>
      <w:sz w:val="22"/>
      <w:szCs w:val="22"/>
      <w:lang w:val="de-AT" w:eastAsia="de-DE" w:bidi="ar-SA"/>
    </w:rPr>
  </w:style>
  <w:style w:type="character" w:customStyle="1" w:styleId="CharChar36">
    <w:name w:val="Char Char36"/>
    <w:locked/>
    <w:rsid w:val="00813BF5"/>
    <w:rPr>
      <w:rFonts w:ascii="Arial" w:hAnsi="Arial" w:cs="Arial"/>
      <w:b/>
      <w:bCs/>
      <w:kern w:val="32"/>
      <w:sz w:val="32"/>
      <w:szCs w:val="32"/>
      <w:lang w:val="sq-AL" w:eastAsia="en-US" w:bidi="ar-SA"/>
    </w:rPr>
  </w:style>
  <w:style w:type="character" w:customStyle="1" w:styleId="CharChar35">
    <w:name w:val="Char Char35"/>
    <w:locked/>
    <w:rsid w:val="00813BF5"/>
    <w:rPr>
      <w:rFonts w:ascii="Arial" w:hAnsi="Arial" w:cs="Arial"/>
      <w:b/>
      <w:bCs/>
      <w:i/>
      <w:iCs/>
      <w:sz w:val="28"/>
      <w:szCs w:val="28"/>
      <w:lang w:val="sq-AL" w:eastAsia="en-US" w:bidi="ar-SA"/>
    </w:rPr>
  </w:style>
  <w:style w:type="character" w:customStyle="1" w:styleId="CharChar34">
    <w:name w:val="Char Char34"/>
    <w:locked/>
    <w:rsid w:val="00813BF5"/>
    <w:rPr>
      <w:rFonts w:ascii="Tahoma" w:hAnsi="Tahoma"/>
      <w:b/>
      <w:kern w:val="28"/>
      <w:sz w:val="24"/>
      <w:szCs w:val="28"/>
      <w:lang w:val="de-AT" w:eastAsia="de-DE" w:bidi="ar-SA"/>
    </w:rPr>
  </w:style>
  <w:style w:type="character" w:customStyle="1" w:styleId="CharChar33">
    <w:name w:val="Char Char33"/>
    <w:locked/>
    <w:rsid w:val="00813BF5"/>
    <w:rPr>
      <w:rFonts w:ascii="Tahoma" w:hAnsi="Tahoma"/>
      <w:b/>
      <w:i/>
      <w:kern w:val="28"/>
      <w:sz w:val="22"/>
      <w:szCs w:val="22"/>
      <w:lang w:val="de-AT" w:eastAsia="de-DE" w:bidi="ar-SA"/>
    </w:rPr>
  </w:style>
  <w:style w:type="character" w:customStyle="1" w:styleId="CharChar32">
    <w:name w:val="Char Char32"/>
    <w:locked/>
    <w:rsid w:val="00813BF5"/>
    <w:rPr>
      <w:rFonts w:ascii="Tahoma" w:hAnsi="Tahoma"/>
      <w:b/>
      <w:i/>
      <w:kern w:val="28"/>
      <w:sz w:val="22"/>
      <w:szCs w:val="22"/>
      <w:lang w:val="de-AT" w:eastAsia="de-DE" w:bidi="ar-SA"/>
    </w:rPr>
  </w:style>
  <w:style w:type="character" w:customStyle="1" w:styleId="CharChar31">
    <w:name w:val="Char Char31"/>
    <w:locked/>
    <w:rsid w:val="00813BF5"/>
    <w:rPr>
      <w:rFonts w:ascii="Tahoma" w:hAnsi="Tahoma"/>
      <w:b/>
      <w:i/>
      <w:kern w:val="28"/>
      <w:sz w:val="22"/>
      <w:szCs w:val="22"/>
      <w:lang w:val="de-AT" w:eastAsia="de-DE" w:bidi="ar-SA"/>
    </w:rPr>
  </w:style>
  <w:style w:type="character" w:customStyle="1" w:styleId="CharChar10">
    <w:name w:val="Char Char10"/>
    <w:semiHidden/>
    <w:locked/>
    <w:rsid w:val="00813BF5"/>
    <w:rPr>
      <w:rFonts w:ascii="Courier New" w:hAnsi="Courier New" w:cs="Courier New"/>
      <w:szCs w:val="22"/>
      <w:lang w:val="de-AT" w:eastAsia="de-DE" w:bidi="ar-SA"/>
    </w:rPr>
  </w:style>
  <w:style w:type="character" w:customStyle="1" w:styleId="CharChar30">
    <w:name w:val="Char Char30"/>
    <w:locked/>
    <w:rsid w:val="00813BF5"/>
    <w:rPr>
      <w:rFonts w:ascii="Tahoma" w:hAnsi="Tahoma"/>
      <w:b/>
      <w:i/>
      <w:kern w:val="28"/>
      <w:sz w:val="22"/>
      <w:szCs w:val="22"/>
      <w:lang w:val="de-AT" w:eastAsia="de-DE" w:bidi="ar-SA"/>
    </w:rPr>
  </w:style>
  <w:style w:type="character" w:customStyle="1" w:styleId="CharChar29">
    <w:name w:val="Char Char29"/>
    <w:locked/>
    <w:rsid w:val="00813BF5"/>
    <w:rPr>
      <w:rFonts w:ascii="Tahoma" w:hAnsi="Tahoma"/>
      <w:b/>
      <w:i/>
      <w:kern w:val="28"/>
      <w:sz w:val="22"/>
      <w:szCs w:val="22"/>
      <w:lang w:val="de-AT" w:eastAsia="de-DE" w:bidi="ar-SA"/>
    </w:rPr>
  </w:style>
  <w:style w:type="character" w:customStyle="1" w:styleId="CharChar28">
    <w:name w:val="Char Char28"/>
    <w:locked/>
    <w:rsid w:val="00813BF5"/>
    <w:rPr>
      <w:rFonts w:ascii="Tahoma" w:hAnsi="Tahoma"/>
      <w:b/>
      <w:i/>
      <w:kern w:val="28"/>
      <w:sz w:val="22"/>
      <w:szCs w:val="22"/>
      <w:lang w:val="de-AT" w:eastAsia="de-DE" w:bidi="ar-SA"/>
    </w:rPr>
  </w:style>
  <w:style w:type="character" w:customStyle="1" w:styleId="CharChar27">
    <w:name w:val="Char Char27"/>
    <w:locked/>
    <w:rsid w:val="00813BF5"/>
    <w:rPr>
      <w:rFonts w:ascii="Calibri" w:eastAsia="Calibri" w:hAnsi="Calibri"/>
      <w:lang w:val="sq-AL" w:eastAsia="en-US" w:bidi="ar-SA"/>
    </w:rPr>
  </w:style>
  <w:style w:type="character" w:customStyle="1" w:styleId="CharChar24">
    <w:name w:val="Char Char24"/>
    <w:locked/>
    <w:rsid w:val="00813BF5"/>
    <w:rPr>
      <w:rFonts w:ascii="Tahoma" w:hAnsi="Tahoma" w:cs="Tahoma"/>
      <w:sz w:val="22"/>
      <w:szCs w:val="22"/>
      <w:lang w:val="de-AT" w:eastAsia="de-DE" w:bidi="ar-SA"/>
    </w:rPr>
  </w:style>
  <w:style w:type="character" w:customStyle="1" w:styleId="CharChar23">
    <w:name w:val="Char Char23"/>
    <w:locked/>
    <w:rsid w:val="00813BF5"/>
    <w:rPr>
      <w:rFonts w:ascii="Tahoma" w:hAnsi="Tahoma" w:cs="Tahoma"/>
      <w:sz w:val="22"/>
      <w:szCs w:val="22"/>
      <w:lang w:val="de-AT" w:eastAsia="de-DE" w:bidi="ar-SA"/>
    </w:rPr>
  </w:style>
  <w:style w:type="character" w:customStyle="1" w:styleId="CharChar22">
    <w:name w:val="Char Char22"/>
    <w:semiHidden/>
    <w:locked/>
    <w:rsid w:val="00813BF5"/>
    <w:rPr>
      <w:rFonts w:ascii="Courier New" w:hAnsi="Courier New" w:cs="Courier New"/>
      <w:sz w:val="22"/>
      <w:szCs w:val="22"/>
      <w:lang w:val="de-DE" w:eastAsia="de-DE" w:bidi="ar-SA"/>
    </w:rPr>
  </w:style>
  <w:style w:type="character" w:customStyle="1" w:styleId="CharChar21">
    <w:name w:val="Char Char21"/>
    <w:locked/>
    <w:rsid w:val="00813BF5"/>
    <w:rPr>
      <w:rFonts w:ascii="Tahoma" w:hAnsi="Tahoma" w:cs="Tahoma"/>
      <w:b/>
      <w:kern w:val="28"/>
      <w:sz w:val="36"/>
      <w:szCs w:val="36"/>
      <w:lang w:val="de-AT" w:eastAsia="de-DE" w:bidi="ar-SA"/>
    </w:rPr>
  </w:style>
  <w:style w:type="character" w:customStyle="1" w:styleId="CharChar12">
    <w:name w:val="Char Char12"/>
    <w:semiHidden/>
    <w:locked/>
    <w:rsid w:val="00813BF5"/>
    <w:rPr>
      <w:rFonts w:ascii="Tahoma" w:hAnsi="Tahoma" w:cs="Tahoma"/>
      <w:sz w:val="22"/>
      <w:szCs w:val="22"/>
      <w:lang w:val="de-AT" w:eastAsia="de-DE" w:bidi="ar-SA"/>
    </w:rPr>
  </w:style>
  <w:style w:type="character" w:customStyle="1" w:styleId="CharChar9">
    <w:name w:val="Char Char9"/>
    <w:semiHidden/>
    <w:locked/>
    <w:rsid w:val="00813BF5"/>
    <w:rPr>
      <w:rFonts w:ascii="Tahoma" w:hAnsi="Tahoma" w:cs="Tahoma"/>
      <w:sz w:val="22"/>
      <w:szCs w:val="22"/>
      <w:lang w:val="de-AT" w:eastAsia="de-DE" w:bidi="ar-SA"/>
    </w:rPr>
  </w:style>
  <w:style w:type="character" w:customStyle="1" w:styleId="CharChar25">
    <w:name w:val="Char Char25"/>
    <w:semiHidden/>
    <w:locked/>
    <w:rsid w:val="00813BF5"/>
    <w:rPr>
      <w:rFonts w:ascii="Tahoma" w:hAnsi="Tahoma" w:cs="Tahoma"/>
      <w:sz w:val="22"/>
      <w:szCs w:val="22"/>
      <w:lang w:val="de-AT" w:eastAsia="de-DE" w:bidi="ar-SA"/>
    </w:rPr>
  </w:style>
  <w:style w:type="character" w:customStyle="1" w:styleId="CharChar15">
    <w:name w:val="Char Char15"/>
    <w:semiHidden/>
    <w:locked/>
    <w:rsid w:val="00813BF5"/>
    <w:rPr>
      <w:rFonts w:ascii="Tahoma" w:hAnsi="Tahoma" w:cs="Tahoma"/>
      <w:sz w:val="22"/>
      <w:szCs w:val="22"/>
      <w:lang w:val="de-AT" w:eastAsia="de-DE" w:bidi="ar-SA"/>
    </w:rPr>
  </w:style>
  <w:style w:type="character" w:customStyle="1" w:styleId="CharChar16">
    <w:name w:val="Char Char16"/>
    <w:semiHidden/>
    <w:locked/>
    <w:rsid w:val="00813BF5"/>
    <w:rPr>
      <w:rFonts w:ascii="Tahoma" w:hAnsi="Tahoma" w:cs="Arial"/>
      <w:sz w:val="24"/>
      <w:szCs w:val="24"/>
      <w:lang w:val="de-AT" w:eastAsia="de-DE" w:bidi="ar-SA"/>
    </w:rPr>
  </w:style>
  <w:style w:type="character" w:customStyle="1" w:styleId="CharChar20">
    <w:name w:val="Char Char20"/>
    <w:locked/>
    <w:rsid w:val="00813BF5"/>
    <w:rPr>
      <w:rFonts w:ascii="Tahoma" w:hAnsi="Tahoma" w:cs="Tahoma"/>
      <w:b/>
      <w:kern w:val="28"/>
      <w:sz w:val="32"/>
      <w:szCs w:val="36"/>
      <w:lang w:val="de-AT" w:eastAsia="de-DE" w:bidi="ar-SA"/>
    </w:rPr>
  </w:style>
  <w:style w:type="character" w:customStyle="1" w:styleId="CharChar13">
    <w:name w:val="Char Char13"/>
    <w:semiHidden/>
    <w:locked/>
    <w:rsid w:val="00813BF5"/>
    <w:rPr>
      <w:rFonts w:ascii="Tahoma" w:hAnsi="Tahoma" w:cs="Tahoma"/>
      <w:sz w:val="22"/>
      <w:szCs w:val="22"/>
      <w:lang w:val="de-AT" w:eastAsia="de-DE" w:bidi="ar-SA"/>
    </w:rPr>
  </w:style>
  <w:style w:type="character" w:customStyle="1" w:styleId="CharChar19">
    <w:name w:val="Char Char19"/>
    <w:semiHidden/>
    <w:locked/>
    <w:rsid w:val="00813BF5"/>
    <w:rPr>
      <w:rFonts w:ascii="Tahoma" w:hAnsi="Tahoma" w:cs="Tahoma"/>
      <w:sz w:val="22"/>
      <w:szCs w:val="22"/>
      <w:lang w:val="de-AT" w:eastAsia="de-DE" w:bidi="ar-SA"/>
    </w:rPr>
  </w:style>
  <w:style w:type="character" w:customStyle="1" w:styleId="CharChar3">
    <w:name w:val="Char Char3"/>
    <w:semiHidden/>
    <w:locked/>
    <w:rsid w:val="00813BF5"/>
  </w:style>
  <w:style w:type="character" w:customStyle="1" w:styleId="CharChar14">
    <w:name w:val="Char Char14"/>
    <w:semiHidden/>
    <w:locked/>
    <w:rsid w:val="00813BF5"/>
  </w:style>
  <w:style w:type="character" w:customStyle="1" w:styleId="CharChar17">
    <w:name w:val="Char Char17"/>
    <w:locked/>
    <w:rsid w:val="00813BF5"/>
    <w:rPr>
      <w:rFonts w:ascii="Tahoma" w:hAnsi="Tahoma" w:cs="Tahoma"/>
      <w:sz w:val="22"/>
      <w:szCs w:val="22"/>
      <w:lang w:val="de-AT" w:eastAsia="de-DE" w:bidi="ar-SA"/>
    </w:rPr>
  </w:style>
  <w:style w:type="character" w:customStyle="1" w:styleId="CharChar7">
    <w:name w:val="Char Char7"/>
    <w:semiHidden/>
    <w:locked/>
    <w:rsid w:val="00813BF5"/>
    <w:rPr>
      <w:rFonts w:ascii="Tahoma" w:hAnsi="Tahoma" w:cs="Tahoma"/>
      <w:sz w:val="22"/>
      <w:szCs w:val="22"/>
      <w:lang w:val="de-AT" w:eastAsia="de-DE" w:bidi="ar-SA"/>
    </w:rPr>
  </w:style>
  <w:style w:type="character" w:customStyle="1" w:styleId="CharChar6">
    <w:name w:val="Char Char6"/>
    <w:semiHidden/>
    <w:locked/>
    <w:rsid w:val="00813BF5"/>
    <w:rPr>
      <w:rFonts w:ascii="Tahoma" w:hAnsi="Tahoma" w:cs="Tahoma"/>
      <w:sz w:val="16"/>
      <w:szCs w:val="16"/>
      <w:lang w:val="de-AT" w:eastAsia="de-DE" w:bidi="ar-SA"/>
    </w:rPr>
  </w:style>
  <w:style w:type="character" w:customStyle="1" w:styleId="CharChar5">
    <w:name w:val="Char Char5"/>
    <w:semiHidden/>
    <w:locked/>
    <w:rsid w:val="00813BF5"/>
    <w:rPr>
      <w:rFonts w:ascii="Tahoma" w:hAnsi="Tahoma" w:cs="Tahoma"/>
      <w:sz w:val="22"/>
      <w:szCs w:val="22"/>
      <w:lang w:val="de-AT" w:eastAsia="de-DE" w:bidi="ar-SA"/>
    </w:rPr>
  </w:style>
  <w:style w:type="character" w:customStyle="1" w:styleId="CharChar4">
    <w:name w:val="Char Char4"/>
    <w:semiHidden/>
    <w:locked/>
    <w:rsid w:val="00813BF5"/>
    <w:rPr>
      <w:rFonts w:ascii="Tahoma" w:hAnsi="Tahoma" w:cs="Tahoma"/>
      <w:sz w:val="16"/>
      <w:szCs w:val="16"/>
      <w:lang w:val="de-AT" w:eastAsia="de-DE" w:bidi="ar-SA"/>
    </w:rPr>
  </w:style>
  <w:style w:type="character" w:customStyle="1" w:styleId="CharChar18">
    <w:name w:val="Char Char18"/>
    <w:semiHidden/>
    <w:locked/>
    <w:rsid w:val="00813BF5"/>
    <w:rPr>
      <w:rFonts w:ascii="Tahoma" w:hAnsi="Tahoma" w:cs="Tahoma"/>
      <w:sz w:val="22"/>
      <w:szCs w:val="22"/>
      <w:lang w:val="de-AT" w:eastAsia="de-DE" w:bidi="ar-SA"/>
    </w:rPr>
  </w:style>
  <w:style w:type="character" w:customStyle="1" w:styleId="CharChar8">
    <w:name w:val="Char Char8"/>
    <w:locked/>
    <w:rsid w:val="00813BF5"/>
    <w:rPr>
      <w:rFonts w:ascii="Tahoma" w:hAnsi="Tahoma" w:cs="Tahoma"/>
      <w:sz w:val="22"/>
      <w:szCs w:val="22"/>
      <w:lang w:val="de-AT" w:eastAsia="de-DE" w:bidi="ar-SA"/>
    </w:rPr>
  </w:style>
  <w:style w:type="character" w:customStyle="1" w:styleId="CharChar2">
    <w:name w:val="Char Char2"/>
    <w:locked/>
    <w:rsid w:val="00813BF5"/>
    <w:rPr>
      <w:rFonts w:ascii="Calibri" w:eastAsia="Calibri" w:hAnsi="Calibri" w:cs="Times New Roman"/>
      <w:b/>
      <w:bCs/>
      <w:sz w:val="20"/>
      <w:szCs w:val="20"/>
      <w:lang w:val="sq-AL" w:eastAsia="en-US" w:bidi="ar-SA"/>
    </w:rPr>
  </w:style>
  <w:style w:type="character" w:customStyle="1" w:styleId="CharChar26">
    <w:name w:val="Char Char26"/>
    <w:semiHidden/>
    <w:locked/>
    <w:rsid w:val="00813BF5"/>
    <w:rPr>
      <w:rFonts w:ascii="Tahoma" w:hAnsi="Tahoma" w:cs="Tahoma"/>
      <w:sz w:val="16"/>
      <w:szCs w:val="16"/>
      <w:lang w:val="sq-AL" w:eastAsia="en-US" w:bidi="ar-SA"/>
    </w:rPr>
  </w:style>
  <w:style w:type="character" w:customStyle="1" w:styleId="CommentTextChar11">
    <w:name w:val="Comment Text Char11"/>
    <w:aliases w:val="Char Char37"/>
    <w:semiHidden/>
    <w:rsid w:val="00813BF5"/>
    <w:rPr>
      <w:rFonts w:ascii="Calibri" w:hAnsi="Calibri" w:hint="default"/>
      <w:lang w:val="sq-AL"/>
    </w:rPr>
  </w:style>
  <w:style w:type="character" w:customStyle="1" w:styleId="NormalIndentChar">
    <w:name w:val="Normal Indent Char"/>
    <w:link w:val="NormalIndent"/>
    <w:rsid w:val="00813BF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13BF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13BF5"/>
    <w:pPr>
      <w:tabs>
        <w:tab w:val="num" w:pos="360"/>
        <w:tab w:val="num" w:pos="1935"/>
        <w:tab w:val="num" w:pos="2563"/>
        <w:tab w:val="num" w:pos="3474"/>
      </w:tabs>
      <w:ind w:left="1935" w:hanging="360"/>
      <w:outlineLvl w:val="6"/>
    </w:pPr>
  </w:style>
  <w:style w:type="character" w:customStyle="1" w:styleId="AODefHeadChar">
    <w:name w:val="AODefHead Char"/>
    <w:link w:val="AODefHead"/>
    <w:rsid w:val="00813BF5"/>
    <w:rPr>
      <w:rFonts w:ascii="Times New Roman" w:eastAsia="Times New Roman" w:hAnsi="Times New Roman" w:cs="Times New Roman"/>
      <w:szCs w:val="20"/>
      <w:lang w:eastAsia="sq-AL" w:bidi="sq-AL"/>
    </w:rPr>
  </w:style>
  <w:style w:type="paragraph" w:customStyle="1" w:styleId="PARA">
    <w:name w:val="PARA"/>
    <w:basedOn w:val="Normal"/>
    <w:locked/>
    <w:rsid w:val="00813BF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13BF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13BF5"/>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813BF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13BF5"/>
    <w:rPr>
      <w:rFonts w:ascii="Arial" w:eastAsia="Times New Roman" w:hAnsi="Arial" w:cs="Times New Roman"/>
      <w:sz w:val="20"/>
      <w:szCs w:val="20"/>
      <w:lang w:eastAsia="sq-AL" w:bidi="sq-AL"/>
    </w:rPr>
  </w:style>
  <w:style w:type="character" w:customStyle="1" w:styleId="DeltaViewInsertion">
    <w:name w:val="DeltaView Insertion"/>
    <w:uiPriority w:val="99"/>
    <w:rsid w:val="00813BF5"/>
    <w:rPr>
      <w:color w:val="0000FF"/>
      <w:spacing w:val="0"/>
      <w:u w:val="double"/>
    </w:rPr>
  </w:style>
  <w:style w:type="paragraph" w:customStyle="1" w:styleId="dia">
    <w:name w:val="di(a)"/>
    <w:basedOn w:val="Normal"/>
    <w:rsid w:val="00813BF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13BF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13BF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13BF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13BF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13B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13BF5"/>
    <w:rPr>
      <w:rFonts w:cs="Times New Roman"/>
      <w:color w:val="808080"/>
    </w:rPr>
  </w:style>
  <w:style w:type="character" w:customStyle="1" w:styleId="az12">
    <w:name w:val="az12"/>
    <w:uiPriority w:val="99"/>
    <w:rsid w:val="00813BF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13BF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13BF5"/>
    <w:rPr>
      <w:rFonts w:ascii="Calibri" w:eastAsia="Times New Roman" w:hAnsi="Calibri" w:cs="Times New Roman"/>
      <w:sz w:val="24"/>
      <w:szCs w:val="24"/>
      <w:lang w:val="en-GB" w:eastAsia="en-GB"/>
    </w:rPr>
  </w:style>
  <w:style w:type="paragraph" w:customStyle="1" w:styleId="Paragraf02">
    <w:name w:val="Paragraf 0.2"/>
    <w:basedOn w:val="Paragrafi"/>
    <w:qFormat/>
    <w:rsid w:val="00813BF5"/>
    <w:pPr>
      <w:tabs>
        <w:tab w:val="left" w:pos="6575"/>
      </w:tabs>
    </w:pPr>
    <w:rPr>
      <w:spacing w:val="-4"/>
    </w:rPr>
  </w:style>
  <w:style w:type="table" w:customStyle="1" w:styleId="TableGrid30">
    <w:name w:val="Table Grid3"/>
    <w:basedOn w:val="TableNormal"/>
    <w:next w:val="TableGrid"/>
    <w:uiPriority w:val="59"/>
    <w:rsid w:val="00813BF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13BF5"/>
  </w:style>
  <w:style w:type="character" w:styleId="BookTitle">
    <w:name w:val="Book Title"/>
    <w:uiPriority w:val="33"/>
    <w:qFormat/>
    <w:rsid w:val="00813BF5"/>
    <w:rPr>
      <w:b/>
      <w:bCs/>
      <w:smallCaps/>
      <w:spacing w:val="5"/>
    </w:rPr>
  </w:style>
  <w:style w:type="paragraph" w:customStyle="1" w:styleId="Cover1">
    <w:name w:val="Cover1"/>
    <w:basedOn w:val="Normal"/>
    <w:next w:val="Normal"/>
    <w:rsid w:val="00813BF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13BF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13BF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13BF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13BF5"/>
    <w:rPr>
      <w:rFonts w:ascii="Times New Roman" w:eastAsia="Times New Roman" w:hAnsi="Times New Roman" w:cs="Times New Roman"/>
      <w:szCs w:val="20"/>
    </w:rPr>
  </w:style>
  <w:style w:type="character" w:customStyle="1" w:styleId="Bodytext0">
    <w:name w:val="Body text_"/>
    <w:link w:val="BodyText1"/>
    <w:rsid w:val="00813BF5"/>
    <w:rPr>
      <w:rFonts w:ascii="Times New Roman" w:hAnsi="Times New Roman"/>
      <w:sz w:val="21"/>
      <w:szCs w:val="21"/>
      <w:shd w:val="clear" w:color="auto" w:fill="FFFFFF"/>
    </w:rPr>
  </w:style>
  <w:style w:type="paragraph" w:customStyle="1" w:styleId="BodyText1">
    <w:name w:val="Body Text1"/>
    <w:basedOn w:val="Normal"/>
    <w:link w:val="Bodytext0"/>
    <w:rsid w:val="00813BF5"/>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813BF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13BF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13BF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13BF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13BF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13BF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13BF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13BF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13BF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ParagraphStyle">
    <w:name w:val="[No Paragraph Style]"/>
    <w:rsid w:val="00813BF5"/>
    <w:pPr>
      <w:autoSpaceDE w:val="0"/>
      <w:autoSpaceDN w:val="0"/>
      <w:adjustRightInd w:val="0"/>
      <w:spacing w:after="0" w:line="288" w:lineRule="auto"/>
    </w:pPr>
    <w:rPr>
      <w:rFonts w:ascii="Minion Pro" w:eastAsia="Calibri" w:hAnsi="Minion Pro" w:cs="Minion Pro"/>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13BF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813BF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813BF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13BF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13BF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13BF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13BF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13BF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13BF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813BF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813BF5"/>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813BF5"/>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813BF5"/>
    <w:rPr>
      <w:rFonts w:ascii="Cambria" w:eastAsia="MS Mincho" w:hAnsi="Cambria" w:cs="Cambria"/>
      <w:b/>
      <w:bCs/>
      <w:sz w:val="24"/>
      <w:szCs w:val="24"/>
      <w:lang w:val="en-US"/>
    </w:rPr>
  </w:style>
  <w:style w:type="character" w:customStyle="1" w:styleId="Heading4Char">
    <w:name w:val="Heading 4 Char"/>
    <w:basedOn w:val="DefaultParagraphFont"/>
    <w:link w:val="Heading4"/>
    <w:rsid w:val="00813BF5"/>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813BF5"/>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813BF5"/>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813BF5"/>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813BF5"/>
    <w:rPr>
      <w:rFonts w:ascii="Cambria" w:eastAsia="MS Mincho" w:hAnsi="Cambria" w:cs="Cambria"/>
      <w:sz w:val="20"/>
      <w:szCs w:val="20"/>
      <w:lang w:val="en-US"/>
    </w:rPr>
  </w:style>
  <w:style w:type="character" w:customStyle="1" w:styleId="Heading9Char">
    <w:name w:val="Heading 9 Char"/>
    <w:basedOn w:val="DefaultParagraphFont"/>
    <w:link w:val="Heading9"/>
    <w:rsid w:val="00813BF5"/>
    <w:rPr>
      <w:rFonts w:ascii="Cambria" w:eastAsia="MS Mincho" w:hAnsi="Cambria" w:cs="Cambria"/>
      <w:i/>
      <w:iCs/>
      <w:spacing w:val="5"/>
      <w:sz w:val="20"/>
      <w:szCs w:val="20"/>
      <w:lang w:val="en-US"/>
    </w:rPr>
  </w:style>
  <w:style w:type="paragraph" w:styleId="NoSpacing">
    <w:name w:val="No Spacing"/>
    <w:link w:val="NoSpacingChar"/>
    <w:uiPriority w:val="1"/>
    <w:qFormat/>
    <w:rsid w:val="00813BF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813BF5"/>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813B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13BF5"/>
    <w:rPr>
      <w:rFonts w:ascii="Tahoma" w:eastAsia="Calibri" w:hAnsi="Tahoma" w:cs="Tahoma"/>
      <w:sz w:val="16"/>
      <w:szCs w:val="16"/>
      <w:lang w:val="en-US"/>
    </w:rPr>
  </w:style>
  <w:style w:type="paragraph" w:styleId="Header">
    <w:name w:val="header"/>
    <w:basedOn w:val="Normal"/>
    <w:link w:val="HeaderChar"/>
    <w:uiPriority w:val="99"/>
    <w:unhideWhenUsed/>
    <w:rsid w:val="00813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BF5"/>
    <w:rPr>
      <w:rFonts w:ascii="Calibri" w:eastAsia="Calibri" w:hAnsi="Calibri" w:cs="Times New Roman"/>
      <w:lang w:val="en-US"/>
    </w:rPr>
  </w:style>
  <w:style w:type="paragraph" w:styleId="Footer">
    <w:name w:val="footer"/>
    <w:basedOn w:val="Normal"/>
    <w:link w:val="FooterChar"/>
    <w:uiPriority w:val="99"/>
    <w:unhideWhenUsed/>
    <w:rsid w:val="00813B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BF5"/>
    <w:rPr>
      <w:rFonts w:ascii="Calibri" w:eastAsia="Calibri" w:hAnsi="Calibri" w:cs="Times New Roman"/>
      <w:lang w:val="en-US"/>
    </w:rPr>
  </w:style>
  <w:style w:type="paragraph" w:customStyle="1" w:styleId="Akti">
    <w:name w:val="Akti"/>
    <w:link w:val="AktiChar"/>
    <w:rsid w:val="00813BF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13BF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13BF5"/>
    <w:rPr>
      <w:rFonts w:ascii="Garamond" w:eastAsia="MS Mincho" w:hAnsi="Garamond" w:cs="CG Times"/>
      <w:b/>
      <w:bCs/>
      <w:sz w:val="24"/>
      <w:lang w:val="en-GB"/>
    </w:rPr>
  </w:style>
  <w:style w:type="paragraph" w:customStyle="1" w:styleId="Paragrafi">
    <w:name w:val="Paragrafi"/>
    <w:link w:val="ParagrafiChar"/>
    <w:rsid w:val="00813BF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13BF5"/>
    <w:rPr>
      <w:rFonts w:ascii="Garamond" w:eastAsia="MS Mincho" w:hAnsi="Garamond" w:cs="CG Times"/>
      <w:sz w:val="24"/>
      <w:lang w:val="en-US"/>
    </w:rPr>
  </w:style>
  <w:style w:type="paragraph" w:customStyle="1" w:styleId="Titulli">
    <w:name w:val="Titulli"/>
    <w:next w:val="Normal"/>
    <w:link w:val="TitulliChar"/>
    <w:rsid w:val="00813BF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13BF5"/>
    <w:rPr>
      <w:rFonts w:ascii="Garamond" w:eastAsia="MS Mincho" w:hAnsi="Garamond" w:cs="CG Times"/>
      <w:b/>
      <w:bCs/>
      <w:caps/>
      <w:sz w:val="24"/>
      <w:lang w:val="en-GB"/>
    </w:rPr>
  </w:style>
  <w:style w:type="character" w:customStyle="1" w:styleId="AktiChar">
    <w:name w:val="Akti Char"/>
    <w:basedOn w:val="DefaultParagraphFont"/>
    <w:link w:val="Akti"/>
    <w:rsid w:val="00813BF5"/>
    <w:rPr>
      <w:rFonts w:ascii="Garamond" w:eastAsia="MS Mincho" w:hAnsi="Garamond" w:cs="CG Times"/>
      <w:b/>
      <w:bCs/>
      <w:caps/>
      <w:color w:val="000000"/>
      <w:sz w:val="24"/>
      <w:lang w:val="en-GB"/>
    </w:rPr>
  </w:style>
  <w:style w:type="paragraph" w:customStyle="1" w:styleId="NeniNr">
    <w:name w:val="Neni_Nr"/>
    <w:next w:val="Normal"/>
    <w:link w:val="NeniNrChar"/>
    <w:rsid w:val="00813BF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13BF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13BF5"/>
    <w:rPr>
      <w:rFonts w:ascii="Garamond" w:eastAsia="MS Mincho" w:hAnsi="Garamond" w:cs="CG Times"/>
      <w:sz w:val="24"/>
      <w:lang w:val="en-GB"/>
    </w:rPr>
  </w:style>
  <w:style w:type="paragraph" w:customStyle="1" w:styleId="Autoriteti">
    <w:name w:val="Autoriteti"/>
    <w:next w:val="Normal"/>
    <w:link w:val="AutoritetiChar"/>
    <w:rsid w:val="00813BF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13BF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13BF5"/>
    <w:rPr>
      <w:rFonts w:ascii="Garamond" w:eastAsia="MS Mincho" w:hAnsi="Garamond" w:cs="CG Times"/>
      <w:caps/>
      <w:sz w:val="24"/>
      <w:lang w:val="en-GB"/>
    </w:rPr>
  </w:style>
  <w:style w:type="character" w:customStyle="1" w:styleId="AutoritetiEmerChar">
    <w:name w:val="Autoriteti_Emer Char"/>
    <w:link w:val="AutoritetiEmer"/>
    <w:locked/>
    <w:rsid w:val="00813BF5"/>
    <w:rPr>
      <w:rFonts w:ascii="Garamond" w:eastAsia="MS Mincho" w:hAnsi="Garamond" w:cs="Times New Roman"/>
      <w:b/>
      <w:bCs/>
      <w:sz w:val="24"/>
      <w:lang w:val="en-GB"/>
    </w:rPr>
  </w:style>
  <w:style w:type="paragraph" w:customStyle="1" w:styleId="Titull-Titull">
    <w:name w:val="Titull-Titull"/>
    <w:basedOn w:val="Paragrafi"/>
    <w:qFormat/>
    <w:rsid w:val="00813BF5"/>
    <w:pPr>
      <w:ind w:firstLine="0"/>
      <w:jc w:val="center"/>
    </w:pPr>
    <w:rPr>
      <w:caps/>
      <w:szCs w:val="24"/>
    </w:rPr>
  </w:style>
  <w:style w:type="paragraph" w:customStyle="1" w:styleId="Vendosi">
    <w:name w:val="Vendosi"/>
    <w:basedOn w:val="Titull-Titull"/>
    <w:qFormat/>
    <w:rsid w:val="00813BF5"/>
  </w:style>
  <w:style w:type="paragraph" w:customStyle="1" w:styleId="Hapesira7">
    <w:name w:val="Hapesira 7"/>
    <w:basedOn w:val="Paragrafi"/>
    <w:qFormat/>
    <w:rsid w:val="00813BF5"/>
    <w:rPr>
      <w:sz w:val="14"/>
      <w:szCs w:val="24"/>
    </w:rPr>
  </w:style>
  <w:style w:type="paragraph" w:styleId="ListParagraph">
    <w:name w:val="List Paragraph"/>
    <w:aliases w:val="List Paragraph2"/>
    <w:basedOn w:val="Normal"/>
    <w:link w:val="ListParagraphChar"/>
    <w:uiPriority w:val="34"/>
    <w:qFormat/>
    <w:rsid w:val="00813BF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13BF5"/>
    <w:rPr>
      <w:rFonts w:ascii="Calibri" w:eastAsia="Times New Roman" w:hAnsi="Calibri" w:cs="Times New Roman"/>
      <w:lang w:val="en-US"/>
    </w:rPr>
  </w:style>
  <w:style w:type="paragraph" w:customStyle="1" w:styleId="Style1">
    <w:name w:val="Style1"/>
    <w:basedOn w:val="Akti"/>
    <w:qFormat/>
    <w:rsid w:val="00813BF5"/>
  </w:style>
  <w:style w:type="character" w:customStyle="1" w:styleId="Heading2Char1">
    <w:name w:val="Heading 2 Char1"/>
    <w:link w:val="Heading2"/>
    <w:uiPriority w:val="1"/>
    <w:locked/>
    <w:rsid w:val="00813BF5"/>
    <w:rPr>
      <w:rFonts w:ascii="Cambria" w:eastAsia="MS Mincho" w:hAnsi="Cambria" w:cs="Cambria"/>
      <w:b/>
      <w:bCs/>
      <w:sz w:val="26"/>
      <w:szCs w:val="26"/>
      <w:lang w:val="en-US"/>
    </w:rPr>
  </w:style>
  <w:style w:type="character" w:customStyle="1" w:styleId="Heading3Char1">
    <w:name w:val="Heading 3 Char1"/>
    <w:aliases w:val="Germa Char1"/>
    <w:link w:val="Heading3"/>
    <w:locked/>
    <w:rsid w:val="00813BF5"/>
    <w:rPr>
      <w:rFonts w:ascii="Cambria" w:eastAsia="MS Mincho" w:hAnsi="Cambria" w:cs="Cambria"/>
      <w:b/>
      <w:bCs/>
      <w:sz w:val="24"/>
      <w:szCs w:val="24"/>
      <w:lang w:val="en-US"/>
    </w:rPr>
  </w:style>
  <w:style w:type="paragraph" w:customStyle="1" w:styleId="ADDRESS">
    <w:name w:val="ADDRESS"/>
    <w:basedOn w:val="Normal"/>
    <w:rsid w:val="00813BF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13BF5"/>
    <w:pPr>
      <w:spacing w:after="0" w:line="240" w:lineRule="auto"/>
      <w:jc w:val="both"/>
    </w:pPr>
    <w:rPr>
      <w:rFonts w:ascii="CG Times" w:eastAsia="MS Mincho" w:hAnsi="CG Times" w:cs="CG Times"/>
      <w:sz w:val="21"/>
      <w:lang w:val="en-GB"/>
    </w:rPr>
  </w:style>
  <w:style w:type="paragraph" w:customStyle="1" w:styleId="AneksiNr">
    <w:name w:val="Aneksi_Nr"/>
    <w:next w:val="Normal"/>
    <w:rsid w:val="00813BF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13BF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813BF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813BF5"/>
    <w:rPr>
      <w:rFonts w:ascii="Arial" w:eastAsia="Times New Roman" w:hAnsi="Arial" w:cs="Arial"/>
      <w:color w:val="000000"/>
      <w:sz w:val="24"/>
      <w:szCs w:val="24"/>
      <w:lang w:val="en-US"/>
    </w:rPr>
  </w:style>
  <w:style w:type="paragraph" w:customStyle="1" w:styleId="BazLigjPropozues">
    <w:name w:val="Baz_Ligj_Propozues"/>
    <w:rsid w:val="00813BF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13BF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13BF5"/>
    <w:rPr>
      <w:rFonts w:ascii="Times New Roman" w:eastAsia="Times New Roman" w:hAnsi="Times New Roman" w:cs="Times New Roman"/>
      <w:caps/>
      <w:sz w:val="26"/>
      <w:szCs w:val="26"/>
      <w:lang w:val="en-GB"/>
    </w:rPr>
  </w:style>
  <w:style w:type="character" w:customStyle="1" w:styleId="apple-converted-space">
    <w:name w:val="apple-converted-space"/>
    <w:rsid w:val="00813BF5"/>
  </w:style>
  <w:style w:type="character" w:styleId="Hyperlink">
    <w:name w:val="Hyperlink"/>
    <w:uiPriority w:val="99"/>
    <w:unhideWhenUsed/>
    <w:rsid w:val="00813BF5"/>
    <w:rPr>
      <w:color w:val="0000FF"/>
      <w:u w:val="single"/>
    </w:rPr>
  </w:style>
  <w:style w:type="character" w:styleId="FollowedHyperlink">
    <w:name w:val="FollowedHyperlink"/>
    <w:uiPriority w:val="99"/>
    <w:unhideWhenUsed/>
    <w:rsid w:val="00813BF5"/>
    <w:rPr>
      <w:color w:val="800080"/>
      <w:u w:val="single"/>
    </w:rPr>
  </w:style>
  <w:style w:type="paragraph" w:customStyle="1" w:styleId="font5">
    <w:name w:val="font5"/>
    <w:basedOn w:val="Normal"/>
    <w:rsid w:val="00813BF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13BF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13BF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13BF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13BF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13BF5"/>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813BF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13BF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13BF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13BF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13BF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13BF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13BF5"/>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813BF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13BF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13BF5"/>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813BF5"/>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813BF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13BF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13BF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13BF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13BF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13BF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13BF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13BF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13BF5"/>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813BF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13BF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13BF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13BF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13BF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13BF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13BF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13BF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13BF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13BF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13BF5"/>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813BF5"/>
  </w:style>
  <w:style w:type="paragraph" w:customStyle="1" w:styleId="PjesaNr">
    <w:name w:val="Pjesa_Nr"/>
    <w:next w:val="Normal"/>
    <w:rsid w:val="00813BF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13BF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13BF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13BF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13BF5"/>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813BF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13BF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13BF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13BF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13BF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13BF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13BF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13BF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13BF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13BF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13BF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13BF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13BF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13BF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13BF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13BF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13BF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13BF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13BF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13BF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13BF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13BF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13BF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13BF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13BF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13BF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13BF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813BF5"/>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13BF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13BF5"/>
    <w:rPr>
      <w:b/>
      <w:bCs/>
    </w:rPr>
  </w:style>
  <w:style w:type="paragraph" w:customStyle="1" w:styleId="xl136">
    <w:name w:val="xl136"/>
    <w:basedOn w:val="Normal"/>
    <w:rsid w:val="00813BF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13BF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13BF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13BF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13BF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13BF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13BF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13BF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13BF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13BF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13BF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13BF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13BF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13BF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13BF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13BF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13BF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13BF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13BF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13BF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13BF5"/>
  </w:style>
  <w:style w:type="paragraph" w:styleId="Title">
    <w:name w:val="Title"/>
    <w:basedOn w:val="Heading1"/>
    <w:next w:val="Normal"/>
    <w:link w:val="TitleChar"/>
    <w:qFormat/>
    <w:rsid w:val="00813BF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13BF5"/>
    <w:rPr>
      <w:rFonts w:ascii="Calibri" w:eastAsia="Times New Roman" w:hAnsi="Calibri" w:cs="Arial"/>
      <w:b/>
      <w:caps/>
      <w:spacing w:val="10"/>
      <w:sz w:val="40"/>
      <w:szCs w:val="40"/>
    </w:rPr>
  </w:style>
  <w:style w:type="paragraph" w:customStyle="1" w:styleId="articlebody">
    <w:name w:val="articlebody"/>
    <w:basedOn w:val="Normal"/>
    <w:uiPriority w:val="99"/>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13BF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813BF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13BF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13BF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13BF5"/>
    <w:pPr>
      <w:spacing w:after="100"/>
      <w:ind w:left="660" w:firstLine="0"/>
      <w:jc w:val="left"/>
    </w:pPr>
    <w:rPr>
      <w:rFonts w:eastAsia="Times New Roman"/>
    </w:rPr>
  </w:style>
  <w:style w:type="paragraph" w:styleId="TOC5">
    <w:name w:val="toc 5"/>
    <w:basedOn w:val="Normal"/>
    <w:next w:val="Normal"/>
    <w:autoRedefine/>
    <w:unhideWhenUsed/>
    <w:rsid w:val="00813BF5"/>
    <w:pPr>
      <w:spacing w:after="100"/>
      <w:ind w:left="880" w:firstLine="0"/>
      <w:jc w:val="left"/>
    </w:pPr>
    <w:rPr>
      <w:rFonts w:eastAsia="Times New Roman"/>
    </w:rPr>
  </w:style>
  <w:style w:type="paragraph" w:styleId="TOC6">
    <w:name w:val="toc 6"/>
    <w:basedOn w:val="Normal"/>
    <w:next w:val="Normal"/>
    <w:autoRedefine/>
    <w:unhideWhenUsed/>
    <w:rsid w:val="00813BF5"/>
    <w:pPr>
      <w:spacing w:after="100"/>
      <w:ind w:left="1100" w:firstLine="0"/>
      <w:jc w:val="left"/>
    </w:pPr>
    <w:rPr>
      <w:rFonts w:eastAsia="Times New Roman"/>
    </w:rPr>
  </w:style>
  <w:style w:type="paragraph" w:styleId="TOC7">
    <w:name w:val="toc 7"/>
    <w:basedOn w:val="Normal"/>
    <w:next w:val="Normal"/>
    <w:autoRedefine/>
    <w:unhideWhenUsed/>
    <w:rsid w:val="00813BF5"/>
    <w:pPr>
      <w:spacing w:after="100"/>
      <w:ind w:left="1320" w:firstLine="0"/>
      <w:jc w:val="left"/>
    </w:pPr>
    <w:rPr>
      <w:rFonts w:eastAsia="Times New Roman"/>
    </w:rPr>
  </w:style>
  <w:style w:type="paragraph" w:styleId="TOC8">
    <w:name w:val="toc 8"/>
    <w:basedOn w:val="Normal"/>
    <w:next w:val="Normal"/>
    <w:autoRedefine/>
    <w:unhideWhenUsed/>
    <w:rsid w:val="00813BF5"/>
    <w:pPr>
      <w:spacing w:after="100"/>
      <w:ind w:left="1540" w:firstLine="0"/>
      <w:jc w:val="left"/>
    </w:pPr>
    <w:rPr>
      <w:rFonts w:eastAsia="Times New Roman"/>
    </w:rPr>
  </w:style>
  <w:style w:type="paragraph" w:styleId="TOC9">
    <w:name w:val="toc 9"/>
    <w:basedOn w:val="Normal"/>
    <w:next w:val="Normal"/>
    <w:autoRedefine/>
    <w:unhideWhenUsed/>
    <w:rsid w:val="00813BF5"/>
    <w:pPr>
      <w:spacing w:after="100"/>
      <w:ind w:left="1760" w:firstLine="0"/>
      <w:jc w:val="left"/>
    </w:pPr>
    <w:rPr>
      <w:rFonts w:eastAsia="Times New Roman"/>
    </w:rPr>
  </w:style>
  <w:style w:type="paragraph" w:styleId="BodyTextIndent">
    <w:name w:val="Body Text Indent"/>
    <w:basedOn w:val="Normal"/>
    <w:link w:val="BodyTextIndentChar"/>
    <w:unhideWhenUsed/>
    <w:rsid w:val="00813BF5"/>
    <w:pPr>
      <w:spacing w:after="120"/>
      <w:ind w:left="360"/>
    </w:pPr>
  </w:style>
  <w:style w:type="character" w:customStyle="1" w:styleId="BodyTextIndentChar">
    <w:name w:val="Body Text Indent Char"/>
    <w:basedOn w:val="DefaultParagraphFont"/>
    <w:link w:val="BodyTextIndent"/>
    <w:rsid w:val="00813BF5"/>
    <w:rPr>
      <w:rFonts w:ascii="Calibri" w:eastAsia="Calibri" w:hAnsi="Calibri" w:cs="Times New Roman"/>
      <w:lang w:val="en-US"/>
    </w:rPr>
  </w:style>
  <w:style w:type="paragraph" w:customStyle="1" w:styleId="numridata0">
    <w:name w:val="numridata"/>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13BF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13BF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13BF5"/>
    <w:rPr>
      <w:rFonts w:ascii="Times New Roman" w:eastAsia="Times New Roman" w:hAnsi="Times New Roman" w:cs="Times New Roman"/>
      <w:sz w:val="16"/>
      <w:szCs w:val="16"/>
      <w:lang w:val="en-US"/>
    </w:rPr>
  </w:style>
  <w:style w:type="paragraph" w:customStyle="1" w:styleId="s32b251d">
    <w:name w:val="s32b251d"/>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13BF5"/>
  </w:style>
  <w:style w:type="paragraph" w:customStyle="1" w:styleId="s30eec3f8">
    <w:name w:val="s30eec3f8"/>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13BF5"/>
    <w:rPr>
      <w:sz w:val="24"/>
      <w:lang w:val="en-GB" w:eastAsia="fr-FR"/>
    </w:rPr>
  </w:style>
  <w:style w:type="paragraph" w:customStyle="1" w:styleId="JuPara">
    <w:name w:val="Ju_Para"/>
    <w:basedOn w:val="Normal"/>
    <w:link w:val="JuParaCar"/>
    <w:rsid w:val="00813BF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13BF5"/>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813BF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813BF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13BF5"/>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813BF5"/>
    <w:rPr>
      <w:vertAlign w:val="superscript"/>
    </w:rPr>
  </w:style>
  <w:style w:type="paragraph" w:customStyle="1" w:styleId="ju-005fpara">
    <w:name w:val="ju-005fpara"/>
    <w:basedOn w:val="Normal"/>
    <w:rsid w:val="00813BF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13BF5"/>
  </w:style>
  <w:style w:type="character" w:customStyle="1" w:styleId="s7d2086b4">
    <w:name w:val="s7d2086b4"/>
    <w:basedOn w:val="DefaultParagraphFont"/>
    <w:uiPriority w:val="99"/>
    <w:rsid w:val="00813BF5"/>
  </w:style>
  <w:style w:type="character" w:customStyle="1" w:styleId="hps">
    <w:name w:val="hps"/>
    <w:basedOn w:val="DefaultParagraphFont"/>
    <w:rsid w:val="00813BF5"/>
  </w:style>
  <w:style w:type="paragraph" w:customStyle="1" w:styleId="paragrafi0">
    <w:name w:val="paragraf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13BF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13BF5"/>
    <w:rPr>
      <w:rFonts w:cs="Times New Roman"/>
    </w:rPr>
  </w:style>
  <w:style w:type="paragraph" w:customStyle="1" w:styleId="titulli0">
    <w:name w:val="titull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13BF5"/>
  </w:style>
  <w:style w:type="paragraph" w:customStyle="1" w:styleId="akti0">
    <w:name w:val="akt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13BF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813BF5"/>
  </w:style>
  <w:style w:type="paragraph" w:customStyle="1" w:styleId="CM49">
    <w:name w:val="CM49"/>
    <w:basedOn w:val="Normal"/>
    <w:next w:val="Normal"/>
    <w:rsid w:val="00813BF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13BF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13BF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13BF5"/>
    <w:pPr>
      <w:widowControl w:val="0"/>
    </w:pPr>
    <w:rPr>
      <w:rFonts w:ascii="Helvetica" w:eastAsia="Times New Roman" w:hAnsi="Helvetica" w:cs="Helvetica"/>
      <w:lang w:val="sq-AL"/>
    </w:rPr>
  </w:style>
  <w:style w:type="paragraph" w:customStyle="1" w:styleId="CM57">
    <w:name w:val="CM57"/>
    <w:basedOn w:val="Normal"/>
    <w:next w:val="Normal"/>
    <w:rsid w:val="00813BF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13BF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13BF5"/>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813BF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13BF5"/>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813BF5"/>
  </w:style>
  <w:style w:type="character" w:customStyle="1" w:styleId="StyleHeading6BoldChar">
    <w:name w:val="Style Heading 6 + Bold Char"/>
    <w:link w:val="StyleHeading6Bold"/>
    <w:rsid w:val="00813BF5"/>
    <w:rPr>
      <w:rFonts w:ascii="Cambria" w:eastAsia="MS Mincho" w:hAnsi="Cambria" w:cs="Cambria"/>
      <w:b/>
      <w:bCs/>
      <w:i/>
      <w:iCs/>
      <w:color w:val="7F7F7F"/>
      <w:sz w:val="24"/>
      <w:szCs w:val="24"/>
      <w:lang w:val="en-US"/>
    </w:rPr>
  </w:style>
  <w:style w:type="paragraph" w:customStyle="1" w:styleId="tableheaders">
    <w:name w:val="table headers"/>
    <w:rsid w:val="00813BF5"/>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813BF5"/>
    <w:rPr>
      <w:b w:val="0"/>
    </w:rPr>
  </w:style>
  <w:style w:type="paragraph" w:styleId="PlainText">
    <w:name w:val="Plain Text"/>
    <w:basedOn w:val="Normal"/>
    <w:link w:val="PlainTextChar"/>
    <w:uiPriority w:val="99"/>
    <w:unhideWhenUsed/>
    <w:rsid w:val="00813BF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13BF5"/>
    <w:rPr>
      <w:rFonts w:ascii="Consolas" w:eastAsia="Calibri" w:hAnsi="Consolas" w:cs="Times New Roman"/>
      <w:sz w:val="21"/>
      <w:szCs w:val="21"/>
    </w:rPr>
  </w:style>
  <w:style w:type="paragraph" w:customStyle="1" w:styleId="StyleStyle1Bold">
    <w:name w:val="Style Style1 + Bold"/>
    <w:basedOn w:val="Style1"/>
    <w:rsid w:val="00813BF5"/>
  </w:style>
  <w:style w:type="paragraph" w:customStyle="1" w:styleId="CM1">
    <w:name w:val="CM1"/>
    <w:basedOn w:val="Default"/>
    <w:next w:val="Default"/>
    <w:rsid w:val="00813BF5"/>
    <w:rPr>
      <w:rFonts w:ascii="EUAlbertina" w:hAnsi="EUAlbertina"/>
      <w:color w:val="auto"/>
    </w:rPr>
  </w:style>
  <w:style w:type="paragraph" w:customStyle="1" w:styleId="CM4">
    <w:name w:val="CM4"/>
    <w:basedOn w:val="Normal"/>
    <w:next w:val="Normal"/>
    <w:rsid w:val="00813BF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13BF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13BF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13BF5"/>
    <w:rPr>
      <w:rFonts w:ascii="Tahoma" w:eastAsia="Times New Roman" w:hAnsi="Tahoma" w:cs="Times New Roman"/>
      <w:sz w:val="16"/>
      <w:szCs w:val="16"/>
    </w:rPr>
  </w:style>
  <w:style w:type="numbering" w:customStyle="1" w:styleId="NoList3">
    <w:name w:val="No List3"/>
    <w:next w:val="NoList"/>
    <w:semiHidden/>
    <w:rsid w:val="00813BF5"/>
  </w:style>
  <w:style w:type="numbering" w:customStyle="1" w:styleId="NoList4">
    <w:name w:val="No List4"/>
    <w:next w:val="NoList"/>
    <w:semiHidden/>
    <w:rsid w:val="00813BF5"/>
  </w:style>
  <w:style w:type="paragraph" w:customStyle="1" w:styleId="Point1">
    <w:name w:val="Point 1"/>
    <w:basedOn w:val="Normal"/>
    <w:link w:val="Point1Char"/>
    <w:rsid w:val="00813BF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13BF5"/>
    <w:rPr>
      <w:rFonts w:ascii="Calibri" w:eastAsia="Times New Roman" w:hAnsi="Calibri" w:cs="Times New Roman"/>
      <w:sz w:val="24"/>
      <w:szCs w:val="24"/>
      <w:lang w:val="en-GB" w:eastAsia="en-GB"/>
    </w:rPr>
  </w:style>
  <w:style w:type="character" w:customStyle="1" w:styleId="longtext">
    <w:name w:val="long_text"/>
    <w:rsid w:val="00813BF5"/>
    <w:rPr>
      <w:rFonts w:ascii="Comic Sans MS" w:hAnsi="Comic Sans MS"/>
      <w:b/>
      <w:sz w:val="96"/>
      <w:szCs w:val="24"/>
      <w:lang w:val="pl-PL" w:eastAsia="pl-PL" w:bidi="ar-SA"/>
    </w:rPr>
  </w:style>
  <w:style w:type="paragraph" w:customStyle="1" w:styleId="Text1">
    <w:name w:val="Text 1"/>
    <w:basedOn w:val="Normal"/>
    <w:link w:val="Text1Char"/>
    <w:rsid w:val="00813BF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13BF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13BF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13BF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13BF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13BF5"/>
  </w:style>
  <w:style w:type="character" w:customStyle="1" w:styleId="SectionTitleCharCharChar">
    <w:name w:val="SectionTitle Char Char Char"/>
    <w:link w:val="SectionTitleCharChar"/>
    <w:rsid w:val="00813BF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13BF5"/>
    <w:rPr>
      <w:rFonts w:ascii="Calibri" w:eastAsia="Times New Roman" w:hAnsi="Calibri" w:cs="Times New Roman"/>
      <w:b/>
      <w:bCs/>
      <w:smallCaps/>
      <w:sz w:val="28"/>
      <w:szCs w:val="28"/>
      <w:lang w:val="en-GB" w:eastAsia="en-GB"/>
    </w:rPr>
  </w:style>
  <w:style w:type="character" w:customStyle="1" w:styleId="Text1Char">
    <w:name w:val="Text 1 Char"/>
    <w:link w:val="Text1"/>
    <w:rsid w:val="00813BF5"/>
    <w:rPr>
      <w:rFonts w:ascii="Calibri" w:eastAsia="Times New Roman" w:hAnsi="Calibri" w:cs="Times New Roman"/>
      <w:sz w:val="24"/>
      <w:szCs w:val="24"/>
      <w:lang w:val="en-GB" w:eastAsia="en-GB"/>
    </w:rPr>
  </w:style>
  <w:style w:type="character" w:customStyle="1" w:styleId="Point1CharChar">
    <w:name w:val="Point 1 Char Char"/>
    <w:rsid w:val="00813BF5"/>
    <w:rPr>
      <w:sz w:val="24"/>
      <w:szCs w:val="24"/>
      <w:lang w:val="en-GB" w:eastAsia="en-GB" w:bidi="ar-SA"/>
    </w:rPr>
  </w:style>
  <w:style w:type="paragraph" w:customStyle="1" w:styleId="Point0">
    <w:name w:val="Point 0"/>
    <w:basedOn w:val="Normal"/>
    <w:rsid w:val="00813BF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13BF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13BF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13BF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13BF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13BF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13BF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13BF5"/>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813BF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13BF5"/>
    <w:rPr>
      <w:rFonts w:ascii="CG Times" w:hAnsi="CG Times"/>
      <w:sz w:val="22"/>
      <w:lang w:val="en-US" w:eastAsia="en-US" w:bidi="ar-SA"/>
    </w:rPr>
  </w:style>
  <w:style w:type="paragraph" w:customStyle="1" w:styleId="SectionTitle">
    <w:name w:val="SectionTitle"/>
    <w:basedOn w:val="Normal"/>
    <w:next w:val="Heading1"/>
    <w:rsid w:val="00813BF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13BF5"/>
  </w:style>
  <w:style w:type="paragraph" w:styleId="TableofFigures">
    <w:name w:val="table of figures"/>
    <w:basedOn w:val="Normal"/>
    <w:next w:val="Normal"/>
    <w:rsid w:val="00813BF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13BF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13BF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13BF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13BF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13BF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13BF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13BF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13BF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13BF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13BF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13BF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13BF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13BF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13BF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13BF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13BF5"/>
    <w:pPr>
      <w:spacing w:after="0" w:line="360" w:lineRule="auto"/>
      <w:ind w:firstLine="0"/>
      <w:jc w:val="left"/>
    </w:pPr>
    <w:rPr>
      <w:rFonts w:ascii="Tahoma" w:eastAsia="Times New Roman" w:hAnsi="Tahoma"/>
      <w:lang w:val="de-AT" w:eastAsia="de-DE"/>
    </w:rPr>
  </w:style>
  <w:style w:type="paragraph" w:styleId="List">
    <w:name w:val="List"/>
    <w:basedOn w:val="Normal"/>
    <w:rsid w:val="00813BF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13BF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13BF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13BF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13BF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13BF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13BF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13BF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13BF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13BF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13BF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13BF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13BF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13BF5"/>
    <w:rPr>
      <w:sz w:val="16"/>
      <w:szCs w:val="16"/>
    </w:rPr>
  </w:style>
  <w:style w:type="paragraph" w:styleId="CommentText">
    <w:name w:val="annotation text"/>
    <w:aliases w:val=" Char"/>
    <w:basedOn w:val="Normal"/>
    <w:link w:val="CommentTextChar"/>
    <w:unhideWhenUsed/>
    <w:rsid w:val="00813BF5"/>
    <w:rPr>
      <w:rFonts w:eastAsia="MS Mincho"/>
      <w:sz w:val="20"/>
      <w:szCs w:val="20"/>
      <w:lang w:val="sq-AL"/>
    </w:rPr>
  </w:style>
  <w:style w:type="character" w:customStyle="1" w:styleId="CommentTextChar">
    <w:name w:val="Comment Text Char"/>
    <w:aliases w:val=" Char Char1"/>
    <w:basedOn w:val="DefaultParagraphFont"/>
    <w:link w:val="CommentText"/>
    <w:rsid w:val="00813BF5"/>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813BF5"/>
    <w:rPr>
      <w:b/>
      <w:bCs/>
    </w:rPr>
  </w:style>
  <w:style w:type="character" w:customStyle="1" w:styleId="CommentSubjectChar">
    <w:name w:val="Comment Subject Char"/>
    <w:basedOn w:val="CommentTextChar"/>
    <w:link w:val="CommentSubject"/>
    <w:rsid w:val="00813BF5"/>
    <w:rPr>
      <w:rFonts w:ascii="Calibri" w:eastAsia="MS Mincho" w:hAnsi="Calibri" w:cs="Times New Roman"/>
      <w:b/>
      <w:bCs/>
      <w:sz w:val="20"/>
      <w:szCs w:val="20"/>
    </w:rPr>
  </w:style>
  <w:style w:type="paragraph" w:styleId="ListNumber4">
    <w:name w:val="List Number 4"/>
    <w:basedOn w:val="Normal"/>
    <w:rsid w:val="00813BF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13BF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13BF5"/>
  </w:style>
  <w:style w:type="paragraph" w:styleId="MacroText">
    <w:name w:val="macro"/>
    <w:link w:val="MacroTextChar"/>
    <w:semiHidden/>
    <w:rsid w:val="00813BF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13BF5"/>
    <w:rPr>
      <w:rFonts w:ascii="Courier New" w:eastAsia="Times New Roman" w:hAnsi="Courier New" w:cs="Times New Roman"/>
      <w:lang w:val="de-DE" w:eastAsia="de-DE"/>
    </w:rPr>
  </w:style>
  <w:style w:type="paragraph" w:styleId="NormalIndent">
    <w:name w:val="Normal Indent"/>
    <w:basedOn w:val="Normal"/>
    <w:link w:val="NormalIndentChar"/>
    <w:rsid w:val="00813BF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13BF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13BF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13BF5"/>
    <w:rPr>
      <w:rFonts w:ascii="Tahoma" w:hAnsi="Tahoma"/>
      <w:sz w:val="22"/>
    </w:rPr>
  </w:style>
  <w:style w:type="paragraph" w:styleId="BlockText">
    <w:name w:val="Block Text"/>
    <w:basedOn w:val="Normal"/>
    <w:rsid w:val="00813BF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13BF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13BF5"/>
    <w:rPr>
      <w:rFonts w:ascii="Tahoma" w:eastAsia="Times New Roman" w:hAnsi="Tahoma" w:cs="Times New Roman"/>
      <w:lang w:val="de-AT" w:eastAsia="de-DE"/>
    </w:rPr>
  </w:style>
  <w:style w:type="character" w:customStyle="1" w:styleId="Emphasis1">
    <w:name w:val="Emphasis1"/>
    <w:semiHidden/>
    <w:rsid w:val="00813BF5"/>
  </w:style>
  <w:style w:type="paragraph" w:styleId="NoteHeading">
    <w:name w:val="Note Heading"/>
    <w:basedOn w:val="Normal"/>
    <w:next w:val="Normal"/>
    <w:link w:val="NoteHeadingChar"/>
    <w:rsid w:val="00813BF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13BF5"/>
    <w:rPr>
      <w:rFonts w:ascii="Tahoma" w:eastAsia="Times New Roman" w:hAnsi="Tahoma" w:cs="Times New Roman"/>
      <w:lang w:val="de-AT" w:eastAsia="de-DE"/>
    </w:rPr>
  </w:style>
  <w:style w:type="paragraph" w:styleId="MessageHeader">
    <w:name w:val="Message Header"/>
    <w:basedOn w:val="Normal"/>
    <w:link w:val="MessageHeaderChar"/>
    <w:semiHidden/>
    <w:rsid w:val="00813BF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13BF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13BF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13BF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13BF5"/>
    <w:rPr>
      <w:rFonts w:ascii="Tahoma" w:eastAsia="Times New Roman" w:hAnsi="Tahoma" w:cs="Times New Roman"/>
      <w:sz w:val="20"/>
      <w:szCs w:val="20"/>
      <w:lang w:val="en-US"/>
    </w:rPr>
  </w:style>
  <w:style w:type="character" w:styleId="EndnoteReference">
    <w:name w:val="endnote reference"/>
    <w:uiPriority w:val="99"/>
    <w:semiHidden/>
    <w:unhideWhenUsed/>
    <w:rsid w:val="00813BF5"/>
    <w:rPr>
      <w:vertAlign w:val="superscript"/>
    </w:rPr>
  </w:style>
  <w:style w:type="paragraph" w:styleId="BodyTextFirstIndent2">
    <w:name w:val="Body Text First Indent 2"/>
    <w:basedOn w:val="BodyTextIndent"/>
    <w:link w:val="BodyTextFirstIndent2Char"/>
    <w:semiHidden/>
    <w:rsid w:val="00813BF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13BF5"/>
    <w:rPr>
      <w:rFonts w:ascii="Tahoma" w:eastAsia="Times New Roman" w:hAnsi="Tahoma" w:cs="Times New Roman"/>
      <w:lang w:val="de-AT" w:eastAsia="de-DE"/>
    </w:rPr>
  </w:style>
  <w:style w:type="numbering" w:styleId="111111">
    <w:name w:val="Outline List 2"/>
    <w:basedOn w:val="NoList"/>
    <w:semiHidden/>
    <w:rsid w:val="00813BF5"/>
    <w:pPr>
      <w:numPr>
        <w:numId w:val="14"/>
      </w:numPr>
    </w:pPr>
  </w:style>
  <w:style w:type="paragraph" w:customStyle="1" w:styleId="Zusatz2">
    <w:name w:val="Zusatz 2"/>
    <w:basedOn w:val="Normal"/>
    <w:next w:val="Normal"/>
    <w:semiHidden/>
    <w:rsid w:val="00813BF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13BF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13BF5"/>
    <w:pPr>
      <w:numPr>
        <w:numId w:val="15"/>
      </w:numPr>
    </w:pPr>
  </w:style>
  <w:style w:type="paragraph" w:styleId="Salutation">
    <w:name w:val="Salutation"/>
    <w:basedOn w:val="Normal"/>
    <w:next w:val="Normal"/>
    <w:link w:val="SalutationChar"/>
    <w:semiHidden/>
    <w:rsid w:val="00813BF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13BF5"/>
    <w:rPr>
      <w:rFonts w:ascii="Tahoma" w:eastAsia="Times New Roman" w:hAnsi="Tahoma" w:cs="Times New Roman"/>
      <w:lang w:val="de-AT" w:eastAsia="de-DE"/>
    </w:rPr>
  </w:style>
  <w:style w:type="numbering" w:styleId="ArticleSection">
    <w:name w:val="Outline List 3"/>
    <w:basedOn w:val="NoList"/>
    <w:semiHidden/>
    <w:rsid w:val="00813BF5"/>
    <w:pPr>
      <w:numPr>
        <w:numId w:val="16"/>
      </w:numPr>
    </w:pPr>
  </w:style>
  <w:style w:type="paragraph" w:styleId="Closing">
    <w:name w:val="Closing"/>
    <w:basedOn w:val="Normal"/>
    <w:link w:val="ClosingChar"/>
    <w:semiHidden/>
    <w:rsid w:val="00813BF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13BF5"/>
    <w:rPr>
      <w:rFonts w:ascii="Tahoma" w:eastAsia="Times New Roman" w:hAnsi="Tahoma" w:cs="Times New Roman"/>
      <w:lang w:val="de-AT" w:eastAsia="de-DE"/>
    </w:rPr>
  </w:style>
  <w:style w:type="character" w:styleId="Emphasis">
    <w:name w:val="Emphasis"/>
    <w:uiPriority w:val="20"/>
    <w:qFormat/>
    <w:rsid w:val="00813BF5"/>
    <w:rPr>
      <w:i/>
      <w:iCs/>
    </w:rPr>
  </w:style>
  <w:style w:type="paragraph" w:styleId="HTMLAddress">
    <w:name w:val="HTML Address"/>
    <w:basedOn w:val="Normal"/>
    <w:link w:val="HTMLAddressChar"/>
    <w:semiHidden/>
    <w:rsid w:val="00813BF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13BF5"/>
    <w:rPr>
      <w:rFonts w:ascii="Tahoma" w:eastAsia="Times New Roman" w:hAnsi="Tahoma" w:cs="Times New Roman"/>
      <w:i/>
      <w:iCs/>
      <w:lang w:val="de-AT" w:eastAsia="de-DE"/>
    </w:rPr>
  </w:style>
  <w:style w:type="character" w:styleId="HTMLAcronym">
    <w:name w:val="HTML Acronym"/>
    <w:semiHidden/>
    <w:rsid w:val="00813BF5"/>
  </w:style>
  <w:style w:type="character" w:styleId="HTMLSample">
    <w:name w:val="HTML Sample"/>
    <w:semiHidden/>
    <w:rsid w:val="00813BF5"/>
    <w:rPr>
      <w:rFonts w:ascii="Courier New" w:hAnsi="Courier New" w:cs="Courier New"/>
    </w:rPr>
  </w:style>
  <w:style w:type="character" w:styleId="HTMLCode">
    <w:name w:val="HTML Code"/>
    <w:semiHidden/>
    <w:rsid w:val="00813BF5"/>
    <w:rPr>
      <w:rFonts w:ascii="Courier New" w:hAnsi="Courier New" w:cs="Courier New"/>
      <w:sz w:val="20"/>
      <w:szCs w:val="20"/>
    </w:rPr>
  </w:style>
  <w:style w:type="character" w:styleId="HTMLDefinition">
    <w:name w:val="HTML Definition"/>
    <w:semiHidden/>
    <w:rsid w:val="00813BF5"/>
    <w:rPr>
      <w:i/>
      <w:iCs/>
    </w:rPr>
  </w:style>
  <w:style w:type="character" w:styleId="HTMLTypewriter">
    <w:name w:val="HTML Typewriter"/>
    <w:semiHidden/>
    <w:rsid w:val="00813BF5"/>
    <w:rPr>
      <w:rFonts w:ascii="Courier New" w:hAnsi="Courier New" w:cs="Courier New"/>
      <w:sz w:val="20"/>
      <w:szCs w:val="20"/>
    </w:rPr>
  </w:style>
  <w:style w:type="character" w:styleId="HTMLKeyboard">
    <w:name w:val="HTML Keyboard"/>
    <w:semiHidden/>
    <w:rsid w:val="00813BF5"/>
    <w:rPr>
      <w:rFonts w:ascii="Courier New" w:hAnsi="Courier New" w:cs="Courier New"/>
      <w:sz w:val="20"/>
      <w:szCs w:val="20"/>
    </w:rPr>
  </w:style>
  <w:style w:type="character" w:styleId="HTMLVariable">
    <w:name w:val="HTML Variable"/>
    <w:semiHidden/>
    <w:rsid w:val="00813BF5"/>
    <w:rPr>
      <w:i/>
      <w:iCs/>
    </w:rPr>
  </w:style>
  <w:style w:type="paragraph" w:styleId="HTMLPreformatted">
    <w:name w:val="HTML Preformatted"/>
    <w:basedOn w:val="Normal"/>
    <w:link w:val="HTMLPreformattedChar"/>
    <w:semiHidden/>
    <w:rsid w:val="00813BF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813BF5"/>
    <w:rPr>
      <w:rFonts w:ascii="Courier New" w:eastAsia="Times New Roman" w:hAnsi="Courier New" w:cs="Times New Roman"/>
      <w:sz w:val="20"/>
      <w:lang w:val="de-AT" w:eastAsia="de-DE"/>
    </w:rPr>
  </w:style>
  <w:style w:type="character" w:styleId="HTMLCite">
    <w:name w:val="HTML Cite"/>
    <w:semiHidden/>
    <w:rsid w:val="00813BF5"/>
    <w:rPr>
      <w:i/>
      <w:iCs/>
    </w:rPr>
  </w:style>
  <w:style w:type="table" w:styleId="Table3Deffects1">
    <w:name w:val="Table 3D effects 1"/>
    <w:basedOn w:val="TableNormal"/>
    <w:semiHidden/>
    <w:rsid w:val="00813BF5"/>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13BF5"/>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13BF5"/>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13BF5"/>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13BF5"/>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13BF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13BF5"/>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13BF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13BF5"/>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13BF5"/>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13BF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13BF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13BF5"/>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13BF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13BF5"/>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13BF5"/>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13BF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13BF5"/>
    <w:rPr>
      <w:rFonts w:ascii="Tahoma" w:eastAsia="Times New Roman" w:hAnsi="Tahoma" w:cs="Times New Roman"/>
      <w:lang w:val="de-AT" w:eastAsia="de-DE"/>
    </w:rPr>
  </w:style>
  <w:style w:type="paragraph" w:styleId="E-mailSignature">
    <w:name w:val="E-mail Signature"/>
    <w:basedOn w:val="Normal"/>
    <w:link w:val="E-mailSignatureChar"/>
    <w:rsid w:val="00813BF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13BF5"/>
    <w:rPr>
      <w:rFonts w:ascii="Tahoma" w:eastAsia="Times New Roman" w:hAnsi="Tahoma" w:cs="Times New Roman"/>
      <w:lang w:val="de-AT" w:eastAsia="de-DE"/>
    </w:rPr>
  </w:style>
  <w:style w:type="paragraph" w:styleId="BodyText2">
    <w:name w:val="Body Text 2"/>
    <w:basedOn w:val="Normal"/>
    <w:link w:val="BodyText2Char"/>
    <w:rsid w:val="00813BF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13BF5"/>
    <w:rPr>
      <w:rFonts w:ascii="Tahoma" w:eastAsia="Times New Roman" w:hAnsi="Tahoma" w:cs="Times New Roman"/>
      <w:lang w:val="de-AT" w:eastAsia="de-DE"/>
    </w:rPr>
  </w:style>
  <w:style w:type="paragraph" w:styleId="BodyTextIndent2">
    <w:name w:val="Body Text Indent 2"/>
    <w:basedOn w:val="Normal"/>
    <w:link w:val="BodyTextIndent2Char"/>
    <w:rsid w:val="00813BF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13BF5"/>
    <w:rPr>
      <w:rFonts w:ascii="Tahoma" w:eastAsia="Times New Roman" w:hAnsi="Tahoma" w:cs="Times New Roman"/>
      <w:lang w:val="de-AT" w:eastAsia="de-DE"/>
    </w:rPr>
  </w:style>
  <w:style w:type="paragraph" w:styleId="BodyTextIndent3">
    <w:name w:val="Body Text Indent 3"/>
    <w:basedOn w:val="Normal"/>
    <w:link w:val="BodyTextIndent3Char"/>
    <w:rsid w:val="00813BF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13BF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13BF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13BF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13BF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13BF5"/>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813BF5"/>
    <w:rPr>
      <w:rFonts w:ascii="CG Times" w:eastAsia="Times New Roman" w:hAnsi="CG Times" w:cs="Times New Roman"/>
      <w:b/>
      <w:szCs w:val="24"/>
      <w:lang w:val="en-US"/>
    </w:rPr>
  </w:style>
  <w:style w:type="character" w:customStyle="1" w:styleId="SubtitleChar1">
    <w:name w:val="Subtitle Char1"/>
    <w:locked/>
    <w:rsid w:val="00813BF5"/>
    <w:rPr>
      <w:rFonts w:ascii="Cambria" w:hAnsi="Cambria"/>
      <w:sz w:val="24"/>
      <w:szCs w:val="24"/>
    </w:rPr>
  </w:style>
  <w:style w:type="paragraph" w:customStyle="1" w:styleId="Char1">
    <w:name w:val="Char1"/>
    <w:basedOn w:val="Normal"/>
    <w:rsid w:val="00813BF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13BF5"/>
    <w:rPr>
      <w:rFonts w:ascii="Tahoma" w:hAnsi="Tahoma" w:cs="Tahoma"/>
      <w:i/>
      <w:iCs/>
      <w:sz w:val="22"/>
      <w:szCs w:val="22"/>
      <w:lang w:val="de-AT" w:eastAsia="de-DE" w:bidi="ar-SA"/>
    </w:rPr>
  </w:style>
  <w:style w:type="character" w:customStyle="1" w:styleId="CharChar36">
    <w:name w:val="Char Char36"/>
    <w:locked/>
    <w:rsid w:val="00813BF5"/>
    <w:rPr>
      <w:rFonts w:ascii="Arial" w:hAnsi="Arial" w:cs="Arial"/>
      <w:b/>
      <w:bCs/>
      <w:kern w:val="32"/>
      <w:sz w:val="32"/>
      <w:szCs w:val="32"/>
      <w:lang w:val="sq-AL" w:eastAsia="en-US" w:bidi="ar-SA"/>
    </w:rPr>
  </w:style>
  <w:style w:type="character" w:customStyle="1" w:styleId="CharChar35">
    <w:name w:val="Char Char35"/>
    <w:locked/>
    <w:rsid w:val="00813BF5"/>
    <w:rPr>
      <w:rFonts w:ascii="Arial" w:hAnsi="Arial" w:cs="Arial"/>
      <w:b/>
      <w:bCs/>
      <w:i/>
      <w:iCs/>
      <w:sz w:val="28"/>
      <w:szCs w:val="28"/>
      <w:lang w:val="sq-AL" w:eastAsia="en-US" w:bidi="ar-SA"/>
    </w:rPr>
  </w:style>
  <w:style w:type="character" w:customStyle="1" w:styleId="CharChar34">
    <w:name w:val="Char Char34"/>
    <w:locked/>
    <w:rsid w:val="00813BF5"/>
    <w:rPr>
      <w:rFonts w:ascii="Tahoma" w:hAnsi="Tahoma"/>
      <w:b/>
      <w:kern w:val="28"/>
      <w:sz w:val="24"/>
      <w:szCs w:val="28"/>
      <w:lang w:val="de-AT" w:eastAsia="de-DE" w:bidi="ar-SA"/>
    </w:rPr>
  </w:style>
  <w:style w:type="character" w:customStyle="1" w:styleId="CharChar33">
    <w:name w:val="Char Char33"/>
    <w:locked/>
    <w:rsid w:val="00813BF5"/>
    <w:rPr>
      <w:rFonts w:ascii="Tahoma" w:hAnsi="Tahoma"/>
      <w:b/>
      <w:i/>
      <w:kern w:val="28"/>
      <w:sz w:val="22"/>
      <w:szCs w:val="22"/>
      <w:lang w:val="de-AT" w:eastAsia="de-DE" w:bidi="ar-SA"/>
    </w:rPr>
  </w:style>
  <w:style w:type="character" w:customStyle="1" w:styleId="CharChar32">
    <w:name w:val="Char Char32"/>
    <w:locked/>
    <w:rsid w:val="00813BF5"/>
    <w:rPr>
      <w:rFonts w:ascii="Tahoma" w:hAnsi="Tahoma"/>
      <w:b/>
      <w:i/>
      <w:kern w:val="28"/>
      <w:sz w:val="22"/>
      <w:szCs w:val="22"/>
      <w:lang w:val="de-AT" w:eastAsia="de-DE" w:bidi="ar-SA"/>
    </w:rPr>
  </w:style>
  <w:style w:type="character" w:customStyle="1" w:styleId="CharChar31">
    <w:name w:val="Char Char31"/>
    <w:locked/>
    <w:rsid w:val="00813BF5"/>
    <w:rPr>
      <w:rFonts w:ascii="Tahoma" w:hAnsi="Tahoma"/>
      <w:b/>
      <w:i/>
      <w:kern w:val="28"/>
      <w:sz w:val="22"/>
      <w:szCs w:val="22"/>
      <w:lang w:val="de-AT" w:eastAsia="de-DE" w:bidi="ar-SA"/>
    </w:rPr>
  </w:style>
  <w:style w:type="character" w:customStyle="1" w:styleId="CharChar10">
    <w:name w:val="Char Char10"/>
    <w:semiHidden/>
    <w:locked/>
    <w:rsid w:val="00813BF5"/>
    <w:rPr>
      <w:rFonts w:ascii="Courier New" w:hAnsi="Courier New" w:cs="Courier New"/>
      <w:szCs w:val="22"/>
      <w:lang w:val="de-AT" w:eastAsia="de-DE" w:bidi="ar-SA"/>
    </w:rPr>
  </w:style>
  <w:style w:type="character" w:customStyle="1" w:styleId="CharChar30">
    <w:name w:val="Char Char30"/>
    <w:locked/>
    <w:rsid w:val="00813BF5"/>
    <w:rPr>
      <w:rFonts w:ascii="Tahoma" w:hAnsi="Tahoma"/>
      <w:b/>
      <w:i/>
      <w:kern w:val="28"/>
      <w:sz w:val="22"/>
      <w:szCs w:val="22"/>
      <w:lang w:val="de-AT" w:eastAsia="de-DE" w:bidi="ar-SA"/>
    </w:rPr>
  </w:style>
  <w:style w:type="character" w:customStyle="1" w:styleId="CharChar29">
    <w:name w:val="Char Char29"/>
    <w:locked/>
    <w:rsid w:val="00813BF5"/>
    <w:rPr>
      <w:rFonts w:ascii="Tahoma" w:hAnsi="Tahoma"/>
      <w:b/>
      <w:i/>
      <w:kern w:val="28"/>
      <w:sz w:val="22"/>
      <w:szCs w:val="22"/>
      <w:lang w:val="de-AT" w:eastAsia="de-DE" w:bidi="ar-SA"/>
    </w:rPr>
  </w:style>
  <w:style w:type="character" w:customStyle="1" w:styleId="CharChar28">
    <w:name w:val="Char Char28"/>
    <w:locked/>
    <w:rsid w:val="00813BF5"/>
    <w:rPr>
      <w:rFonts w:ascii="Tahoma" w:hAnsi="Tahoma"/>
      <w:b/>
      <w:i/>
      <w:kern w:val="28"/>
      <w:sz w:val="22"/>
      <w:szCs w:val="22"/>
      <w:lang w:val="de-AT" w:eastAsia="de-DE" w:bidi="ar-SA"/>
    </w:rPr>
  </w:style>
  <w:style w:type="character" w:customStyle="1" w:styleId="CharChar27">
    <w:name w:val="Char Char27"/>
    <w:locked/>
    <w:rsid w:val="00813BF5"/>
    <w:rPr>
      <w:rFonts w:ascii="Calibri" w:eastAsia="Calibri" w:hAnsi="Calibri"/>
      <w:lang w:val="sq-AL" w:eastAsia="en-US" w:bidi="ar-SA"/>
    </w:rPr>
  </w:style>
  <w:style w:type="character" w:customStyle="1" w:styleId="CharChar24">
    <w:name w:val="Char Char24"/>
    <w:locked/>
    <w:rsid w:val="00813BF5"/>
    <w:rPr>
      <w:rFonts w:ascii="Tahoma" w:hAnsi="Tahoma" w:cs="Tahoma"/>
      <w:sz w:val="22"/>
      <w:szCs w:val="22"/>
      <w:lang w:val="de-AT" w:eastAsia="de-DE" w:bidi="ar-SA"/>
    </w:rPr>
  </w:style>
  <w:style w:type="character" w:customStyle="1" w:styleId="CharChar23">
    <w:name w:val="Char Char23"/>
    <w:locked/>
    <w:rsid w:val="00813BF5"/>
    <w:rPr>
      <w:rFonts w:ascii="Tahoma" w:hAnsi="Tahoma" w:cs="Tahoma"/>
      <w:sz w:val="22"/>
      <w:szCs w:val="22"/>
      <w:lang w:val="de-AT" w:eastAsia="de-DE" w:bidi="ar-SA"/>
    </w:rPr>
  </w:style>
  <w:style w:type="character" w:customStyle="1" w:styleId="CharChar22">
    <w:name w:val="Char Char22"/>
    <w:semiHidden/>
    <w:locked/>
    <w:rsid w:val="00813BF5"/>
    <w:rPr>
      <w:rFonts w:ascii="Courier New" w:hAnsi="Courier New" w:cs="Courier New"/>
      <w:sz w:val="22"/>
      <w:szCs w:val="22"/>
      <w:lang w:val="de-DE" w:eastAsia="de-DE" w:bidi="ar-SA"/>
    </w:rPr>
  </w:style>
  <w:style w:type="character" w:customStyle="1" w:styleId="CharChar21">
    <w:name w:val="Char Char21"/>
    <w:locked/>
    <w:rsid w:val="00813BF5"/>
    <w:rPr>
      <w:rFonts w:ascii="Tahoma" w:hAnsi="Tahoma" w:cs="Tahoma"/>
      <w:b/>
      <w:kern w:val="28"/>
      <w:sz w:val="36"/>
      <w:szCs w:val="36"/>
      <w:lang w:val="de-AT" w:eastAsia="de-DE" w:bidi="ar-SA"/>
    </w:rPr>
  </w:style>
  <w:style w:type="character" w:customStyle="1" w:styleId="CharChar12">
    <w:name w:val="Char Char12"/>
    <w:semiHidden/>
    <w:locked/>
    <w:rsid w:val="00813BF5"/>
    <w:rPr>
      <w:rFonts w:ascii="Tahoma" w:hAnsi="Tahoma" w:cs="Tahoma"/>
      <w:sz w:val="22"/>
      <w:szCs w:val="22"/>
      <w:lang w:val="de-AT" w:eastAsia="de-DE" w:bidi="ar-SA"/>
    </w:rPr>
  </w:style>
  <w:style w:type="character" w:customStyle="1" w:styleId="CharChar9">
    <w:name w:val="Char Char9"/>
    <w:semiHidden/>
    <w:locked/>
    <w:rsid w:val="00813BF5"/>
    <w:rPr>
      <w:rFonts w:ascii="Tahoma" w:hAnsi="Tahoma" w:cs="Tahoma"/>
      <w:sz w:val="22"/>
      <w:szCs w:val="22"/>
      <w:lang w:val="de-AT" w:eastAsia="de-DE" w:bidi="ar-SA"/>
    </w:rPr>
  </w:style>
  <w:style w:type="character" w:customStyle="1" w:styleId="CharChar25">
    <w:name w:val="Char Char25"/>
    <w:semiHidden/>
    <w:locked/>
    <w:rsid w:val="00813BF5"/>
    <w:rPr>
      <w:rFonts w:ascii="Tahoma" w:hAnsi="Tahoma" w:cs="Tahoma"/>
      <w:sz w:val="22"/>
      <w:szCs w:val="22"/>
      <w:lang w:val="de-AT" w:eastAsia="de-DE" w:bidi="ar-SA"/>
    </w:rPr>
  </w:style>
  <w:style w:type="character" w:customStyle="1" w:styleId="CharChar15">
    <w:name w:val="Char Char15"/>
    <w:semiHidden/>
    <w:locked/>
    <w:rsid w:val="00813BF5"/>
    <w:rPr>
      <w:rFonts w:ascii="Tahoma" w:hAnsi="Tahoma" w:cs="Tahoma"/>
      <w:sz w:val="22"/>
      <w:szCs w:val="22"/>
      <w:lang w:val="de-AT" w:eastAsia="de-DE" w:bidi="ar-SA"/>
    </w:rPr>
  </w:style>
  <w:style w:type="character" w:customStyle="1" w:styleId="CharChar16">
    <w:name w:val="Char Char16"/>
    <w:semiHidden/>
    <w:locked/>
    <w:rsid w:val="00813BF5"/>
    <w:rPr>
      <w:rFonts w:ascii="Tahoma" w:hAnsi="Tahoma" w:cs="Arial"/>
      <w:sz w:val="24"/>
      <w:szCs w:val="24"/>
      <w:lang w:val="de-AT" w:eastAsia="de-DE" w:bidi="ar-SA"/>
    </w:rPr>
  </w:style>
  <w:style w:type="character" w:customStyle="1" w:styleId="CharChar20">
    <w:name w:val="Char Char20"/>
    <w:locked/>
    <w:rsid w:val="00813BF5"/>
    <w:rPr>
      <w:rFonts w:ascii="Tahoma" w:hAnsi="Tahoma" w:cs="Tahoma"/>
      <w:b/>
      <w:kern w:val="28"/>
      <w:sz w:val="32"/>
      <w:szCs w:val="36"/>
      <w:lang w:val="de-AT" w:eastAsia="de-DE" w:bidi="ar-SA"/>
    </w:rPr>
  </w:style>
  <w:style w:type="character" w:customStyle="1" w:styleId="CharChar13">
    <w:name w:val="Char Char13"/>
    <w:semiHidden/>
    <w:locked/>
    <w:rsid w:val="00813BF5"/>
    <w:rPr>
      <w:rFonts w:ascii="Tahoma" w:hAnsi="Tahoma" w:cs="Tahoma"/>
      <w:sz w:val="22"/>
      <w:szCs w:val="22"/>
      <w:lang w:val="de-AT" w:eastAsia="de-DE" w:bidi="ar-SA"/>
    </w:rPr>
  </w:style>
  <w:style w:type="character" w:customStyle="1" w:styleId="CharChar19">
    <w:name w:val="Char Char19"/>
    <w:semiHidden/>
    <w:locked/>
    <w:rsid w:val="00813BF5"/>
    <w:rPr>
      <w:rFonts w:ascii="Tahoma" w:hAnsi="Tahoma" w:cs="Tahoma"/>
      <w:sz w:val="22"/>
      <w:szCs w:val="22"/>
      <w:lang w:val="de-AT" w:eastAsia="de-DE" w:bidi="ar-SA"/>
    </w:rPr>
  </w:style>
  <w:style w:type="character" w:customStyle="1" w:styleId="CharChar3">
    <w:name w:val="Char Char3"/>
    <w:semiHidden/>
    <w:locked/>
    <w:rsid w:val="00813BF5"/>
  </w:style>
  <w:style w:type="character" w:customStyle="1" w:styleId="CharChar14">
    <w:name w:val="Char Char14"/>
    <w:semiHidden/>
    <w:locked/>
    <w:rsid w:val="00813BF5"/>
  </w:style>
  <w:style w:type="character" w:customStyle="1" w:styleId="CharChar17">
    <w:name w:val="Char Char17"/>
    <w:locked/>
    <w:rsid w:val="00813BF5"/>
    <w:rPr>
      <w:rFonts w:ascii="Tahoma" w:hAnsi="Tahoma" w:cs="Tahoma"/>
      <w:sz w:val="22"/>
      <w:szCs w:val="22"/>
      <w:lang w:val="de-AT" w:eastAsia="de-DE" w:bidi="ar-SA"/>
    </w:rPr>
  </w:style>
  <w:style w:type="character" w:customStyle="1" w:styleId="CharChar7">
    <w:name w:val="Char Char7"/>
    <w:semiHidden/>
    <w:locked/>
    <w:rsid w:val="00813BF5"/>
    <w:rPr>
      <w:rFonts w:ascii="Tahoma" w:hAnsi="Tahoma" w:cs="Tahoma"/>
      <w:sz w:val="22"/>
      <w:szCs w:val="22"/>
      <w:lang w:val="de-AT" w:eastAsia="de-DE" w:bidi="ar-SA"/>
    </w:rPr>
  </w:style>
  <w:style w:type="character" w:customStyle="1" w:styleId="CharChar6">
    <w:name w:val="Char Char6"/>
    <w:semiHidden/>
    <w:locked/>
    <w:rsid w:val="00813BF5"/>
    <w:rPr>
      <w:rFonts w:ascii="Tahoma" w:hAnsi="Tahoma" w:cs="Tahoma"/>
      <w:sz w:val="16"/>
      <w:szCs w:val="16"/>
      <w:lang w:val="de-AT" w:eastAsia="de-DE" w:bidi="ar-SA"/>
    </w:rPr>
  </w:style>
  <w:style w:type="character" w:customStyle="1" w:styleId="CharChar5">
    <w:name w:val="Char Char5"/>
    <w:semiHidden/>
    <w:locked/>
    <w:rsid w:val="00813BF5"/>
    <w:rPr>
      <w:rFonts w:ascii="Tahoma" w:hAnsi="Tahoma" w:cs="Tahoma"/>
      <w:sz w:val="22"/>
      <w:szCs w:val="22"/>
      <w:lang w:val="de-AT" w:eastAsia="de-DE" w:bidi="ar-SA"/>
    </w:rPr>
  </w:style>
  <w:style w:type="character" w:customStyle="1" w:styleId="CharChar4">
    <w:name w:val="Char Char4"/>
    <w:semiHidden/>
    <w:locked/>
    <w:rsid w:val="00813BF5"/>
    <w:rPr>
      <w:rFonts w:ascii="Tahoma" w:hAnsi="Tahoma" w:cs="Tahoma"/>
      <w:sz w:val="16"/>
      <w:szCs w:val="16"/>
      <w:lang w:val="de-AT" w:eastAsia="de-DE" w:bidi="ar-SA"/>
    </w:rPr>
  </w:style>
  <w:style w:type="character" w:customStyle="1" w:styleId="CharChar18">
    <w:name w:val="Char Char18"/>
    <w:semiHidden/>
    <w:locked/>
    <w:rsid w:val="00813BF5"/>
    <w:rPr>
      <w:rFonts w:ascii="Tahoma" w:hAnsi="Tahoma" w:cs="Tahoma"/>
      <w:sz w:val="22"/>
      <w:szCs w:val="22"/>
      <w:lang w:val="de-AT" w:eastAsia="de-DE" w:bidi="ar-SA"/>
    </w:rPr>
  </w:style>
  <w:style w:type="character" w:customStyle="1" w:styleId="CharChar8">
    <w:name w:val="Char Char8"/>
    <w:locked/>
    <w:rsid w:val="00813BF5"/>
    <w:rPr>
      <w:rFonts w:ascii="Tahoma" w:hAnsi="Tahoma" w:cs="Tahoma"/>
      <w:sz w:val="22"/>
      <w:szCs w:val="22"/>
      <w:lang w:val="de-AT" w:eastAsia="de-DE" w:bidi="ar-SA"/>
    </w:rPr>
  </w:style>
  <w:style w:type="character" w:customStyle="1" w:styleId="CharChar2">
    <w:name w:val="Char Char2"/>
    <w:locked/>
    <w:rsid w:val="00813BF5"/>
    <w:rPr>
      <w:rFonts w:ascii="Calibri" w:eastAsia="Calibri" w:hAnsi="Calibri" w:cs="Times New Roman"/>
      <w:b/>
      <w:bCs/>
      <w:sz w:val="20"/>
      <w:szCs w:val="20"/>
      <w:lang w:val="sq-AL" w:eastAsia="en-US" w:bidi="ar-SA"/>
    </w:rPr>
  </w:style>
  <w:style w:type="character" w:customStyle="1" w:styleId="CharChar26">
    <w:name w:val="Char Char26"/>
    <w:semiHidden/>
    <w:locked/>
    <w:rsid w:val="00813BF5"/>
    <w:rPr>
      <w:rFonts w:ascii="Tahoma" w:hAnsi="Tahoma" w:cs="Tahoma"/>
      <w:sz w:val="16"/>
      <w:szCs w:val="16"/>
      <w:lang w:val="sq-AL" w:eastAsia="en-US" w:bidi="ar-SA"/>
    </w:rPr>
  </w:style>
  <w:style w:type="character" w:customStyle="1" w:styleId="CommentTextChar11">
    <w:name w:val="Comment Text Char11"/>
    <w:aliases w:val="Char Char37"/>
    <w:semiHidden/>
    <w:rsid w:val="00813BF5"/>
    <w:rPr>
      <w:rFonts w:ascii="Calibri" w:hAnsi="Calibri" w:hint="default"/>
      <w:lang w:val="sq-AL"/>
    </w:rPr>
  </w:style>
  <w:style w:type="character" w:customStyle="1" w:styleId="NormalIndentChar">
    <w:name w:val="Normal Indent Char"/>
    <w:link w:val="NormalIndent"/>
    <w:rsid w:val="00813BF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13BF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13BF5"/>
    <w:pPr>
      <w:tabs>
        <w:tab w:val="num" w:pos="360"/>
        <w:tab w:val="num" w:pos="1935"/>
        <w:tab w:val="num" w:pos="2563"/>
        <w:tab w:val="num" w:pos="3474"/>
      </w:tabs>
      <w:ind w:left="1935" w:hanging="360"/>
      <w:outlineLvl w:val="6"/>
    </w:pPr>
  </w:style>
  <w:style w:type="character" w:customStyle="1" w:styleId="AODefHeadChar">
    <w:name w:val="AODefHead Char"/>
    <w:link w:val="AODefHead"/>
    <w:rsid w:val="00813BF5"/>
    <w:rPr>
      <w:rFonts w:ascii="Times New Roman" w:eastAsia="Times New Roman" w:hAnsi="Times New Roman" w:cs="Times New Roman"/>
      <w:szCs w:val="20"/>
      <w:lang w:eastAsia="sq-AL" w:bidi="sq-AL"/>
    </w:rPr>
  </w:style>
  <w:style w:type="paragraph" w:customStyle="1" w:styleId="PARA">
    <w:name w:val="PARA"/>
    <w:basedOn w:val="Normal"/>
    <w:locked/>
    <w:rsid w:val="00813BF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13BF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13BF5"/>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813BF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13BF5"/>
    <w:rPr>
      <w:rFonts w:ascii="Arial" w:eastAsia="Times New Roman" w:hAnsi="Arial" w:cs="Times New Roman"/>
      <w:sz w:val="20"/>
      <w:szCs w:val="20"/>
      <w:lang w:eastAsia="sq-AL" w:bidi="sq-AL"/>
    </w:rPr>
  </w:style>
  <w:style w:type="character" w:customStyle="1" w:styleId="DeltaViewInsertion">
    <w:name w:val="DeltaView Insertion"/>
    <w:uiPriority w:val="99"/>
    <w:rsid w:val="00813BF5"/>
    <w:rPr>
      <w:color w:val="0000FF"/>
      <w:spacing w:val="0"/>
      <w:u w:val="double"/>
    </w:rPr>
  </w:style>
  <w:style w:type="paragraph" w:customStyle="1" w:styleId="dia">
    <w:name w:val="di(a)"/>
    <w:basedOn w:val="Normal"/>
    <w:rsid w:val="00813BF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13BF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13BF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13BF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13BF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13B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13BF5"/>
    <w:rPr>
      <w:rFonts w:cs="Times New Roman"/>
      <w:color w:val="808080"/>
    </w:rPr>
  </w:style>
  <w:style w:type="character" w:customStyle="1" w:styleId="az12">
    <w:name w:val="az12"/>
    <w:uiPriority w:val="99"/>
    <w:rsid w:val="00813BF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13BF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13BF5"/>
    <w:rPr>
      <w:rFonts w:ascii="Calibri" w:eastAsia="Times New Roman" w:hAnsi="Calibri" w:cs="Times New Roman"/>
      <w:sz w:val="24"/>
      <w:szCs w:val="24"/>
      <w:lang w:val="en-GB" w:eastAsia="en-GB"/>
    </w:rPr>
  </w:style>
  <w:style w:type="paragraph" w:customStyle="1" w:styleId="Paragraf02">
    <w:name w:val="Paragraf 0.2"/>
    <w:basedOn w:val="Paragrafi"/>
    <w:qFormat/>
    <w:rsid w:val="00813BF5"/>
    <w:pPr>
      <w:tabs>
        <w:tab w:val="left" w:pos="6575"/>
      </w:tabs>
    </w:pPr>
    <w:rPr>
      <w:spacing w:val="-4"/>
    </w:rPr>
  </w:style>
  <w:style w:type="table" w:customStyle="1" w:styleId="TableGrid30">
    <w:name w:val="Table Grid3"/>
    <w:basedOn w:val="TableNormal"/>
    <w:next w:val="TableGrid"/>
    <w:uiPriority w:val="59"/>
    <w:rsid w:val="00813BF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13BF5"/>
  </w:style>
  <w:style w:type="character" w:styleId="BookTitle">
    <w:name w:val="Book Title"/>
    <w:uiPriority w:val="33"/>
    <w:qFormat/>
    <w:rsid w:val="00813BF5"/>
    <w:rPr>
      <w:b/>
      <w:bCs/>
      <w:smallCaps/>
      <w:spacing w:val="5"/>
    </w:rPr>
  </w:style>
  <w:style w:type="paragraph" w:customStyle="1" w:styleId="Cover1">
    <w:name w:val="Cover1"/>
    <w:basedOn w:val="Normal"/>
    <w:next w:val="Normal"/>
    <w:rsid w:val="00813BF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13BF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13BF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13BF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13BF5"/>
    <w:rPr>
      <w:rFonts w:ascii="Times New Roman" w:eastAsia="Times New Roman" w:hAnsi="Times New Roman" w:cs="Times New Roman"/>
      <w:szCs w:val="20"/>
    </w:rPr>
  </w:style>
  <w:style w:type="character" w:customStyle="1" w:styleId="Bodytext0">
    <w:name w:val="Body text_"/>
    <w:link w:val="BodyText1"/>
    <w:rsid w:val="00813BF5"/>
    <w:rPr>
      <w:rFonts w:ascii="Times New Roman" w:hAnsi="Times New Roman"/>
      <w:sz w:val="21"/>
      <w:szCs w:val="21"/>
      <w:shd w:val="clear" w:color="auto" w:fill="FFFFFF"/>
    </w:rPr>
  </w:style>
  <w:style w:type="paragraph" w:customStyle="1" w:styleId="BodyText1">
    <w:name w:val="Body Text1"/>
    <w:basedOn w:val="Normal"/>
    <w:link w:val="Bodytext0"/>
    <w:rsid w:val="00813BF5"/>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813BF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13BF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13BF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13BF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13BF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13BF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13BF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13BF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13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13BF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ParagraphStyle">
    <w:name w:val="[No Paragraph Style]"/>
    <w:rsid w:val="00813BF5"/>
    <w:pPr>
      <w:autoSpaceDE w:val="0"/>
      <w:autoSpaceDN w:val="0"/>
      <w:adjustRightInd w:val="0"/>
      <w:spacing w:after="0" w:line="288" w:lineRule="auto"/>
    </w:pPr>
    <w:rPr>
      <w:rFonts w:ascii="Minion Pro" w:eastAsia="Calibri" w:hAnsi="Minion Pro" w:cs="Minion Pro"/>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6527</Words>
  <Characters>37210</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2016-05-04T11:42:00Z</dcterms:created>
  <dcterms:modified xsi:type="dcterms:W3CDTF">2018-01-17T13:21:00Z</dcterms:modified>
</cp:coreProperties>
</file>