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B79" w:rsidRPr="007F6F73" w:rsidRDefault="00EB2B79" w:rsidP="00EB2B79">
      <w:pPr>
        <w:pStyle w:val="NeniTitull"/>
        <w:rPr>
          <w:spacing w:val="-4"/>
          <w:lang w:val="sq-AL"/>
        </w:rPr>
      </w:pPr>
      <w:r w:rsidRPr="007F6F73">
        <w:rPr>
          <w:spacing w:val="-4"/>
          <w:lang w:val="sq-AL"/>
        </w:rPr>
        <w:t>UDHËZIM</w:t>
      </w:r>
    </w:p>
    <w:p w:rsidR="00EB2B79" w:rsidRPr="007F6F73" w:rsidRDefault="00EB2B79" w:rsidP="00EB2B79">
      <w:pPr>
        <w:pStyle w:val="NeniTitull"/>
        <w:rPr>
          <w:spacing w:val="-4"/>
          <w:lang w:val="sq-AL"/>
        </w:rPr>
      </w:pPr>
      <w:r w:rsidRPr="007F6F73">
        <w:rPr>
          <w:spacing w:val="-4"/>
          <w:lang w:val="sq-AL"/>
        </w:rPr>
        <w:t>Nr. 10, datë 3.5.2016</w:t>
      </w:r>
    </w:p>
    <w:p w:rsidR="00EB2B79" w:rsidRPr="007F6F73" w:rsidRDefault="00EB2B79" w:rsidP="00EB2B79">
      <w:pPr>
        <w:pStyle w:val="NeniTitull"/>
        <w:rPr>
          <w:spacing w:val="-4"/>
          <w:sz w:val="14"/>
          <w:lang w:val="sq-AL"/>
        </w:rPr>
      </w:pPr>
    </w:p>
    <w:p w:rsidR="00EB2B79" w:rsidRPr="007F6F73" w:rsidRDefault="00EB2B79" w:rsidP="00EB2B79">
      <w:pPr>
        <w:pStyle w:val="NeniTitull"/>
        <w:rPr>
          <w:spacing w:val="-4"/>
          <w:lang w:val="sq-AL"/>
        </w:rPr>
      </w:pPr>
      <w:r w:rsidRPr="007F6F73">
        <w:rPr>
          <w:spacing w:val="-4"/>
          <w:lang w:val="sq-AL"/>
        </w:rPr>
        <w:t>PËR DISA SHTESA DHE NDRYSHIME NË UDHËZIMIN NR. 19, DATË 3.11.2014, “PËR ZBATIMIN E REGJIMIT TË VEÇANTË TË SKEMËS SË KOMPENSIMIT TË PRODHUESVE BUJQËSORË PËR QËLLIME TË TATIMIT MBI VLERËN E SHTUAR”, I NDRYSHUAR</w:t>
      </w:r>
    </w:p>
    <w:p w:rsidR="00EB2B79" w:rsidRPr="007F6F73" w:rsidRDefault="00EB2B79" w:rsidP="00EB2B79">
      <w:pPr>
        <w:pStyle w:val="Paragrafi"/>
        <w:rPr>
          <w:spacing w:val="-4"/>
          <w:sz w:val="14"/>
          <w:lang w:val="sq-AL"/>
        </w:rPr>
      </w:pPr>
    </w:p>
    <w:p w:rsidR="00EB2B79" w:rsidRPr="007F6F73" w:rsidRDefault="00EB2B79" w:rsidP="00EB2B79">
      <w:pPr>
        <w:pStyle w:val="Paragrafi"/>
        <w:rPr>
          <w:spacing w:val="-4"/>
          <w:lang w:val="sq-AL"/>
        </w:rPr>
      </w:pPr>
      <w:r w:rsidRPr="007F6F73">
        <w:rPr>
          <w:spacing w:val="-4"/>
          <w:lang w:val="sq-AL"/>
        </w:rPr>
        <w:t>Në mbështetje të nenit 102, pika 4 të Kushtetutës së Republikës së Shqipërisë, në zbatim të nenit 159, paragrafi 2, të ligjit nr. 92/2014, datë 24.7.2014, “Për tatimin mbi vlerën e shtuar në Republikën e Shqipërisë”, i ndryshuar, ministri i Financave</w:t>
      </w:r>
    </w:p>
    <w:p w:rsidR="00EB2B79" w:rsidRPr="007F6F73" w:rsidRDefault="00EB2B79" w:rsidP="00EB2B79">
      <w:pPr>
        <w:pStyle w:val="Paragrafi"/>
        <w:rPr>
          <w:spacing w:val="-4"/>
          <w:sz w:val="14"/>
          <w:lang w:val="sq-AL"/>
        </w:rPr>
      </w:pPr>
    </w:p>
    <w:p w:rsidR="00EB2B79" w:rsidRPr="007F6F73" w:rsidRDefault="00EB2B79" w:rsidP="00EB2B79">
      <w:pPr>
        <w:pStyle w:val="NeniNr"/>
        <w:rPr>
          <w:spacing w:val="-4"/>
          <w:lang w:val="sq-AL"/>
        </w:rPr>
      </w:pPr>
      <w:r w:rsidRPr="007F6F73">
        <w:rPr>
          <w:spacing w:val="-4"/>
          <w:lang w:val="sq-AL"/>
        </w:rPr>
        <w:t>UDHËZON:</w:t>
      </w:r>
    </w:p>
    <w:p w:rsidR="00EB2B79" w:rsidRPr="007F6F73" w:rsidRDefault="00EB2B79" w:rsidP="00EB2B79">
      <w:pPr>
        <w:pStyle w:val="Paragrafi"/>
        <w:rPr>
          <w:spacing w:val="-4"/>
          <w:sz w:val="14"/>
          <w:lang w:val="sq-AL"/>
        </w:rPr>
      </w:pPr>
    </w:p>
    <w:p w:rsidR="00EB2B79" w:rsidRPr="007F6F73" w:rsidRDefault="00EB2B79" w:rsidP="00EB2B79">
      <w:pPr>
        <w:pStyle w:val="Paragrafi"/>
        <w:rPr>
          <w:spacing w:val="-4"/>
          <w:lang w:val="sq-AL"/>
        </w:rPr>
      </w:pPr>
      <w:r w:rsidRPr="007F6F73">
        <w:rPr>
          <w:spacing w:val="-4"/>
          <w:lang w:val="sq-AL"/>
        </w:rPr>
        <w:t>1. Në fund të pikës 2, të nenit 5, shtohet paragrafi me përmbajtjen e mëposhtme:</w:t>
      </w:r>
    </w:p>
    <w:p w:rsidR="00EB2B79" w:rsidRPr="007F6F73" w:rsidRDefault="00EB2B79" w:rsidP="00EB2B79">
      <w:pPr>
        <w:pStyle w:val="Paragrafi"/>
        <w:rPr>
          <w:spacing w:val="-4"/>
          <w:lang w:val="sq-AL"/>
        </w:rPr>
      </w:pPr>
      <w:r w:rsidRPr="007F6F73">
        <w:rPr>
          <w:spacing w:val="-4"/>
          <w:lang w:val="sq-AL"/>
        </w:rPr>
        <w:t>“Për aktivitetin prodhues bujqësor që kryhet në të njëjtin vend/adresë (tokë bujqësore ose adresë ku kryhet veprimtaria bujqësore/blegtorale) në pronësi ose në përdorim, ky vërtetim, për qëllime të pajisjes me NIPT, lëshohet vetëm në emër të një fermeri.”.</w:t>
      </w:r>
    </w:p>
    <w:p w:rsidR="00EB2B79" w:rsidRPr="007F6F73" w:rsidRDefault="00EB2B79" w:rsidP="00EB2B79">
      <w:pPr>
        <w:pStyle w:val="Paragrafi"/>
        <w:rPr>
          <w:spacing w:val="-4"/>
          <w:lang w:val="sq-AL"/>
        </w:rPr>
      </w:pPr>
      <w:r w:rsidRPr="007F6F73">
        <w:rPr>
          <w:spacing w:val="-4"/>
          <w:lang w:val="sq-AL"/>
        </w:rPr>
        <w:t>2. Shkronja “a” dhe “b” në pikën 4, të nenit 5, ndryshojnë me përmbajtjen e mëposhtme:</w:t>
      </w:r>
    </w:p>
    <w:p w:rsidR="00EB2B79" w:rsidRPr="007F6F73" w:rsidRDefault="00EB2B79" w:rsidP="00EB2B79">
      <w:pPr>
        <w:pStyle w:val="Paragrafi"/>
        <w:rPr>
          <w:spacing w:val="-4"/>
          <w:lang w:val="sq-AL"/>
        </w:rPr>
      </w:pPr>
      <w:r w:rsidRPr="007F6F73">
        <w:rPr>
          <w:spacing w:val="-4"/>
          <w:lang w:val="sq-AL"/>
        </w:rPr>
        <w:t>“Për pajisjen me NIPT të fermerit janë të detyrueshme këto të dhëna:</w:t>
      </w:r>
    </w:p>
    <w:p w:rsidR="00EB2B79" w:rsidRPr="007F6F73" w:rsidRDefault="00EB2B79" w:rsidP="00EB2B79">
      <w:pPr>
        <w:pStyle w:val="Paragrafi"/>
        <w:rPr>
          <w:spacing w:val="-4"/>
          <w:lang w:val="sq-AL"/>
        </w:rPr>
      </w:pPr>
      <w:r w:rsidRPr="007F6F73">
        <w:rPr>
          <w:spacing w:val="-4"/>
          <w:lang w:val="sq-AL"/>
        </w:rPr>
        <w:t>a) të dhënat e identifikimit të fermerit, adresa e banimit, kontakte të personit;</w:t>
      </w:r>
    </w:p>
    <w:p w:rsidR="00EB2B79" w:rsidRPr="007F6F73" w:rsidRDefault="00EB2B79" w:rsidP="00EB2B79">
      <w:pPr>
        <w:pStyle w:val="Paragrafi"/>
        <w:rPr>
          <w:spacing w:val="-4"/>
          <w:lang w:val="sq-AL"/>
        </w:rPr>
      </w:pPr>
      <w:r w:rsidRPr="007F6F73">
        <w:rPr>
          <w:spacing w:val="-4"/>
          <w:lang w:val="sq-AL"/>
        </w:rPr>
        <w:t>b) vendi i ushtrimit të veprimtarisë prodhuese bujqësore. Për të njëjtin vend të veprimtarisë</w:t>
      </w:r>
      <w:r>
        <w:rPr>
          <w:spacing w:val="-4"/>
          <w:lang w:val="sq-AL"/>
        </w:rPr>
        <w:t xml:space="preserve"> </w:t>
      </w:r>
      <w:r w:rsidRPr="007F6F73">
        <w:rPr>
          <w:spacing w:val="-4"/>
          <w:lang w:val="sq-AL"/>
        </w:rPr>
        <w:t>/adresë të ushtrimit të veprimtarisë prodhuese bujqësore, pajiset me NIPT, vetëm një fermer i cili ka në pronësi ose në përdorim dhe ushtron veprimtarinë në këtë vend.”.</w:t>
      </w:r>
    </w:p>
    <w:p w:rsidR="00EB2B79" w:rsidRPr="007F6F73" w:rsidRDefault="00EB2B79" w:rsidP="00EB2B79">
      <w:pPr>
        <w:pStyle w:val="Paragrafi"/>
        <w:rPr>
          <w:spacing w:val="-4"/>
          <w:lang w:val="sq-AL"/>
        </w:rPr>
      </w:pPr>
      <w:r w:rsidRPr="007F6F73">
        <w:rPr>
          <w:spacing w:val="-4"/>
          <w:lang w:val="sq-AL"/>
        </w:rPr>
        <w:t>3. Fjalia e dytë në pikën 3, të nenit 9, “E drejta e zbritjes së TVSH-së së kompensuar” shfuqizohet dhe pas pikës 4 shtohen pikat 5 dhe 6 me përmbajtjen e mëposhtme:</w:t>
      </w:r>
    </w:p>
    <w:p w:rsidR="00EB2B79" w:rsidRPr="007F6F73" w:rsidRDefault="00EB2B79" w:rsidP="00EB2B79">
      <w:pPr>
        <w:pStyle w:val="Paragrafi"/>
        <w:rPr>
          <w:spacing w:val="-4"/>
          <w:lang w:val="sq-AL"/>
        </w:rPr>
      </w:pPr>
      <w:r w:rsidRPr="007F6F73">
        <w:rPr>
          <w:spacing w:val="-4"/>
          <w:lang w:val="sq-AL"/>
        </w:rPr>
        <w:t>“5. Personi i tatueshëm, blerës me qëllim, që të ketë të drejtën e zbritjes së normës së kompensimit të TVSH-së të paraqitur në faturën tatimore të lëshuar sipas këtij neni, për transaksione mbi 30 000 lekë, është i detyruar të kryejë likuidimin e vlerës së faturës nëpërmjet shërbimit të Postës Shqiptare ose nëpërmjet bankës, nëse vlera e transaksionit nuk e kalon shumën prej 150 000 lekësh dhe nëpërmjet likuidimit nga llogaria bankare e tij në llogarinë bankare të fermerit, për transaksione, vlera e të cilit është më e madhe se 150 000 lekë, siç përcaktohet në nenin 59 të ligjit, “Për procedurat tatimore në RSH”.</w:t>
      </w:r>
    </w:p>
    <w:p w:rsidR="00EB2B79" w:rsidRPr="007F6F73" w:rsidRDefault="00EB2B79" w:rsidP="00EB2B79">
      <w:pPr>
        <w:pStyle w:val="Paragrafi"/>
        <w:rPr>
          <w:spacing w:val="-4"/>
          <w:lang w:val="sq-AL"/>
        </w:rPr>
      </w:pPr>
      <w:r w:rsidRPr="007F6F73">
        <w:rPr>
          <w:spacing w:val="-4"/>
          <w:lang w:val="sq-AL"/>
        </w:rPr>
        <w:t>Për transaksione sipas vlerës totale të faturës deri në 30 000 lekë, likuidimi me para në dorë vërtetohet me dokumentet përkatëse të kontabilitetit për dokumentimin e pagesave, duke pasur parasysh kushtin se brenda së njëjtës ditë, me të njëjtin fermer, nuk lejohet të kryhet më shumë se një transaksion deri në këtë vlerë.</w:t>
      </w:r>
    </w:p>
    <w:p w:rsidR="00EB2B79" w:rsidRPr="007F6F73" w:rsidRDefault="00EB2B79" w:rsidP="00EB2B79">
      <w:pPr>
        <w:pStyle w:val="Paragrafi"/>
        <w:rPr>
          <w:spacing w:val="-4"/>
          <w:lang w:val="sq-AL"/>
        </w:rPr>
      </w:pPr>
      <w:r w:rsidRPr="007F6F73">
        <w:rPr>
          <w:spacing w:val="-4"/>
          <w:lang w:val="sq-AL"/>
        </w:rPr>
        <w:t>6. Personi i tatueshëm blerës që eksporton produkteve e blera nga fermerët sipas rregullave të përcaktuara në këtë udhëzim, për qëllime të rimbursimit të TVSH-së u nënshtrohet rregullave të përcaktuara në nenin 10 të vendimit të Këshillit të Ministrave nr. 953, datë 29.12.2014, “Për dispozitat zbatuese të ligjit, “Për tatimin mbi vlerën e shtuar”. Personat e tatueshëm blerës që karakterizohen me risk zero sipas kritereve të vendimit të Këshillit të Ministrave, rimbursohen për TVSH-në, automatikisht, brenda 30 ditëve nga data e paraqitjes së kërkesës.”.</w:t>
      </w:r>
    </w:p>
    <w:p w:rsidR="00EB2B79" w:rsidRPr="007F6F73" w:rsidRDefault="00EB2B79" w:rsidP="00EB2B79">
      <w:pPr>
        <w:pStyle w:val="Paragrafi"/>
        <w:rPr>
          <w:spacing w:val="-4"/>
          <w:lang w:val="sq-AL"/>
        </w:rPr>
      </w:pPr>
      <w:r w:rsidRPr="007F6F73">
        <w:rPr>
          <w:spacing w:val="-4"/>
          <w:lang w:val="sq-AL"/>
        </w:rPr>
        <w:t>4. Në nenin 10, pas pikës 4 shtohen pikat 5, 5.1, 5.2, 5.3, 5.4 me përmbajtjen e mëposhtme:</w:t>
      </w:r>
    </w:p>
    <w:p w:rsidR="00EB2B79" w:rsidRPr="007F6F73" w:rsidRDefault="00EB2B79" w:rsidP="00EB2B79">
      <w:pPr>
        <w:pStyle w:val="Paragrafi"/>
        <w:rPr>
          <w:spacing w:val="-4"/>
          <w:lang w:val="sq-AL"/>
        </w:rPr>
      </w:pPr>
      <w:r w:rsidRPr="007F6F73">
        <w:rPr>
          <w:spacing w:val="-4"/>
          <w:lang w:val="sq-AL"/>
        </w:rPr>
        <w:t>“5. Personi i tatueshëm blerës i produkteve të fermerit, i cili për zbatimin e kësaj skeme ngarkohet të lëshojë faturë tatimore, jo vetëm për shijet që kryen, por edhe faturë në emër të fermerit si blerës i produkteve të tij, lejohet të përdorë faturë tatimore kompjuterike me numër serial unik dhe të papërsëritshëm të printuar nga sistemi i tij i regjistrimeve.</w:t>
      </w:r>
    </w:p>
    <w:p w:rsidR="00EB2B79" w:rsidRPr="007F6F73" w:rsidRDefault="00EB2B79" w:rsidP="00EB2B79">
      <w:pPr>
        <w:pStyle w:val="Paragrafi"/>
        <w:rPr>
          <w:spacing w:val="-4"/>
          <w:lang w:val="sq-AL"/>
        </w:rPr>
      </w:pPr>
      <w:r w:rsidRPr="007F6F73">
        <w:rPr>
          <w:spacing w:val="-4"/>
          <w:lang w:val="sq-AL"/>
        </w:rPr>
        <w:t>5.1 Për këtë qëllim, personi i tatueshëm duhet të paraqesë:</w:t>
      </w:r>
    </w:p>
    <w:p w:rsidR="00EB2B79" w:rsidRPr="007F6F73" w:rsidRDefault="00EB2B79" w:rsidP="00EB2B79">
      <w:pPr>
        <w:pStyle w:val="Paragrafi"/>
        <w:rPr>
          <w:spacing w:val="-4"/>
          <w:lang w:val="sq-AL"/>
        </w:rPr>
      </w:pPr>
      <w:r w:rsidRPr="007F6F73">
        <w:rPr>
          <w:spacing w:val="-4"/>
          <w:lang w:val="sq-AL"/>
        </w:rPr>
        <w:t>a) Një kërkesë me shkrim pranë Drejtorisë Rajonale Tatimore, në të cilën të tregojë se sistemi i tij i regjistrimeve është i kompjuterizuar dhe i aftë të prodhojë fatura tatimore me numër serial unik dhe të papërsëritshëm për çdo transaksion dhe që lëshon një numër të konsiderueshëm faturash;</w:t>
      </w:r>
    </w:p>
    <w:p w:rsidR="00EB2B79" w:rsidRPr="007F6F73" w:rsidRDefault="00EB2B79" w:rsidP="00EB2B79">
      <w:pPr>
        <w:pStyle w:val="Paragrafi"/>
        <w:rPr>
          <w:spacing w:val="-4"/>
          <w:lang w:val="sq-AL"/>
        </w:rPr>
      </w:pPr>
      <w:r w:rsidRPr="007F6F73">
        <w:rPr>
          <w:spacing w:val="-4"/>
          <w:lang w:val="sq-AL"/>
        </w:rPr>
        <w:t xml:space="preserve">b) Modelin e faturës kompjuterike që kërkon të përdorë, model i cili duhet të përmbajë të gjitha të </w:t>
      </w:r>
      <w:r w:rsidRPr="007F6F73">
        <w:rPr>
          <w:spacing w:val="-4"/>
          <w:lang w:val="sq-AL"/>
        </w:rPr>
        <w:lastRenderedPageBreak/>
        <w:t>dhënat në përputhje me pikën 1 dhe 2 të këtij neni.</w:t>
      </w:r>
    </w:p>
    <w:p w:rsidR="00EB2B79" w:rsidRPr="007F6F73" w:rsidRDefault="00EB2B79" w:rsidP="00EB2B79">
      <w:pPr>
        <w:pStyle w:val="Paragrafi"/>
        <w:rPr>
          <w:spacing w:val="-4"/>
          <w:lang w:val="sq-AL"/>
        </w:rPr>
      </w:pPr>
      <w:r w:rsidRPr="007F6F73">
        <w:rPr>
          <w:spacing w:val="-4"/>
          <w:lang w:val="sq-AL"/>
        </w:rPr>
        <w:t>Drejtoria Rajonale Tatimore, sigurohet që fatura tatimore kompjuterike përmban të gjitha të dhënat e nevojshme dhe brenda 7 ditëve, një kopje të kërkesës, modelin e faturës tatimore kompjuterike dhe opinionin e saj e dërgon në Drejtorinë e Për</w:t>
      </w:r>
      <w:r>
        <w:rPr>
          <w:spacing w:val="-4"/>
          <w:lang w:val="sq-AL"/>
        </w:rPr>
        <w:t>-</w:t>
      </w:r>
      <w:r w:rsidRPr="007F6F73">
        <w:rPr>
          <w:spacing w:val="-4"/>
          <w:lang w:val="sq-AL"/>
        </w:rPr>
        <w:t>gjithshme të Tatimeve.</w:t>
      </w:r>
    </w:p>
    <w:p w:rsidR="00EB2B79" w:rsidRPr="007F6F73" w:rsidRDefault="00EB2B79" w:rsidP="00EB2B79">
      <w:pPr>
        <w:pStyle w:val="Paragrafi"/>
        <w:rPr>
          <w:spacing w:val="-4"/>
          <w:lang w:val="sq-AL"/>
        </w:rPr>
      </w:pPr>
      <w:r w:rsidRPr="007F6F73">
        <w:rPr>
          <w:spacing w:val="-4"/>
          <w:lang w:val="sq-AL"/>
        </w:rPr>
        <w:t>5.2 Drejtori i Përgjithshëm i Tatimeve, brenda 7 ditësh miraton përdorimin e faturës tatimore kompjuterike, sipas modelit të kërkuar dhe njofton personin e tatueshëm dhe drejtorinë rajonale tatimore, e cila i dorëzon personit të tatueshëm zyrtarisht diapazonin e numrave serialë që duhet të përmbajë çdo faturë. Çdo faturë e lëshuar sipas modelit të miratuar përmban detyrimisht shënimin, “Përdorimi i kësaj fature është miratuar nga Drejtori i Përgjithshëm i Tatimeve me shkresën nr. ..., datë...”.</w:t>
      </w:r>
    </w:p>
    <w:p w:rsidR="00EB2B79" w:rsidRPr="007F6F73" w:rsidRDefault="00EB2B79" w:rsidP="00D43F5C">
      <w:pPr>
        <w:pStyle w:val="Paragrafi"/>
        <w:rPr>
          <w:spacing w:val="-4"/>
          <w:lang w:val="sq-AL"/>
        </w:rPr>
      </w:pPr>
      <w:bookmarkStart w:id="0" w:name="_GoBack"/>
      <w:bookmarkEnd w:id="0"/>
      <w:r w:rsidRPr="007F6F73">
        <w:rPr>
          <w:spacing w:val="-4"/>
          <w:lang w:val="sq-AL"/>
        </w:rPr>
        <w:t>5.3 E drejta për të përdorur modelin e miratuar të faturës tatimore kompjuterike për personin e tatueshëm fillon pasi është pajisur me diapazonin e numrave serialë që duhet të përmbajë çdo faturë. Numri serial është unik dhe i papërsëritshëm për çdo faturë të lëshuar.</w:t>
      </w:r>
    </w:p>
    <w:p w:rsidR="00EB2B79" w:rsidRPr="007F6F73" w:rsidRDefault="00EB2B79" w:rsidP="00EB2B79">
      <w:pPr>
        <w:pStyle w:val="Paragrafi"/>
        <w:rPr>
          <w:spacing w:val="-4"/>
          <w:lang w:val="sq-AL"/>
        </w:rPr>
      </w:pPr>
      <w:r w:rsidRPr="007F6F73">
        <w:rPr>
          <w:spacing w:val="-4"/>
          <w:lang w:val="sq-AL"/>
        </w:rPr>
        <w:t>5.4 Për çdo ndryshim në modelin, përmbajtjen, formatin e faturës kompjuterike për të cilën është miratuar e drejta e përdorimit, personi i tatueshëm duhet të kërkojë miratim të modelit të ndryshuar të faturës tatimore.”.</w:t>
      </w:r>
    </w:p>
    <w:p w:rsidR="00EB2B79" w:rsidRPr="007F6F73" w:rsidRDefault="00EB2B79" w:rsidP="00EB2B79">
      <w:pPr>
        <w:pStyle w:val="Paragrafi"/>
        <w:rPr>
          <w:spacing w:val="-4"/>
          <w:lang w:val="sq-AL"/>
        </w:rPr>
      </w:pPr>
      <w:r w:rsidRPr="007F6F73">
        <w:rPr>
          <w:spacing w:val="-4"/>
          <w:lang w:val="sq-AL"/>
        </w:rPr>
        <w:t>Ky udhëzim hyn në fuqi pas botimit në Fletoren Zyrtare.</w:t>
      </w:r>
    </w:p>
    <w:p w:rsidR="00EB2B79" w:rsidRPr="007F6F73" w:rsidRDefault="00EB2B79" w:rsidP="00EB2B79">
      <w:pPr>
        <w:pStyle w:val="Paragrafi"/>
        <w:rPr>
          <w:spacing w:val="-4"/>
          <w:sz w:val="14"/>
          <w:lang w:val="sq-AL"/>
        </w:rPr>
      </w:pPr>
    </w:p>
    <w:p w:rsidR="00EB2B79" w:rsidRPr="007F6F73" w:rsidRDefault="00EB2B79" w:rsidP="00EB2B79">
      <w:pPr>
        <w:pStyle w:val="Paragrafi"/>
        <w:jc w:val="right"/>
        <w:rPr>
          <w:spacing w:val="-4"/>
          <w:lang w:val="sq-AL"/>
        </w:rPr>
      </w:pPr>
      <w:r w:rsidRPr="007F6F73">
        <w:rPr>
          <w:spacing w:val="-4"/>
          <w:lang w:val="sq-AL"/>
        </w:rPr>
        <w:t>MINISTRI I FINANCAVE</w:t>
      </w:r>
    </w:p>
    <w:p w:rsidR="00EB2B79" w:rsidRPr="007F6F73" w:rsidRDefault="00EB2B79" w:rsidP="00EB2B79">
      <w:pPr>
        <w:pStyle w:val="Paragrafi"/>
        <w:jc w:val="right"/>
        <w:rPr>
          <w:b/>
          <w:spacing w:val="-4"/>
          <w:lang w:val="sq-AL"/>
        </w:rPr>
      </w:pPr>
      <w:r w:rsidRPr="007F6F73">
        <w:rPr>
          <w:b/>
          <w:spacing w:val="-4"/>
          <w:lang w:val="sq-AL"/>
        </w:rPr>
        <w:t>Arben Ahmetaj</w:t>
      </w:r>
    </w:p>
    <w:p w:rsidR="00DA40D4" w:rsidRDefault="00DA40D4"/>
    <w:sectPr w:rsidR="00DA40D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79"/>
    <w:rsid w:val="00D43F5C"/>
    <w:rsid w:val="00DA40D4"/>
    <w:rsid w:val="00EB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B2B7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B2B7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B2B7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B2B7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B2B79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B2B7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B2B7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B2B7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B2B7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B2B79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2016-05-05T11:35:00Z</dcterms:created>
  <dcterms:modified xsi:type="dcterms:W3CDTF">2018-01-18T09:16:00Z</dcterms:modified>
</cp:coreProperties>
</file>