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678" w:rsidRPr="003E1FCC" w:rsidRDefault="00A47678" w:rsidP="00A47678">
      <w:pPr>
        <w:pStyle w:val="Akti"/>
        <w:rPr>
          <w:spacing w:val="-4"/>
          <w:lang w:val="sq-AL"/>
        </w:rPr>
      </w:pPr>
      <w:r w:rsidRPr="003E1FCC">
        <w:rPr>
          <w:spacing w:val="-4"/>
          <w:lang w:val="sq-AL"/>
        </w:rPr>
        <w:t>UDHËZIM</w:t>
      </w:r>
    </w:p>
    <w:p w:rsidR="00A47678" w:rsidRPr="003E1FCC" w:rsidRDefault="00A47678" w:rsidP="00A47678">
      <w:pPr>
        <w:pStyle w:val="NumriData"/>
        <w:rPr>
          <w:spacing w:val="-4"/>
          <w:lang w:val="sq-AL"/>
        </w:rPr>
      </w:pPr>
      <w:r w:rsidRPr="003E1FCC">
        <w:rPr>
          <w:spacing w:val="-4"/>
          <w:lang w:val="sq-AL"/>
        </w:rPr>
        <w:t>Nr. 1, datë 9.1.2017</w:t>
      </w:r>
    </w:p>
    <w:p w:rsidR="00A47678" w:rsidRPr="003E1FCC" w:rsidRDefault="00A47678" w:rsidP="00A47678">
      <w:pPr>
        <w:pStyle w:val="Hapesira7"/>
        <w:rPr>
          <w:spacing w:val="-4"/>
          <w:lang w:val="sq-AL"/>
        </w:rPr>
      </w:pPr>
    </w:p>
    <w:p w:rsidR="00A47678" w:rsidRPr="003E1FCC" w:rsidRDefault="00A47678" w:rsidP="00A47678">
      <w:pPr>
        <w:pStyle w:val="NeniNr"/>
        <w:rPr>
          <w:b/>
          <w:spacing w:val="-4"/>
          <w:lang w:val="sq-AL"/>
        </w:rPr>
      </w:pPr>
      <w:r w:rsidRPr="003E1FCC">
        <w:rPr>
          <w:b/>
          <w:spacing w:val="-4"/>
          <w:lang w:val="sq-AL"/>
        </w:rPr>
        <w:t>PËR PËRCAKTIMIN E PROCEDURAVE TË ZHDOGANIMIT TË PAJISJEVE PËR LOJËRA FATI DHE PJESËVE TË KËMBIMIT TË TYRE, SI DHE MËNYRËN E BASHKËPUNIMIT NDËRMJET AUTORITETIT TË MBIKËQYRJES SË LOJËRAVE TË FATIT DHE DREJTORISË SË PËRGJITHSHME TË DOGANAVE</w:t>
      </w:r>
    </w:p>
    <w:p w:rsidR="00A47678" w:rsidRPr="003E1FCC" w:rsidRDefault="00A47678" w:rsidP="00A47678">
      <w:pPr>
        <w:pStyle w:val="Hapesira7"/>
        <w:rPr>
          <w:spacing w:val="-4"/>
          <w:lang w:val="sq-AL"/>
        </w:rPr>
      </w:pPr>
    </w:p>
    <w:p w:rsidR="00A47678" w:rsidRPr="003E1FCC" w:rsidRDefault="00A47678" w:rsidP="00A47678">
      <w:pPr>
        <w:pStyle w:val="Paragrafi"/>
        <w:rPr>
          <w:spacing w:val="-4"/>
          <w:lang w:val="sq-AL"/>
        </w:rPr>
      </w:pPr>
      <w:r w:rsidRPr="003E1FCC">
        <w:rPr>
          <w:spacing w:val="-4"/>
          <w:lang w:val="sq-AL"/>
        </w:rPr>
        <w:t>Në mbështetje të pikës 4, të nenit 102, të Kushtetutës së Republikës së Shqipërisë, në zbatim të pikës 5, të nenit 58 dhe pikës 14, të nenit 70, të ligjit nr. 155/2015, datë 21.12.2015, “Për lojërat e fatit në Republikën e Shqipërisë”, ministri i Financave</w:t>
      </w:r>
    </w:p>
    <w:p w:rsidR="00A47678" w:rsidRPr="003E1FCC" w:rsidRDefault="00A47678" w:rsidP="00A47678">
      <w:pPr>
        <w:pStyle w:val="NeniNr"/>
        <w:rPr>
          <w:spacing w:val="-4"/>
          <w:lang w:val="sq-AL"/>
        </w:rPr>
      </w:pPr>
      <w:r w:rsidRPr="003E1FCC">
        <w:rPr>
          <w:spacing w:val="-4"/>
          <w:lang w:val="sq-AL"/>
        </w:rPr>
        <w:t>UDHËZON:</w:t>
      </w:r>
    </w:p>
    <w:p w:rsidR="00A47678" w:rsidRPr="003E1FCC" w:rsidRDefault="00A47678" w:rsidP="00A47678">
      <w:pPr>
        <w:pStyle w:val="Hapesira7"/>
        <w:rPr>
          <w:spacing w:val="-4"/>
          <w:lang w:val="sq-AL"/>
        </w:rPr>
      </w:pPr>
    </w:p>
    <w:p w:rsidR="00A47678" w:rsidRPr="003E1FCC" w:rsidRDefault="00A47678" w:rsidP="00A47678">
      <w:pPr>
        <w:pStyle w:val="NeniNr"/>
        <w:rPr>
          <w:spacing w:val="-4"/>
          <w:lang w:val="sq-AL"/>
        </w:rPr>
      </w:pPr>
      <w:r w:rsidRPr="003E1FCC">
        <w:rPr>
          <w:spacing w:val="-4"/>
          <w:lang w:val="sq-AL"/>
        </w:rPr>
        <w:t>KREU I</w:t>
      </w:r>
    </w:p>
    <w:p w:rsidR="00A47678" w:rsidRPr="003E1FCC" w:rsidRDefault="00A47678" w:rsidP="00A47678">
      <w:pPr>
        <w:pStyle w:val="NeniNr"/>
        <w:rPr>
          <w:spacing w:val="-4"/>
          <w:lang w:val="sq-AL"/>
        </w:rPr>
      </w:pPr>
      <w:r w:rsidRPr="003E1FCC">
        <w:rPr>
          <w:spacing w:val="-4"/>
          <w:lang w:val="sq-AL"/>
        </w:rPr>
        <w:t>DISPOZITA TË PËRGJITHSHME</w:t>
      </w:r>
    </w:p>
    <w:p w:rsidR="00A47678" w:rsidRPr="003E1FCC" w:rsidRDefault="00A47678" w:rsidP="00A47678">
      <w:pPr>
        <w:pStyle w:val="Hapesira7"/>
        <w:rPr>
          <w:spacing w:val="-4"/>
          <w:lang w:val="sq-AL"/>
        </w:rPr>
      </w:pPr>
    </w:p>
    <w:p w:rsidR="00A47678" w:rsidRPr="003E1FCC" w:rsidRDefault="00A47678" w:rsidP="00A47678">
      <w:pPr>
        <w:pStyle w:val="Paragrafi"/>
        <w:rPr>
          <w:spacing w:val="-4"/>
          <w:lang w:val="sq-AL"/>
        </w:rPr>
      </w:pPr>
      <w:r w:rsidRPr="003E1FCC">
        <w:rPr>
          <w:spacing w:val="-4"/>
          <w:lang w:val="sq-AL"/>
        </w:rPr>
        <w:t xml:space="preserve">1. Të gjitha mjetet e lojërave të fatit, të cilat do të përdoren për zhvillim aktiviteti në territorin e Republikës së Shqipërisë, duhet të plotësojnë detyrimisht specifikimet teknike të parashikuara në ligjin nr. 155/2015, “Për lojërat e fatit në Republikën e Shqipërisë” (këtu e mëposhtë referuar “ligji”) dhe në aktet nënligjore të dala në zbatim të tij. </w:t>
      </w:r>
    </w:p>
    <w:p w:rsidR="00A47678" w:rsidRPr="003E1FCC" w:rsidRDefault="00A47678" w:rsidP="00A47678">
      <w:pPr>
        <w:pStyle w:val="Paragrafi"/>
        <w:rPr>
          <w:spacing w:val="-4"/>
          <w:lang w:val="sq-AL"/>
        </w:rPr>
      </w:pPr>
      <w:r w:rsidRPr="003E1FCC">
        <w:rPr>
          <w:spacing w:val="-4"/>
          <w:lang w:val="sq-AL"/>
        </w:rPr>
        <w:t>2. Për qëllime të këtij udhëzimi me mjete të lojërave të fatit nënkuptohen të gjitha pajisjet për lojëra fati, si dhe të gjitha pjesët e këmbimit elektronike, elektrike apo mekanike, që shërbejnë apo mund të shërbejnë për riparimin ose zëvendësimin e pjesëve ekzistuese.</w:t>
      </w:r>
    </w:p>
    <w:p w:rsidR="00A47678" w:rsidRPr="003E1FCC" w:rsidRDefault="00A47678" w:rsidP="00A47678">
      <w:pPr>
        <w:pStyle w:val="Hapesira7"/>
        <w:rPr>
          <w:spacing w:val="-4"/>
          <w:lang w:val="sq-AL"/>
        </w:rPr>
      </w:pPr>
    </w:p>
    <w:p w:rsidR="00A47678" w:rsidRPr="003E1FCC" w:rsidRDefault="00A47678" w:rsidP="00A47678">
      <w:pPr>
        <w:pStyle w:val="Titull-Titull"/>
        <w:rPr>
          <w:spacing w:val="-4"/>
          <w:lang w:val="sq-AL"/>
        </w:rPr>
      </w:pPr>
      <w:r w:rsidRPr="003E1FCC">
        <w:rPr>
          <w:spacing w:val="-4"/>
          <w:lang w:val="sq-AL"/>
        </w:rPr>
        <w:t>Kreu II</w:t>
      </w:r>
    </w:p>
    <w:p w:rsidR="00A47678" w:rsidRPr="003E1FCC" w:rsidRDefault="00A47678" w:rsidP="00A47678">
      <w:pPr>
        <w:pStyle w:val="Titull-Titull"/>
        <w:rPr>
          <w:spacing w:val="-4"/>
          <w:lang w:val="sq-AL"/>
        </w:rPr>
      </w:pPr>
      <w:r w:rsidRPr="003E1FCC">
        <w:rPr>
          <w:spacing w:val="-4"/>
          <w:lang w:val="sq-AL"/>
        </w:rPr>
        <w:t>Importi i Mjeteve të Lojërave të fatit për qëllime tregtare</w:t>
      </w:r>
    </w:p>
    <w:p w:rsidR="00A47678" w:rsidRPr="003E1FCC" w:rsidRDefault="00A47678" w:rsidP="00A47678">
      <w:pPr>
        <w:pStyle w:val="Hapesira7"/>
        <w:rPr>
          <w:spacing w:val="-4"/>
          <w:lang w:val="sq-AL"/>
        </w:rPr>
      </w:pPr>
    </w:p>
    <w:p w:rsidR="00A47678" w:rsidRPr="003E1FCC" w:rsidRDefault="00A47678" w:rsidP="00A47678">
      <w:pPr>
        <w:pStyle w:val="Paragrafi"/>
        <w:rPr>
          <w:spacing w:val="-4"/>
          <w:lang w:val="sq-AL"/>
        </w:rPr>
      </w:pPr>
      <w:r w:rsidRPr="003E1FCC">
        <w:rPr>
          <w:spacing w:val="-4"/>
          <w:lang w:val="sq-AL"/>
        </w:rPr>
        <w:t xml:space="preserve">1. Lejohen të importojnë mjete për lojëra fati, për qëllime tregtare, vetëm ata organizatorë, të cilët kanë marrë miratimin për dhënien e lejes për ushtrimin e veprimtarisë në fushën e lojërave të fatit nga organi përkatës, në përputhje me kërkesat e ligjit. </w:t>
      </w:r>
    </w:p>
    <w:p w:rsidR="00A47678" w:rsidRPr="003E1FCC" w:rsidRDefault="00A47678" w:rsidP="00A47678">
      <w:pPr>
        <w:pStyle w:val="Paragrafi"/>
        <w:rPr>
          <w:spacing w:val="-4"/>
          <w:lang w:val="sq-AL"/>
        </w:rPr>
      </w:pPr>
      <w:r w:rsidRPr="003E1FCC">
        <w:rPr>
          <w:spacing w:val="-4"/>
          <w:lang w:val="sq-AL"/>
        </w:rPr>
        <w:t>2. Organizatorët, që kanë marrë miratimin për dhënien e lejes për ushtrimin e veprimtarisë në fushën e lojërave të fatit nga Autoriteti i Mbikëqyrjes së Lojërave të Fatit (këtu e më poshtë referuar si “AMLF”), në momentin e importimit të mjeteve të lojërave të fatit për qëllime tregtare, përveç dokumentacionit për procedurën e çlirimit për qarkullim të lirë të mjeteve të lojërave të fatit, duhet të paraqesin pranë degëve doganore:</w:t>
      </w:r>
    </w:p>
    <w:p w:rsidR="00A47678" w:rsidRPr="003E1FCC" w:rsidRDefault="00A47678" w:rsidP="00A47678">
      <w:pPr>
        <w:pStyle w:val="Paragrafi"/>
        <w:rPr>
          <w:spacing w:val="-4"/>
          <w:lang w:val="sq-AL"/>
        </w:rPr>
      </w:pPr>
      <w:r w:rsidRPr="003E1FCC">
        <w:rPr>
          <w:spacing w:val="-4"/>
          <w:lang w:val="sq-AL"/>
        </w:rPr>
        <w:t xml:space="preserve">a) miratimin paraprak lëshuar nga AMLF-ja për lejimin e importimit të mjeteve të lojërave të fatit rast pas rasti, ku përfshihet informacioni i mëposhtëm: </w:t>
      </w:r>
    </w:p>
    <w:p w:rsidR="00A47678" w:rsidRPr="003E1FCC" w:rsidRDefault="00A47678" w:rsidP="00A47678">
      <w:pPr>
        <w:pStyle w:val="Paragrafi"/>
        <w:rPr>
          <w:spacing w:val="-4"/>
          <w:lang w:val="sq-AL"/>
        </w:rPr>
      </w:pPr>
      <w:r w:rsidRPr="003E1FCC">
        <w:rPr>
          <w:spacing w:val="-4"/>
          <w:lang w:val="sq-AL"/>
        </w:rPr>
        <w:t xml:space="preserve">i) emri i subjektit; </w:t>
      </w:r>
    </w:p>
    <w:p w:rsidR="00A47678" w:rsidRPr="003E1FCC" w:rsidRDefault="00A47678" w:rsidP="00A47678">
      <w:pPr>
        <w:pStyle w:val="Paragrafi"/>
        <w:rPr>
          <w:spacing w:val="-4"/>
          <w:lang w:val="sq-AL"/>
        </w:rPr>
      </w:pPr>
      <w:r w:rsidRPr="003E1FCC">
        <w:rPr>
          <w:spacing w:val="-4"/>
          <w:lang w:val="sq-AL"/>
        </w:rPr>
        <w:t>ii) numri i licencës së ushtrimit të veprimtarisë në fushën e lojërave të fatit;</w:t>
      </w:r>
    </w:p>
    <w:p w:rsidR="00A47678" w:rsidRPr="003E1FCC" w:rsidRDefault="00A47678" w:rsidP="00A47678">
      <w:pPr>
        <w:pStyle w:val="Paragrafi"/>
        <w:rPr>
          <w:spacing w:val="-4"/>
          <w:lang w:val="sq-AL"/>
        </w:rPr>
      </w:pPr>
      <w:r w:rsidRPr="003E1FCC">
        <w:rPr>
          <w:spacing w:val="-4"/>
          <w:lang w:val="sq-AL"/>
        </w:rPr>
        <w:t>iii) numrin unik të identifikimit të subjektit;</w:t>
      </w:r>
    </w:p>
    <w:p w:rsidR="00A47678" w:rsidRPr="003E1FCC" w:rsidRDefault="00A47678" w:rsidP="00A47678">
      <w:pPr>
        <w:pStyle w:val="Paragrafi"/>
        <w:rPr>
          <w:spacing w:val="-4"/>
          <w:lang w:val="sq-AL"/>
        </w:rPr>
      </w:pPr>
      <w:r w:rsidRPr="003E1FCC">
        <w:rPr>
          <w:spacing w:val="-4"/>
          <w:lang w:val="sq-AL"/>
        </w:rPr>
        <w:t xml:space="preserve">iv) listën e mjeteve të lojërave të fatit me kodet tarifore, përshkrimin dhe sasinë. </w:t>
      </w:r>
    </w:p>
    <w:p w:rsidR="00A47678" w:rsidRPr="003E1FCC" w:rsidRDefault="00A47678" w:rsidP="00A47678">
      <w:pPr>
        <w:pStyle w:val="Paragrafi"/>
        <w:rPr>
          <w:spacing w:val="-4"/>
          <w:lang w:val="sq-AL"/>
        </w:rPr>
      </w:pPr>
      <w:r w:rsidRPr="003E1FCC">
        <w:rPr>
          <w:spacing w:val="-4"/>
          <w:lang w:val="sq-AL"/>
        </w:rPr>
        <w:t>3. AMLF-ja i dërgon Drejtorisë së Përgjithshme të Doganave (këtu e mëposhtë referuar si “DPD”) listën e subjekteve të pajisura me autorizim për lejim të importimit dhe rast pas rasti njofton këtë drejtori për ndryshime apo shtesa të mundshme në këtë listë.</w:t>
      </w:r>
    </w:p>
    <w:p w:rsidR="00A47678" w:rsidRPr="003E1FCC" w:rsidRDefault="00A47678" w:rsidP="00A47678">
      <w:pPr>
        <w:pStyle w:val="Paragrafi"/>
        <w:rPr>
          <w:spacing w:val="-4"/>
          <w:lang w:val="sq-AL"/>
        </w:rPr>
      </w:pPr>
      <w:r w:rsidRPr="003E1FCC">
        <w:rPr>
          <w:spacing w:val="-4"/>
          <w:lang w:val="sq-AL"/>
        </w:rPr>
        <w:t>4. AMLF-ja njofton DPD-në, në mënyrë periodike mbi statusin e licencave të subjekteve që ushtrojnë aktivitet në fushën e lojërave të fatit, kur këto subjekte janë pezulluar apo kur aktiviteti i subjektit është bllokuar për shkaqet e përcaktuara në ligjin nr. 155/2015, “Për lojërat e fatit në Republikën e Shqipërisë”.</w:t>
      </w:r>
    </w:p>
    <w:p w:rsidR="00A47678" w:rsidRPr="003E1FCC" w:rsidRDefault="00A47678" w:rsidP="00A47678">
      <w:pPr>
        <w:pStyle w:val="Paragrafi"/>
        <w:rPr>
          <w:spacing w:val="-4"/>
          <w:lang w:val="sq-AL"/>
        </w:rPr>
      </w:pPr>
      <w:r w:rsidRPr="003E1FCC">
        <w:rPr>
          <w:spacing w:val="-4"/>
          <w:lang w:val="sq-AL"/>
        </w:rPr>
        <w:t xml:space="preserve">5. Drejtoria e Përgjithshme e Doganave raporton periodikisht pranë AMLF-së për importet e mjeteve të lojërave të fatit të kryera nga subjektet për të cilat AMFL-ja ka lëshuar miratimin paraprak për importin. </w:t>
      </w:r>
    </w:p>
    <w:p w:rsidR="00A47678" w:rsidRPr="003E1FCC" w:rsidRDefault="00A47678" w:rsidP="00A47678">
      <w:pPr>
        <w:pStyle w:val="Hapesira7"/>
        <w:rPr>
          <w:spacing w:val="-4"/>
          <w:lang w:val="sq-AL"/>
        </w:rPr>
      </w:pPr>
    </w:p>
    <w:p w:rsidR="00A47678" w:rsidRPr="003E1FCC" w:rsidRDefault="00A47678" w:rsidP="00A47678">
      <w:pPr>
        <w:pStyle w:val="Titull-Titull"/>
        <w:rPr>
          <w:spacing w:val="-4"/>
          <w:lang w:val="sq-AL"/>
        </w:rPr>
      </w:pPr>
      <w:r w:rsidRPr="003E1FCC">
        <w:rPr>
          <w:spacing w:val="-4"/>
          <w:lang w:val="sq-AL"/>
        </w:rPr>
        <w:lastRenderedPageBreak/>
        <w:t>Kreu III</w:t>
      </w:r>
    </w:p>
    <w:p w:rsidR="00A47678" w:rsidRPr="003E1FCC" w:rsidRDefault="00A47678" w:rsidP="00A47678">
      <w:pPr>
        <w:pStyle w:val="Titull-Titull"/>
        <w:rPr>
          <w:spacing w:val="-4"/>
          <w:lang w:val="sq-AL"/>
        </w:rPr>
      </w:pPr>
      <w:r w:rsidRPr="003E1FCC">
        <w:rPr>
          <w:spacing w:val="-4"/>
          <w:lang w:val="sq-AL"/>
        </w:rPr>
        <w:t>Importi i Mjeteve të Lojërave të fatit për qëllime jotregtare</w:t>
      </w:r>
    </w:p>
    <w:p w:rsidR="00A47678" w:rsidRPr="003E1FCC" w:rsidRDefault="00A47678" w:rsidP="00A47678">
      <w:pPr>
        <w:pStyle w:val="Hapesira7"/>
        <w:rPr>
          <w:spacing w:val="-4"/>
          <w:lang w:val="sq-AL"/>
        </w:rPr>
      </w:pPr>
    </w:p>
    <w:p w:rsidR="00A47678" w:rsidRPr="003E1FCC" w:rsidRDefault="00A47678" w:rsidP="00A47678">
      <w:pPr>
        <w:pStyle w:val="Paragrafi"/>
        <w:rPr>
          <w:spacing w:val="-4"/>
          <w:lang w:val="sq-AL"/>
        </w:rPr>
      </w:pPr>
      <w:r w:rsidRPr="003E1FCC">
        <w:rPr>
          <w:spacing w:val="-4"/>
          <w:lang w:val="sq-AL"/>
        </w:rPr>
        <w:t xml:space="preserve">1. Lejohet importimi i mjeteve për lojëra fati me qëllime të ndryshme nga ato tregtare (si p.sh. për qëllime muzeale, ekspozimi, panairesh etj.), vetëm pas marrjes së miratimit paraprak nga AMLF-ja. </w:t>
      </w:r>
    </w:p>
    <w:p w:rsidR="00A47678" w:rsidRPr="003E1FCC" w:rsidRDefault="00A47678" w:rsidP="00A47678">
      <w:pPr>
        <w:pStyle w:val="Paragrafi"/>
        <w:rPr>
          <w:spacing w:val="-4"/>
          <w:lang w:val="sq-AL"/>
        </w:rPr>
      </w:pPr>
      <w:r w:rsidRPr="003E1FCC">
        <w:rPr>
          <w:spacing w:val="-4"/>
          <w:lang w:val="sq-AL"/>
        </w:rPr>
        <w:t xml:space="preserve">2. Për pajisjen me miratimin paraprak për lejimin e importimit të pajisjeve për lojëra fati për qëllime të ndryshme nga ato tregtare, subjekti duhet të paraqesë pranë AMLF-së: </w:t>
      </w:r>
    </w:p>
    <w:p w:rsidR="00A47678" w:rsidRPr="003E1FCC" w:rsidRDefault="00A47678" w:rsidP="00A47678">
      <w:pPr>
        <w:pStyle w:val="Paragrafi"/>
        <w:rPr>
          <w:spacing w:val="-4"/>
          <w:lang w:val="sq-AL"/>
        </w:rPr>
      </w:pPr>
      <w:r w:rsidRPr="003E1FCC">
        <w:rPr>
          <w:spacing w:val="-4"/>
          <w:lang w:val="sq-AL"/>
        </w:rPr>
        <w:t>a) kërkesën me shkrim;</w:t>
      </w:r>
    </w:p>
    <w:p w:rsidR="00A47678" w:rsidRPr="003E1FCC" w:rsidRDefault="00A47678" w:rsidP="00A47678">
      <w:pPr>
        <w:pStyle w:val="Paragrafi"/>
        <w:rPr>
          <w:spacing w:val="-4"/>
          <w:lang w:val="sq-AL"/>
        </w:rPr>
      </w:pPr>
      <w:r w:rsidRPr="003E1FCC">
        <w:rPr>
          <w:spacing w:val="-4"/>
          <w:lang w:val="sq-AL"/>
        </w:rPr>
        <w:t>b) kopje të noterizuar të certifikatës së regjistrimit të lëshuar nga Qendra Kombëtare e Biznesit (NUIS);</w:t>
      </w:r>
    </w:p>
    <w:p w:rsidR="00A47678" w:rsidRPr="003E1FCC" w:rsidRDefault="00A47678" w:rsidP="00A47678">
      <w:pPr>
        <w:pStyle w:val="Paragrafi"/>
        <w:rPr>
          <w:spacing w:val="-4"/>
          <w:lang w:val="sq-AL"/>
        </w:rPr>
      </w:pPr>
      <w:r w:rsidRPr="003E1FCC">
        <w:rPr>
          <w:spacing w:val="-4"/>
          <w:lang w:val="sq-AL"/>
        </w:rPr>
        <w:t>c) të dhëna për numrin, llojin/tipin, sasinë e makinerive e të pajisjeve që do të importohen dhe qëllimin e përdorimit të mjeteve të lojërave të fatit;</w:t>
      </w:r>
    </w:p>
    <w:p w:rsidR="00A47678" w:rsidRPr="003E1FCC" w:rsidRDefault="00A47678" w:rsidP="00A47678">
      <w:pPr>
        <w:pStyle w:val="Paragrafi"/>
        <w:rPr>
          <w:spacing w:val="-4"/>
          <w:lang w:val="sq-AL"/>
        </w:rPr>
      </w:pPr>
      <w:r w:rsidRPr="003E1FCC">
        <w:rPr>
          <w:spacing w:val="-4"/>
          <w:lang w:val="sq-AL"/>
        </w:rPr>
        <w:t>ç) dokumentacionin përkatës që shoqërojnë mjetet që shërbejnë për lojëra fati, që vërtetojnë plotësimin e specifikimeve teknike të përcaktuara në aktet ligjore apo nënligjore në fuqi.</w:t>
      </w:r>
    </w:p>
    <w:p w:rsidR="00A47678" w:rsidRPr="003E1FCC" w:rsidRDefault="00A47678" w:rsidP="00A47678">
      <w:pPr>
        <w:pStyle w:val="Paragrafi"/>
        <w:rPr>
          <w:spacing w:val="-4"/>
          <w:lang w:val="sq-AL"/>
        </w:rPr>
      </w:pPr>
      <w:r w:rsidRPr="003E1FCC">
        <w:rPr>
          <w:spacing w:val="-4"/>
          <w:lang w:val="sq-AL"/>
        </w:rPr>
        <w:t>3. Importuesit, të cilët kanë marrë miratimin paraprak nga AMLF-ja, në momentin e importimit të mjeteve të lojërave të fatit për qëllime të ndryshme nga ato tregtare (si p.sh., për qëllime muzeale, ekspozimi, panairesh etj.), përveç dokumentacionit për procedurën e çlirimit për qarkullim e lirë të mjeteve të lojërave të fatit, duhet të paraqesin pranë degëve doganore:</w:t>
      </w:r>
    </w:p>
    <w:p w:rsidR="00A47678" w:rsidRPr="003E1FCC" w:rsidRDefault="00A47678" w:rsidP="00A47678">
      <w:pPr>
        <w:pStyle w:val="Paragrafi"/>
        <w:rPr>
          <w:spacing w:val="-4"/>
          <w:lang w:val="sq-AL"/>
        </w:rPr>
      </w:pPr>
      <w:r w:rsidRPr="003E1FCC">
        <w:rPr>
          <w:spacing w:val="-4"/>
          <w:lang w:val="sq-AL"/>
        </w:rPr>
        <w:t xml:space="preserve">a. miratimin paraprak lëshuar nga AMLF-ja për lejimin e importimit të mjeteve të lojërave të fatit rast pas rasti, ku përfshihet informacioni i mëposhtëm: </w:t>
      </w:r>
    </w:p>
    <w:p w:rsidR="00A47678" w:rsidRPr="003E1FCC" w:rsidRDefault="00A47678" w:rsidP="00A47678">
      <w:pPr>
        <w:pStyle w:val="Paragrafi"/>
        <w:rPr>
          <w:spacing w:val="-4"/>
          <w:lang w:val="sq-AL"/>
        </w:rPr>
      </w:pPr>
      <w:r w:rsidRPr="003E1FCC">
        <w:rPr>
          <w:spacing w:val="-4"/>
          <w:lang w:val="sq-AL"/>
        </w:rPr>
        <w:t xml:space="preserve">i) emri i subjektit; </w:t>
      </w:r>
    </w:p>
    <w:p w:rsidR="00A47678" w:rsidRPr="003E1FCC" w:rsidRDefault="00A47678" w:rsidP="00A47678">
      <w:pPr>
        <w:pStyle w:val="Paragrafi"/>
        <w:rPr>
          <w:spacing w:val="-4"/>
          <w:lang w:val="sq-AL"/>
        </w:rPr>
      </w:pPr>
      <w:r w:rsidRPr="003E1FCC">
        <w:rPr>
          <w:spacing w:val="-4"/>
          <w:lang w:val="sq-AL"/>
        </w:rPr>
        <w:t>ii) numrin unik të identifikimit të subjektit;</w:t>
      </w:r>
    </w:p>
    <w:p w:rsidR="00A47678" w:rsidRPr="003E1FCC" w:rsidRDefault="00A47678" w:rsidP="00A47678">
      <w:pPr>
        <w:pStyle w:val="Paragrafi"/>
        <w:rPr>
          <w:spacing w:val="-4"/>
          <w:lang w:val="sq-AL"/>
        </w:rPr>
      </w:pPr>
      <w:r w:rsidRPr="003E1FCC">
        <w:rPr>
          <w:spacing w:val="-4"/>
          <w:lang w:val="sq-AL"/>
        </w:rPr>
        <w:t xml:space="preserve">iii) listën e mjeteve të lojërave të fatit me kodet tarifore, përshkrimin dhe sasinë. </w:t>
      </w:r>
    </w:p>
    <w:p w:rsidR="00A47678" w:rsidRPr="003E1FCC" w:rsidRDefault="00A47678" w:rsidP="00A47678">
      <w:pPr>
        <w:pStyle w:val="Paragrafi"/>
        <w:rPr>
          <w:spacing w:val="-4"/>
          <w:lang w:val="sq-AL"/>
        </w:rPr>
      </w:pPr>
      <w:r w:rsidRPr="003E1FCC">
        <w:rPr>
          <w:spacing w:val="-4"/>
          <w:lang w:val="sq-AL"/>
        </w:rPr>
        <w:t xml:space="preserve">4. Drejtoria e Përgjithshme e Doganave raporton periodikisht pranë AMLF-së për importet e mjeteve të lojërave të fatit të kryera nga subjektet për të cilat AMFL-ja ka lëshuar miratimin paraprak për importin. </w:t>
      </w:r>
    </w:p>
    <w:p w:rsidR="00A47678" w:rsidRPr="003E1FCC" w:rsidRDefault="00A47678" w:rsidP="00A47678">
      <w:pPr>
        <w:pStyle w:val="Hapesira7"/>
        <w:rPr>
          <w:spacing w:val="-4"/>
          <w:lang w:val="sq-AL"/>
        </w:rPr>
      </w:pPr>
    </w:p>
    <w:p w:rsidR="00A47678" w:rsidRPr="003E1FCC" w:rsidRDefault="00A47678" w:rsidP="00A47678">
      <w:pPr>
        <w:pStyle w:val="Titull-Titull"/>
        <w:rPr>
          <w:spacing w:val="-4"/>
          <w:lang w:val="sq-AL"/>
        </w:rPr>
      </w:pPr>
      <w:r w:rsidRPr="003E1FCC">
        <w:rPr>
          <w:spacing w:val="-4"/>
          <w:lang w:val="sq-AL"/>
        </w:rPr>
        <w:t>Kreu IV</w:t>
      </w:r>
    </w:p>
    <w:p w:rsidR="00A47678" w:rsidRPr="003E1FCC" w:rsidRDefault="00A47678" w:rsidP="00A47678">
      <w:pPr>
        <w:pStyle w:val="Titull-Titull"/>
        <w:rPr>
          <w:spacing w:val="-4"/>
          <w:lang w:val="sq-AL"/>
        </w:rPr>
      </w:pPr>
      <w:r w:rsidRPr="003E1FCC">
        <w:rPr>
          <w:spacing w:val="-4"/>
          <w:lang w:val="sq-AL"/>
        </w:rPr>
        <w:t>Kufizimi nga DPD i importeve të mjeteve për lojëra fati, të pamiratuara nga AMFL-</w:t>
      </w:r>
      <w:r w:rsidRPr="003E1FCC">
        <w:rPr>
          <w:caps w:val="0"/>
          <w:spacing w:val="-4"/>
          <w:lang w:val="sq-AL"/>
        </w:rPr>
        <w:t>ja</w:t>
      </w:r>
    </w:p>
    <w:p w:rsidR="00A47678" w:rsidRPr="003E1FCC" w:rsidRDefault="00A47678" w:rsidP="00A47678">
      <w:pPr>
        <w:pStyle w:val="Hapesira7"/>
        <w:rPr>
          <w:spacing w:val="-4"/>
          <w:lang w:val="sq-AL"/>
        </w:rPr>
      </w:pPr>
    </w:p>
    <w:p w:rsidR="00A47678" w:rsidRPr="003E1FCC" w:rsidRDefault="00A47678" w:rsidP="00A47678">
      <w:pPr>
        <w:pStyle w:val="Paragrafi"/>
        <w:rPr>
          <w:spacing w:val="-4"/>
          <w:lang w:val="sq-AL"/>
        </w:rPr>
      </w:pPr>
      <w:r w:rsidRPr="003E1FCC">
        <w:rPr>
          <w:spacing w:val="-4"/>
          <w:lang w:val="sq-AL"/>
        </w:rPr>
        <w:t>1. Drejtoria përgjegjëse për klasifikimin tarifor pranë DPD-së, në bashkëpunim me strukturën përgjegjëse pranë AMFL-së, duhet të krijojë listën e kodeve në nivel 11-shifror të mjeteve për lojëra fati, të cilat do të jenë kode të detyrueshme për deklarimin në import-eksport.</w:t>
      </w:r>
    </w:p>
    <w:p w:rsidR="00A47678" w:rsidRPr="003E1FCC" w:rsidRDefault="00A47678" w:rsidP="00A47678">
      <w:pPr>
        <w:pStyle w:val="Paragrafi"/>
        <w:rPr>
          <w:spacing w:val="-4"/>
          <w:lang w:val="sq-AL"/>
        </w:rPr>
      </w:pPr>
      <w:r w:rsidRPr="003E1FCC">
        <w:rPr>
          <w:spacing w:val="-4"/>
          <w:lang w:val="sq-AL"/>
        </w:rPr>
        <w:t xml:space="preserve">2. Kodet 11-shifrore tarifore të mjeteve për lojëra fati aktivizohen vetëm në rastet e depozitimit të miratimit paraprak nga AMFL-ja në të dyja rastet e deklarimeve të parashikuara në krerët II dhe III, të këtij udhëzimi. </w:t>
      </w:r>
    </w:p>
    <w:p w:rsidR="00A47678" w:rsidRPr="003E1FCC" w:rsidRDefault="00A47678" w:rsidP="00A47678">
      <w:pPr>
        <w:pStyle w:val="Paragrafi"/>
        <w:rPr>
          <w:spacing w:val="-4"/>
          <w:lang w:val="sq-AL"/>
        </w:rPr>
      </w:pPr>
      <w:r w:rsidRPr="003E1FCC">
        <w:rPr>
          <w:spacing w:val="-4"/>
          <w:lang w:val="sq-AL"/>
        </w:rPr>
        <w:t xml:space="preserve">3. DPD-ja raporton periodikisht çdo muaj pranë AMFL-së në formë elektronike importet- eksportet e mjeteve për lojërat e fatit të deklaruara nga secili subjekt. </w:t>
      </w:r>
    </w:p>
    <w:p w:rsidR="00A47678" w:rsidRPr="003E1FCC" w:rsidRDefault="00A47678" w:rsidP="00A47678">
      <w:pPr>
        <w:pStyle w:val="Paragrafi"/>
        <w:rPr>
          <w:spacing w:val="-4"/>
          <w:lang w:val="sq-AL"/>
        </w:rPr>
      </w:pPr>
      <w:r w:rsidRPr="003E1FCC">
        <w:rPr>
          <w:spacing w:val="-4"/>
          <w:lang w:val="sq-AL"/>
        </w:rPr>
        <w:t>Për zbatimin e këtij udhëzimi ngarkohet Autoriteti i Mbikëqyrjes së Lojërave të Fatit, Drejtoria e Përgjithshme e Doganave dhe shoqëritë që kërkojnë të importojnë mjete të lojërave të fatit.</w:t>
      </w:r>
    </w:p>
    <w:p w:rsidR="00A47678" w:rsidRPr="003E1FCC" w:rsidRDefault="00A47678" w:rsidP="00A47678">
      <w:pPr>
        <w:pStyle w:val="Paragrafi"/>
        <w:rPr>
          <w:spacing w:val="-4"/>
          <w:lang w:val="sq-AL"/>
        </w:rPr>
      </w:pPr>
      <w:r w:rsidRPr="003E1FCC">
        <w:rPr>
          <w:spacing w:val="-4"/>
          <w:lang w:val="sq-AL"/>
        </w:rPr>
        <w:t>Ky udhëzim hyn në fuqi pas botimit në Fletoren Zyrtare.</w:t>
      </w:r>
    </w:p>
    <w:p w:rsidR="00A47678" w:rsidRPr="003E1FCC" w:rsidRDefault="00A47678" w:rsidP="00A47678">
      <w:pPr>
        <w:pStyle w:val="Autoriteti"/>
        <w:rPr>
          <w:spacing w:val="-4"/>
          <w:lang w:val="sq-AL"/>
        </w:rPr>
      </w:pPr>
      <w:r w:rsidRPr="003E1FCC">
        <w:rPr>
          <w:spacing w:val="-4"/>
          <w:lang w:val="sq-AL"/>
        </w:rPr>
        <w:t xml:space="preserve"> MINISTRI I FINANCAVE </w:t>
      </w:r>
    </w:p>
    <w:p w:rsidR="00A47678" w:rsidRPr="003E1FCC" w:rsidRDefault="00A47678" w:rsidP="00A47678">
      <w:pPr>
        <w:pStyle w:val="AutoritetiEmer"/>
        <w:rPr>
          <w:rFonts w:eastAsia="Times New Roman"/>
          <w:spacing w:val="-4"/>
          <w:szCs w:val="24"/>
          <w:lang w:val="sq-AL" w:eastAsia="en-GB"/>
        </w:rPr>
      </w:pPr>
      <w:r w:rsidRPr="003E1FCC">
        <w:rPr>
          <w:spacing w:val="-4"/>
          <w:lang w:val="sq-AL"/>
        </w:rPr>
        <w:t>Arben Ahmetaj</w:t>
      </w:r>
    </w:p>
    <w:p w:rsidR="00A47678" w:rsidRPr="003E1FCC" w:rsidRDefault="00A47678" w:rsidP="00A47678">
      <w:pPr>
        <w:pStyle w:val="Hapesira7"/>
        <w:rPr>
          <w:spacing w:val="-4"/>
          <w:lang w:val="sq-AL" w:eastAsia="en-GB"/>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98"/>
    <w:rsid w:val="004F59B3"/>
    <w:rsid w:val="00A47678"/>
    <w:rsid w:val="00AD6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E5C58-B2A4-4B97-8829-2ACD7612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76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76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47678"/>
    <w:rPr>
      <w:rFonts w:ascii="Garamond" w:eastAsia="MS Mincho" w:hAnsi="Garamond" w:cs="CG Times"/>
      <w:b/>
      <w:bCs/>
      <w:sz w:val="24"/>
      <w:lang w:val="en-GB"/>
    </w:rPr>
  </w:style>
  <w:style w:type="paragraph" w:customStyle="1" w:styleId="Paragrafi">
    <w:name w:val="Paragrafi"/>
    <w:link w:val="ParagrafiChar"/>
    <w:rsid w:val="00A476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7678"/>
    <w:rPr>
      <w:rFonts w:ascii="Garamond" w:eastAsia="MS Mincho" w:hAnsi="Garamond" w:cs="CG Times"/>
      <w:sz w:val="24"/>
    </w:rPr>
  </w:style>
  <w:style w:type="character" w:customStyle="1" w:styleId="AktiChar">
    <w:name w:val="Akti Char"/>
    <w:basedOn w:val="DefaultParagraphFont"/>
    <w:link w:val="Akti"/>
    <w:rsid w:val="00A47678"/>
    <w:rPr>
      <w:rFonts w:ascii="Garamond" w:eastAsia="MS Mincho" w:hAnsi="Garamond" w:cs="CG Times"/>
      <w:b/>
      <w:bCs/>
      <w:caps/>
      <w:color w:val="000000"/>
      <w:sz w:val="24"/>
      <w:lang w:val="en-GB"/>
    </w:rPr>
  </w:style>
  <w:style w:type="paragraph" w:customStyle="1" w:styleId="NeniNr">
    <w:name w:val="Neni_Nr"/>
    <w:next w:val="Normal"/>
    <w:link w:val="NeniNrChar"/>
    <w:rsid w:val="00A4767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47678"/>
    <w:rPr>
      <w:rFonts w:ascii="Garamond" w:eastAsia="MS Mincho" w:hAnsi="Garamond" w:cs="CG Times"/>
      <w:sz w:val="24"/>
      <w:lang w:val="en-GB"/>
    </w:rPr>
  </w:style>
  <w:style w:type="paragraph" w:customStyle="1" w:styleId="Autoriteti">
    <w:name w:val="Autoriteti"/>
    <w:next w:val="Normal"/>
    <w:link w:val="AutoritetiChar"/>
    <w:rsid w:val="00A476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476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47678"/>
    <w:rPr>
      <w:rFonts w:ascii="Garamond" w:eastAsia="MS Mincho" w:hAnsi="Garamond" w:cs="CG Times"/>
      <w:caps/>
      <w:sz w:val="24"/>
      <w:lang w:val="en-GB"/>
    </w:rPr>
  </w:style>
  <w:style w:type="character" w:customStyle="1" w:styleId="AutoritetiEmerChar">
    <w:name w:val="Autoriteti_Emer Char"/>
    <w:link w:val="AutoritetiEmer"/>
    <w:locked/>
    <w:rsid w:val="00A47678"/>
    <w:rPr>
      <w:rFonts w:ascii="Garamond" w:eastAsia="MS Mincho" w:hAnsi="Garamond" w:cs="Times New Roman"/>
      <w:b/>
      <w:bCs/>
      <w:sz w:val="24"/>
      <w:lang w:val="en-GB"/>
    </w:rPr>
  </w:style>
  <w:style w:type="paragraph" w:customStyle="1" w:styleId="Titull-Titull">
    <w:name w:val="Titull-Titull"/>
    <w:basedOn w:val="Paragrafi"/>
    <w:qFormat/>
    <w:rsid w:val="00A47678"/>
    <w:pPr>
      <w:ind w:firstLine="0"/>
      <w:jc w:val="center"/>
    </w:pPr>
    <w:rPr>
      <w:caps/>
      <w:szCs w:val="24"/>
    </w:rPr>
  </w:style>
  <w:style w:type="paragraph" w:customStyle="1" w:styleId="Hapesira7">
    <w:name w:val="Hapesira 7"/>
    <w:basedOn w:val="Paragrafi"/>
    <w:qFormat/>
    <w:rsid w:val="00A4767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2017-01-23T10:03:00Z</dcterms:created>
  <dcterms:modified xsi:type="dcterms:W3CDTF">2017-01-23T10:03:00Z</dcterms:modified>
</cp:coreProperties>
</file>