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4F9" w:rsidRPr="003E1FCC" w:rsidRDefault="00C614F9" w:rsidP="00C614F9">
      <w:pPr>
        <w:pStyle w:val="Akti"/>
        <w:rPr>
          <w:spacing w:val="-4"/>
          <w:lang w:val="sq-AL"/>
        </w:rPr>
      </w:pPr>
      <w:r w:rsidRPr="003E1FCC">
        <w:rPr>
          <w:spacing w:val="-4"/>
          <w:lang w:val="sq-AL"/>
        </w:rPr>
        <w:t>UDHËZIM</w:t>
      </w:r>
    </w:p>
    <w:p w:rsidR="00C614F9" w:rsidRPr="003E1FCC" w:rsidRDefault="00C614F9" w:rsidP="00C614F9">
      <w:pPr>
        <w:pStyle w:val="NumriData"/>
        <w:rPr>
          <w:spacing w:val="-4"/>
          <w:lang w:val="sq-AL"/>
        </w:rPr>
      </w:pPr>
      <w:r w:rsidRPr="003E1FCC">
        <w:rPr>
          <w:spacing w:val="-4"/>
          <w:lang w:val="sq-AL"/>
        </w:rPr>
        <w:t>Nr. 5, datë 9.1.2017</w:t>
      </w:r>
    </w:p>
    <w:p w:rsidR="00C614F9" w:rsidRPr="003E1FCC" w:rsidRDefault="00C614F9" w:rsidP="00C614F9">
      <w:pPr>
        <w:pStyle w:val="Hapesira7"/>
        <w:rPr>
          <w:spacing w:val="-4"/>
          <w:lang w:val="sq-AL"/>
        </w:rPr>
      </w:pPr>
    </w:p>
    <w:p w:rsidR="00C614F9" w:rsidRPr="003E1FCC" w:rsidRDefault="00C614F9" w:rsidP="00C614F9">
      <w:pPr>
        <w:pStyle w:val="Titull-Titull"/>
        <w:rPr>
          <w:b/>
          <w:spacing w:val="-4"/>
          <w:lang w:val="sq-AL"/>
        </w:rPr>
      </w:pPr>
      <w:r w:rsidRPr="003E1FCC">
        <w:rPr>
          <w:b/>
          <w:spacing w:val="-4"/>
          <w:lang w:val="sq-AL"/>
        </w:rPr>
        <w:t>PËR MËNYRËN E PËRLLOGARITJES SË DISTANCAVE TË SUBJEKTEVE TË LOJËRAVE TË FATIT MIDIS TYRE DHE NGA INSTITUCIONET FETARE DHE ARSIMORE</w:t>
      </w:r>
    </w:p>
    <w:p w:rsidR="00C614F9" w:rsidRPr="003E1FCC" w:rsidRDefault="00C614F9" w:rsidP="00C614F9">
      <w:pPr>
        <w:pStyle w:val="Hapesira7"/>
        <w:rPr>
          <w:spacing w:val="-4"/>
          <w:lang w:val="sq-AL"/>
        </w:rPr>
      </w:pPr>
    </w:p>
    <w:p w:rsidR="00C614F9" w:rsidRPr="003E1FCC" w:rsidRDefault="00C614F9" w:rsidP="00C614F9">
      <w:pPr>
        <w:pStyle w:val="Paragrafi"/>
        <w:rPr>
          <w:spacing w:val="-4"/>
          <w:lang w:val="sq-AL"/>
        </w:rPr>
      </w:pPr>
      <w:r w:rsidRPr="003E1FCC">
        <w:rPr>
          <w:spacing w:val="-4"/>
          <w:lang w:val="sq-AL"/>
        </w:rPr>
        <w:t>Në mbështetje të nenit 102, pika 4, të Kushtetutës së Republikës së Shqipërisë dhe në zbatim të nenit 7, pika 3, neni 18, pika 5, shkronja “b”, nenit 70, pika 16, të ligjit nr. 155/2015, “Për lojërat e fatit në Republikën e Shqipërisë”, ministri i Financave</w:t>
      </w:r>
    </w:p>
    <w:p w:rsidR="00C614F9" w:rsidRPr="003E1FCC" w:rsidRDefault="00C614F9" w:rsidP="00C614F9">
      <w:pPr>
        <w:pStyle w:val="Hapesira7"/>
        <w:rPr>
          <w:spacing w:val="-4"/>
          <w:lang w:val="sq-AL"/>
        </w:rPr>
      </w:pPr>
    </w:p>
    <w:p w:rsidR="00C614F9" w:rsidRPr="003E1FCC" w:rsidRDefault="00C614F9" w:rsidP="00C614F9">
      <w:pPr>
        <w:pStyle w:val="Titull-Titull"/>
        <w:rPr>
          <w:spacing w:val="-4"/>
          <w:lang w:val="sq-AL"/>
        </w:rPr>
      </w:pPr>
      <w:r w:rsidRPr="003E1FCC">
        <w:rPr>
          <w:spacing w:val="-4"/>
          <w:lang w:val="sq-AL"/>
        </w:rPr>
        <w:t>UDHËZON:</w:t>
      </w:r>
    </w:p>
    <w:p w:rsidR="00C614F9" w:rsidRPr="003E1FCC" w:rsidRDefault="00C614F9" w:rsidP="00C614F9">
      <w:pPr>
        <w:pStyle w:val="Hapesira7"/>
        <w:rPr>
          <w:spacing w:val="-4"/>
          <w:lang w:val="sq-AL"/>
        </w:rPr>
      </w:pPr>
    </w:p>
    <w:p w:rsidR="00C614F9" w:rsidRPr="003E1FCC" w:rsidRDefault="00C614F9" w:rsidP="00C614F9">
      <w:pPr>
        <w:pStyle w:val="Paragrafi"/>
        <w:rPr>
          <w:spacing w:val="-4"/>
          <w:lang w:val="sq-AL"/>
        </w:rPr>
      </w:pPr>
      <w:r w:rsidRPr="003E1FCC">
        <w:rPr>
          <w:spacing w:val="-4"/>
          <w:lang w:val="sq-AL"/>
        </w:rPr>
        <w:t>1. Shoqëritë e licencuara në fushën e lojërave të fatit nuk mund të ndërtojnë, blejnë, marrin me qira apo huapërdorje mjedise të ekspozuara pranë institucioneve fetare, institucioneve të arsimit parauniversitar dhe arsimit të lartë.</w:t>
      </w:r>
    </w:p>
    <w:p w:rsidR="00C614F9" w:rsidRPr="003E1FCC" w:rsidRDefault="00C614F9" w:rsidP="00C614F9">
      <w:pPr>
        <w:pStyle w:val="Paragrafi"/>
        <w:rPr>
          <w:spacing w:val="-4"/>
          <w:lang w:val="sq-AL"/>
        </w:rPr>
      </w:pPr>
      <w:r w:rsidRPr="003E1FCC">
        <w:rPr>
          <w:spacing w:val="-4"/>
          <w:lang w:val="sq-AL"/>
        </w:rPr>
        <w:t>2. Largësia e mjediseve në të cilat ushtrohet aktivitet lojëra fati duhet të jetë jo më pak se 100 m (njëqind metra) në vijë ajrore nga të gjitha drejtimet nga institucionet e përcaktuara në pikën 1 të këtij udhëzimi.</w:t>
      </w:r>
    </w:p>
    <w:p w:rsidR="00C614F9" w:rsidRPr="003E1FCC" w:rsidRDefault="00C614F9" w:rsidP="00C614F9">
      <w:pPr>
        <w:pStyle w:val="Paragrafi"/>
        <w:rPr>
          <w:spacing w:val="-4"/>
          <w:lang w:val="sq-AL"/>
        </w:rPr>
      </w:pPr>
      <w:r w:rsidRPr="003E1FCC">
        <w:rPr>
          <w:spacing w:val="-4"/>
          <w:lang w:val="sq-AL"/>
        </w:rPr>
        <w:t xml:space="preserve">3. Distancat prej 100 m (njëqind metra) në vijë ajrore nga të gjithë drejtimet përllogaritet ndërmjet ekstremiteteve më të afërta të mjedisit ku ushtrohet aktiviteti lojëra fati me institucionet e parashikuara në pikën 1 të këtij udhëzimi. </w:t>
      </w:r>
    </w:p>
    <w:p w:rsidR="00C614F9" w:rsidRPr="003E1FCC" w:rsidRDefault="00C614F9" w:rsidP="00C614F9">
      <w:pPr>
        <w:pStyle w:val="Paragrafi"/>
        <w:rPr>
          <w:spacing w:val="-4"/>
          <w:highlight w:val="yellow"/>
          <w:lang w:val="sq-AL"/>
        </w:rPr>
      </w:pPr>
      <w:r w:rsidRPr="003E1FCC">
        <w:rPr>
          <w:spacing w:val="-4"/>
          <w:lang w:val="sq-AL"/>
        </w:rPr>
        <w:t>4. Distanca ndërmjet pikave sekondare të subjekteve të licencuar në kategorinë e “Basteve Sportive” të jetë jo më pak se 100 (njëqind) m në vijë ajrore në të gjitha drejtimet për adresat sekondare.</w:t>
      </w:r>
    </w:p>
    <w:p w:rsidR="00C614F9" w:rsidRPr="003E1FCC" w:rsidRDefault="00C614F9" w:rsidP="00C614F9">
      <w:pPr>
        <w:pStyle w:val="Paragrafi"/>
        <w:rPr>
          <w:spacing w:val="-4"/>
          <w:lang w:val="sq-AL"/>
        </w:rPr>
      </w:pPr>
      <w:r w:rsidRPr="003E1FCC">
        <w:rPr>
          <w:spacing w:val="-4"/>
          <w:lang w:val="sq-AL"/>
        </w:rPr>
        <w:t xml:space="preserve">Në çdo rast pikat sekondare të basteve sportive nuk mund të jenë më afër se 100 m (njëqind metra) në vijë ajrore në të gjithë drejtimet nga institucionet e përcaktuara në pikën 1 të këtij udhëzimi. </w:t>
      </w:r>
    </w:p>
    <w:p w:rsidR="00C614F9" w:rsidRPr="003E1FCC" w:rsidRDefault="00C614F9" w:rsidP="00C614F9">
      <w:pPr>
        <w:pStyle w:val="Paragrafi"/>
        <w:rPr>
          <w:spacing w:val="-4"/>
          <w:lang w:val="sq-AL"/>
        </w:rPr>
      </w:pPr>
      <w:r w:rsidRPr="003E1FCC">
        <w:rPr>
          <w:spacing w:val="-4"/>
          <w:lang w:val="sq-AL"/>
        </w:rPr>
        <w:t xml:space="preserve">5. Organizatorët e licencuar të kategorisë “Baste sportive”, për pikat sekondare pranë të cilave zhvillojnë aktualisht aktivitetin e tyre janë të detyruar të marrin masat e nevojshme për përshtatjen me kërkesat e përcaktuara në pikën 4 të këtij udhëzimi brenda afatit të parashikuar në ligjin nr. 155/2015, “Për lojërat e fatit në Republikën e Shqipërisë”. </w:t>
      </w:r>
    </w:p>
    <w:p w:rsidR="00C614F9" w:rsidRPr="003E1FCC" w:rsidRDefault="00C614F9" w:rsidP="00C614F9">
      <w:pPr>
        <w:pStyle w:val="Paragrafi"/>
        <w:rPr>
          <w:spacing w:val="-4"/>
          <w:lang w:val="sq-AL"/>
        </w:rPr>
      </w:pPr>
      <w:r w:rsidRPr="003E1FCC">
        <w:rPr>
          <w:spacing w:val="-4"/>
          <w:lang w:val="sq-AL"/>
        </w:rPr>
        <w:t xml:space="preserve">Në funksion të këtij detyrimi organizatorët e licencuar të kategorisë “baste sportive”, brenda gjashtë muajve nga hyrja në fuqi e këtij udhëzimi paraqesin pranë AMLF-së planin që identifikon pikat aktuale sekondare dhe masat që do të ndërmerren brenda afatit ligjor për respektimin e distancave sipas kërkesave të këtij udhëzimi. </w:t>
      </w:r>
    </w:p>
    <w:p w:rsidR="00C614F9" w:rsidRPr="003E1FCC" w:rsidRDefault="00C614F9" w:rsidP="00C614F9">
      <w:pPr>
        <w:pStyle w:val="Paragrafi"/>
        <w:rPr>
          <w:spacing w:val="-4"/>
          <w:lang w:val="sq-AL"/>
        </w:rPr>
      </w:pPr>
      <w:r w:rsidRPr="003E1FCC">
        <w:rPr>
          <w:spacing w:val="-4"/>
          <w:lang w:val="sq-AL"/>
        </w:rPr>
        <w:t xml:space="preserve">6. Përllogaritja e distancave të përcaktuara në këtë udhëzim do të kryhet nga individë ose subjekte juridike që zotërojnë licencë profesionale në fushën e studimit e të projektimit në ndërtim në profilin inxhinier-gjeodet. </w:t>
      </w:r>
    </w:p>
    <w:p w:rsidR="00C614F9" w:rsidRPr="003E1FCC" w:rsidRDefault="00C614F9" w:rsidP="00C614F9">
      <w:pPr>
        <w:pStyle w:val="Paragrafi"/>
        <w:rPr>
          <w:spacing w:val="-4"/>
          <w:lang w:val="sq-AL"/>
        </w:rPr>
      </w:pPr>
      <w:r w:rsidRPr="003E1FCC">
        <w:rPr>
          <w:spacing w:val="-4"/>
          <w:lang w:val="sq-AL"/>
        </w:rPr>
        <w:t>7. Dokumentacioni i lëshuar nga eksperti i licencuar është pjesë e listës së dokumenteve që paraqiten pranë Autoritetit të Mbikëqyrjes së Lojërave të Fatit për miratimin e hapjes së adresave sekondare të ushtrimit të aktivitetit për kategorinë “Baste sportive”.</w:t>
      </w:r>
    </w:p>
    <w:p w:rsidR="00C614F9" w:rsidRPr="003E1FCC" w:rsidRDefault="00C614F9" w:rsidP="00C614F9">
      <w:pPr>
        <w:pStyle w:val="Paragrafi"/>
        <w:rPr>
          <w:spacing w:val="-4"/>
          <w:lang w:val="sq-AL"/>
        </w:rPr>
      </w:pPr>
      <w:r w:rsidRPr="003E1FCC">
        <w:rPr>
          <w:spacing w:val="-4"/>
          <w:lang w:val="sq-AL"/>
        </w:rPr>
        <w:t xml:space="preserve">8. Ngarkohen organizatorët e licencuar të lojërave të fatit dhe Autoriteti i Mbikëqyrjes së Lojërave të Fatit për zbatimin e këtij udhëzimi. </w:t>
      </w:r>
    </w:p>
    <w:p w:rsidR="00C614F9" w:rsidRPr="003E1FCC" w:rsidRDefault="00C614F9" w:rsidP="00C614F9">
      <w:pPr>
        <w:pStyle w:val="Paragrafi"/>
        <w:rPr>
          <w:spacing w:val="-4"/>
          <w:lang w:val="sq-AL"/>
        </w:rPr>
      </w:pPr>
      <w:r w:rsidRPr="003E1FCC">
        <w:rPr>
          <w:spacing w:val="-4"/>
          <w:lang w:val="sq-AL"/>
        </w:rPr>
        <w:t>9. Udhëzimi nr. 6, datë 19.1.2009, “Për paralajmërimin e lojtarëve dhe ekspozimin e lojërave të fatit ndaj institucioneve fetare, shëndetësore dhe arsimore” shfuqizohet.</w:t>
      </w:r>
    </w:p>
    <w:p w:rsidR="00C614F9" w:rsidRPr="003E1FCC" w:rsidRDefault="00C614F9" w:rsidP="00C614F9">
      <w:pPr>
        <w:pStyle w:val="Paragrafi"/>
        <w:rPr>
          <w:rFonts w:eastAsia="Times New Roman"/>
          <w:spacing w:val="-4"/>
          <w:szCs w:val="24"/>
          <w:lang w:val="sq-AL" w:eastAsia="en-GB"/>
        </w:rPr>
      </w:pPr>
      <w:r w:rsidRPr="003E1FCC">
        <w:rPr>
          <w:spacing w:val="-4"/>
          <w:lang w:val="sq-AL"/>
        </w:rPr>
        <w:t>Ky udhëzim hyn në fuqi pas botimit në Fletoren Zyrtare.</w:t>
      </w:r>
    </w:p>
    <w:p w:rsidR="00C614F9" w:rsidRPr="003E1FCC" w:rsidRDefault="00C614F9" w:rsidP="00C614F9">
      <w:pPr>
        <w:pStyle w:val="Autoriteti"/>
        <w:rPr>
          <w:spacing w:val="-4"/>
          <w:lang w:val="sq-AL"/>
        </w:rPr>
      </w:pPr>
      <w:r w:rsidRPr="003E1FCC">
        <w:rPr>
          <w:spacing w:val="-4"/>
          <w:lang w:val="sq-AL"/>
        </w:rPr>
        <w:t>MINISTri I FINANCAVE</w:t>
      </w:r>
    </w:p>
    <w:p w:rsidR="00C614F9" w:rsidRPr="003E1FCC" w:rsidRDefault="00C614F9" w:rsidP="00C614F9">
      <w:pPr>
        <w:pStyle w:val="AutoritetiEmer"/>
        <w:rPr>
          <w:spacing w:val="-4"/>
          <w:lang w:val="sq-AL"/>
        </w:rPr>
      </w:pPr>
      <w:r w:rsidRPr="003E1FCC">
        <w:rPr>
          <w:spacing w:val="-4"/>
          <w:lang w:val="sq-AL"/>
        </w:rPr>
        <w:t>Arben Ahmetaj</w:t>
      </w:r>
    </w:p>
    <w:p w:rsidR="00C614F9" w:rsidRPr="003E1FCC" w:rsidRDefault="00C614F9" w:rsidP="00C614F9">
      <w:pPr>
        <w:widowControl w:val="0"/>
        <w:spacing w:after="0" w:line="240" w:lineRule="auto"/>
        <w:rPr>
          <w:rFonts w:ascii="Garamond" w:eastAsia="Times New Roman" w:hAnsi="Garamond"/>
          <w:spacing w:val="-4"/>
          <w:sz w:val="14"/>
          <w:szCs w:val="24"/>
          <w:lang w:val="sq-AL" w:eastAsia="en-GB"/>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161"/>
    <w:rsid w:val="00093161"/>
    <w:rsid w:val="004F59B3"/>
    <w:rsid w:val="00C61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FB0BFC-E84C-4535-8911-14D3A8EC1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4F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614F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14F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14F9"/>
    <w:rPr>
      <w:rFonts w:ascii="Garamond" w:eastAsia="MS Mincho" w:hAnsi="Garamond" w:cs="CG Times"/>
      <w:b/>
      <w:bCs/>
      <w:sz w:val="24"/>
      <w:lang w:val="en-GB"/>
    </w:rPr>
  </w:style>
  <w:style w:type="paragraph" w:customStyle="1" w:styleId="Paragrafi">
    <w:name w:val="Paragrafi"/>
    <w:link w:val="ParagrafiChar"/>
    <w:rsid w:val="00C614F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614F9"/>
    <w:rPr>
      <w:rFonts w:ascii="Garamond" w:eastAsia="MS Mincho" w:hAnsi="Garamond" w:cs="CG Times"/>
      <w:sz w:val="24"/>
    </w:rPr>
  </w:style>
  <w:style w:type="character" w:customStyle="1" w:styleId="AktiChar">
    <w:name w:val="Akti Char"/>
    <w:basedOn w:val="DefaultParagraphFont"/>
    <w:link w:val="Akti"/>
    <w:rsid w:val="00C614F9"/>
    <w:rPr>
      <w:rFonts w:ascii="Garamond" w:eastAsia="MS Mincho" w:hAnsi="Garamond" w:cs="CG Times"/>
      <w:b/>
      <w:bCs/>
      <w:caps/>
      <w:color w:val="000000"/>
      <w:sz w:val="24"/>
      <w:lang w:val="en-GB"/>
    </w:rPr>
  </w:style>
  <w:style w:type="paragraph" w:customStyle="1" w:styleId="Autoriteti">
    <w:name w:val="Autoriteti"/>
    <w:next w:val="Normal"/>
    <w:link w:val="AutoritetiChar"/>
    <w:rsid w:val="00C614F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614F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614F9"/>
    <w:rPr>
      <w:rFonts w:ascii="Garamond" w:eastAsia="MS Mincho" w:hAnsi="Garamond" w:cs="CG Times"/>
      <w:caps/>
      <w:sz w:val="24"/>
      <w:lang w:val="en-GB"/>
    </w:rPr>
  </w:style>
  <w:style w:type="character" w:customStyle="1" w:styleId="AutoritetiEmerChar">
    <w:name w:val="Autoriteti_Emer Char"/>
    <w:link w:val="AutoritetiEmer"/>
    <w:locked/>
    <w:rsid w:val="00C614F9"/>
    <w:rPr>
      <w:rFonts w:ascii="Garamond" w:eastAsia="MS Mincho" w:hAnsi="Garamond" w:cs="Times New Roman"/>
      <w:b/>
      <w:bCs/>
      <w:sz w:val="24"/>
      <w:lang w:val="en-GB"/>
    </w:rPr>
  </w:style>
  <w:style w:type="paragraph" w:customStyle="1" w:styleId="Titull-Titull">
    <w:name w:val="Titull-Titull"/>
    <w:basedOn w:val="Paragrafi"/>
    <w:qFormat/>
    <w:rsid w:val="00C614F9"/>
    <w:pPr>
      <w:ind w:firstLine="0"/>
      <w:jc w:val="center"/>
    </w:pPr>
    <w:rPr>
      <w:caps/>
      <w:szCs w:val="24"/>
    </w:rPr>
  </w:style>
  <w:style w:type="paragraph" w:customStyle="1" w:styleId="Hapesira7">
    <w:name w:val="Hapesira 7"/>
    <w:basedOn w:val="Paragrafi"/>
    <w:qFormat/>
    <w:rsid w:val="00C614F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2017-01-23T10:07:00Z</dcterms:created>
  <dcterms:modified xsi:type="dcterms:W3CDTF">2017-01-23T10:07:00Z</dcterms:modified>
</cp:coreProperties>
</file>