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3CCC" w:rsidRPr="003E1FCC" w:rsidRDefault="005D3CCC" w:rsidP="005D3CCC">
      <w:pPr>
        <w:pStyle w:val="Akti"/>
        <w:rPr>
          <w:spacing w:val="-4"/>
          <w:lang w:val="sq-AL"/>
        </w:rPr>
      </w:pPr>
      <w:r w:rsidRPr="003E1FCC">
        <w:rPr>
          <w:spacing w:val="-4"/>
          <w:lang w:val="sq-AL"/>
        </w:rPr>
        <w:t>UDHËZIM</w:t>
      </w:r>
    </w:p>
    <w:p w:rsidR="005D3CCC" w:rsidRPr="003E1FCC" w:rsidRDefault="005D3CCC" w:rsidP="005D3CCC">
      <w:pPr>
        <w:pStyle w:val="NumriData"/>
        <w:rPr>
          <w:spacing w:val="-4"/>
          <w:szCs w:val="24"/>
          <w:lang w:val="sq-AL"/>
        </w:rPr>
      </w:pPr>
      <w:r w:rsidRPr="003E1FCC">
        <w:rPr>
          <w:spacing w:val="-4"/>
          <w:lang w:val="sq-AL"/>
        </w:rPr>
        <w:t>Nr. 6, datë 9.1.2017</w:t>
      </w:r>
    </w:p>
    <w:p w:rsidR="005D3CCC" w:rsidRPr="003E1FCC" w:rsidRDefault="005D3CCC" w:rsidP="005D3CCC">
      <w:pPr>
        <w:pStyle w:val="Hapesira7"/>
        <w:rPr>
          <w:spacing w:val="-4"/>
          <w:lang w:val="sq-AL"/>
        </w:rPr>
      </w:pPr>
    </w:p>
    <w:p w:rsidR="005D3CCC" w:rsidRPr="003E1FCC" w:rsidRDefault="005D3CCC" w:rsidP="005D3CCC">
      <w:pPr>
        <w:pStyle w:val="Titulli"/>
        <w:rPr>
          <w:spacing w:val="-4"/>
          <w:lang w:val="sq-AL"/>
        </w:rPr>
      </w:pPr>
      <w:r w:rsidRPr="003E1FCC">
        <w:rPr>
          <w:spacing w:val="-4"/>
          <w:lang w:val="sq-AL"/>
        </w:rPr>
        <w:t xml:space="preserve">PËR PËRCAKTIMIN E MËNYRËS DHE AFATEVE TË PAGESËS SË DETYRIMEVE LIGJORE TË SHOQËRIVE TË LICENCUARA NË </w:t>
      </w:r>
      <w:r>
        <w:rPr>
          <w:spacing w:val="-4"/>
          <w:lang w:val="sq-AL"/>
        </w:rPr>
        <w:t>FUSHËN E</w:t>
      </w:r>
      <w:r w:rsidRPr="003E1FCC">
        <w:rPr>
          <w:spacing w:val="-4"/>
          <w:lang w:val="sq-AL"/>
        </w:rPr>
        <w:t xml:space="preserve"> LOJëRAVE TË FATIT PËR LLOGARI TË AUTORITETIT TË MBIKËQYRJES SË LOJëRAVE TË FATIT</w:t>
      </w:r>
    </w:p>
    <w:p w:rsidR="005D3CCC" w:rsidRPr="003E1FCC" w:rsidRDefault="005D3CCC" w:rsidP="005D3CCC">
      <w:pPr>
        <w:pStyle w:val="Hapesira7"/>
        <w:rPr>
          <w:spacing w:val="-4"/>
          <w:lang w:val="sq-AL"/>
        </w:rPr>
      </w:pPr>
    </w:p>
    <w:p w:rsidR="005D3CCC" w:rsidRPr="003E1FCC" w:rsidRDefault="005D3CCC" w:rsidP="005D3CCC">
      <w:pPr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3E1FCC">
        <w:rPr>
          <w:rFonts w:ascii="Garamond" w:hAnsi="Garamond"/>
          <w:spacing w:val="-4"/>
          <w:sz w:val="24"/>
          <w:szCs w:val="24"/>
          <w:lang w:val="sq-AL"/>
        </w:rPr>
        <w:t>Në mbështetje të nenit 102, pika 4, të Kushtetutës së Republikës së Shqipërisë, nenit 14, pika 2, të ligjit nr. 155/2015, datë 21.12.2015, “Për lojërat e fatit në Republikën e Shqipërisë”, ministri i Financave</w:t>
      </w:r>
    </w:p>
    <w:p w:rsidR="005D3CCC" w:rsidRPr="003E1FCC" w:rsidRDefault="005D3CCC" w:rsidP="005D3CCC">
      <w:pPr>
        <w:pStyle w:val="Hapesira7"/>
        <w:rPr>
          <w:spacing w:val="-4"/>
          <w:lang w:val="sq-AL"/>
        </w:rPr>
      </w:pPr>
    </w:p>
    <w:p w:rsidR="005D3CCC" w:rsidRPr="003E1FCC" w:rsidRDefault="005D3CCC" w:rsidP="005D3CCC">
      <w:pPr>
        <w:pStyle w:val="Titull-Titull"/>
        <w:rPr>
          <w:spacing w:val="-4"/>
          <w:lang w:val="sq-AL"/>
        </w:rPr>
      </w:pPr>
      <w:r w:rsidRPr="003E1FCC">
        <w:rPr>
          <w:spacing w:val="-4"/>
          <w:lang w:val="sq-AL"/>
        </w:rPr>
        <w:t>UDHËZON:</w:t>
      </w:r>
    </w:p>
    <w:p w:rsidR="005D3CCC" w:rsidRPr="003E1FCC" w:rsidRDefault="005D3CCC" w:rsidP="005D3CCC">
      <w:pPr>
        <w:pStyle w:val="Hapesira7"/>
        <w:rPr>
          <w:spacing w:val="-4"/>
          <w:lang w:val="sq-AL"/>
        </w:rPr>
      </w:pPr>
    </w:p>
    <w:p w:rsidR="005D3CCC" w:rsidRPr="003E1FCC" w:rsidRDefault="005D3CCC" w:rsidP="005D3CCC">
      <w:pPr>
        <w:pStyle w:val="Paragrafi"/>
        <w:rPr>
          <w:b/>
          <w:color w:val="000000"/>
          <w:spacing w:val="-4"/>
          <w:lang w:val="sq-AL"/>
        </w:rPr>
      </w:pPr>
      <w:r w:rsidRPr="003E1FCC">
        <w:rPr>
          <w:spacing w:val="-4"/>
          <w:lang w:val="sq-AL"/>
        </w:rPr>
        <w:t xml:space="preserve">1. Ky udhëzim ka si qëllim përcaktimin e mënyrës dhe afateve të pagesës së detyrimeve ligjore të shoqërive të licencuara në fushën e lojërave të fatit për llogari të Autoritetit të Mbikëqyrjes së Lojërave të Fatit. </w:t>
      </w:r>
    </w:p>
    <w:p w:rsidR="005D3CCC" w:rsidRPr="003E1FCC" w:rsidRDefault="005D3CCC" w:rsidP="005D3CCC">
      <w:pPr>
        <w:pStyle w:val="Paragrafi"/>
        <w:rPr>
          <w:color w:val="000000"/>
          <w:spacing w:val="-4"/>
          <w:lang w:val="sq-AL"/>
        </w:rPr>
      </w:pPr>
      <w:r w:rsidRPr="003E1FCC">
        <w:rPr>
          <w:color w:val="000000"/>
          <w:spacing w:val="-4"/>
          <w:lang w:val="sq-AL"/>
        </w:rPr>
        <w:t>2. Shoqëritë e licencuara në fushën e lojërave të fatit shlyejnë detyrimin e ndaj Autoritetit të Mbikëqyrjes së Lojërave të Fatit në përputhje me masën e parashikuara në ligjin nr. 155/2015, “Për lojërat e fatit në Republikën e Shqipërisë”.</w:t>
      </w:r>
    </w:p>
    <w:p w:rsidR="005D3CCC" w:rsidRPr="003E1FCC" w:rsidRDefault="005D3CCC" w:rsidP="005D3CCC">
      <w:pPr>
        <w:pStyle w:val="Paragrafi"/>
        <w:rPr>
          <w:b/>
          <w:color w:val="000000"/>
          <w:spacing w:val="-4"/>
          <w:lang w:val="sq-AL"/>
        </w:rPr>
      </w:pPr>
      <w:r w:rsidRPr="003E1FCC">
        <w:rPr>
          <w:color w:val="000000"/>
          <w:spacing w:val="-4"/>
          <w:lang w:val="sq-AL"/>
        </w:rPr>
        <w:t xml:space="preserve">3. Periudha e detyrimit vjetor fillon më 1 janar dhe përfundon më 31 dhjetor. Në rast se veprimtaria në fushën e lojërave të fatit krijohet ose pushon brenda kësaj periudhe, detyrimi i shoqërive llogaritet proporcionalisht vetëm për periudhën e ushtrimit të veprimtarisë për të cilën shoqëria është licencuar. </w:t>
      </w:r>
    </w:p>
    <w:p w:rsidR="005D3CCC" w:rsidRPr="003E1FCC" w:rsidRDefault="005D3CCC" w:rsidP="005D3CCC">
      <w:pPr>
        <w:pStyle w:val="Paragrafi"/>
        <w:rPr>
          <w:color w:val="000000"/>
          <w:spacing w:val="-4"/>
          <w:lang w:val="sq-AL"/>
        </w:rPr>
      </w:pPr>
      <w:r w:rsidRPr="003E1FCC">
        <w:rPr>
          <w:spacing w:val="-4"/>
          <w:lang w:val="sq-AL" w:eastAsia="sq-AL"/>
        </w:rPr>
        <w:t xml:space="preserve">4. AMLF-ja hap llogari në një bankë të nivelit të dytë ku do të depozitohen të ardhurat nga pagesat që bëjnë shoqëritë e licencuara në fushën e lojërave të fatit, sipas nenit 14, të ligjit nr. 155/2015, “Për lojërat e fatit në Republikën e Shqipërisë”. </w:t>
      </w:r>
    </w:p>
    <w:p w:rsidR="005D3CCC" w:rsidRPr="003E1FCC" w:rsidRDefault="005D3CCC" w:rsidP="005D3CCC">
      <w:pPr>
        <w:pStyle w:val="Paragrafi"/>
        <w:rPr>
          <w:color w:val="000000"/>
          <w:spacing w:val="-4"/>
          <w:lang w:val="sq-AL"/>
        </w:rPr>
      </w:pPr>
      <w:r w:rsidRPr="003E1FCC">
        <w:rPr>
          <w:spacing w:val="-4"/>
          <w:lang w:val="sq-AL" w:eastAsia="sq-AL"/>
        </w:rPr>
        <w:t>5. Kur afati i fundit për pagesën e detyrimit sipas këtij udhëzimi bie në ditë pushimi, data e pagesës së detyrimit është dita e parë e punës, pas ditës së pushimit.</w:t>
      </w:r>
    </w:p>
    <w:p w:rsidR="005D3CCC" w:rsidRPr="003E1FCC" w:rsidRDefault="005D3CCC" w:rsidP="005D3CCC">
      <w:pPr>
        <w:pStyle w:val="Paragrafi"/>
        <w:rPr>
          <w:color w:val="000000"/>
          <w:spacing w:val="-4"/>
          <w:lang w:val="sq-AL"/>
        </w:rPr>
      </w:pPr>
      <w:r w:rsidRPr="003E1FCC">
        <w:rPr>
          <w:color w:val="000000"/>
          <w:spacing w:val="-4"/>
          <w:lang w:val="sq-AL"/>
        </w:rPr>
        <w:t>6. Mbas shlyerjes së çdo kësti të pagesës, shoqëritë</w:t>
      </w:r>
      <w:r w:rsidRPr="003E1FCC">
        <w:rPr>
          <w:spacing w:val="-4"/>
          <w:lang w:val="sq-AL"/>
        </w:rPr>
        <w:t xml:space="preserve"> e licencuara për lojëra fati </w:t>
      </w:r>
      <w:r w:rsidRPr="003E1FCC">
        <w:rPr>
          <w:color w:val="000000"/>
          <w:spacing w:val="-4"/>
          <w:lang w:val="sq-AL"/>
        </w:rPr>
        <w:t>duhet të depozitojnë një kopje të mandate-pagesës</w:t>
      </w:r>
      <w:r>
        <w:rPr>
          <w:color w:val="000000"/>
          <w:spacing w:val="-4"/>
          <w:lang w:val="sq-AL"/>
        </w:rPr>
        <w:t xml:space="preserve"> </w:t>
      </w:r>
      <w:r w:rsidRPr="003E1FCC">
        <w:rPr>
          <w:color w:val="000000"/>
          <w:spacing w:val="-4"/>
          <w:lang w:val="sq-AL"/>
        </w:rPr>
        <w:t>/dokumentit vërtetues pranë AMLF-së.</w:t>
      </w:r>
    </w:p>
    <w:p w:rsidR="005D3CCC" w:rsidRPr="003E1FCC" w:rsidRDefault="005D3CCC" w:rsidP="005D3CCC">
      <w:pPr>
        <w:pStyle w:val="Paragrafi"/>
        <w:rPr>
          <w:color w:val="000000"/>
          <w:spacing w:val="-4"/>
          <w:lang w:val="sq-AL"/>
        </w:rPr>
      </w:pPr>
      <w:r w:rsidRPr="003E1FCC">
        <w:rPr>
          <w:color w:val="000000"/>
          <w:spacing w:val="-4"/>
          <w:lang w:val="sq-AL"/>
        </w:rPr>
        <w:t>7. Shoqëritë e licencuara në fushën e lojërave të fatit detyrohen që, brenda datës 5 prill të çdo viti, ose në momentin e mbylljes së aktivitetit, kur ai mbyllet gjatë vitit ushtrimor, të depozitojnë pranë AMLF-së një kopje të bilancit dhe të pasqyrave financiare të njehsuara nga organet tatimore të shoqëruara me të gjitha mandat pagesat e kryera sipas këtij udhëzimi, gjatë vitit përkatës.</w:t>
      </w:r>
    </w:p>
    <w:p w:rsidR="005D3CCC" w:rsidRPr="003E1FCC" w:rsidRDefault="005D3CCC" w:rsidP="005D3CCC">
      <w:pPr>
        <w:pStyle w:val="Paragrafi"/>
        <w:rPr>
          <w:color w:val="000000"/>
          <w:spacing w:val="-4"/>
          <w:lang w:val="sq-AL"/>
        </w:rPr>
      </w:pPr>
      <w:r w:rsidRPr="003E1FCC">
        <w:rPr>
          <w:color w:val="000000"/>
          <w:spacing w:val="-4"/>
          <w:lang w:val="sq-AL"/>
        </w:rPr>
        <w:t>8. Bilanci kontabël së bashku me anekset e tij dorëzohen në organet tatimore brenda datës 31 mars të vitit pasardhës, në përputhje me legjislacionin fiskal në fuqi.</w:t>
      </w:r>
    </w:p>
    <w:p w:rsidR="005D3CCC" w:rsidRPr="003E1FCC" w:rsidRDefault="005D3CCC" w:rsidP="005D3CCC">
      <w:pPr>
        <w:pStyle w:val="Paragrafi"/>
        <w:rPr>
          <w:color w:val="000000"/>
          <w:spacing w:val="-4"/>
          <w:lang w:val="sq-AL"/>
        </w:rPr>
      </w:pPr>
      <w:r w:rsidRPr="003E1FCC">
        <w:rPr>
          <w:color w:val="000000"/>
          <w:spacing w:val="-4"/>
          <w:lang w:val="sq-AL"/>
        </w:rPr>
        <w:t>9. Vetëm pas implementimit të Sistemit Qendror të Monitorimit On-line (SQMO) organizatorët e licencuara në fushën e lojërave të fatit derdhin në llogarinë bankare të Autoritetit të Mbikëqyrjes së Lojërave të Fatit 3% të të ardhurave bruto nga loja por jo më pak se 1.500.000 lekë (1 milion e pesëqind mijë lek) në vit për secilin subjekt.</w:t>
      </w:r>
    </w:p>
    <w:p w:rsidR="005D3CCC" w:rsidRPr="003E1FCC" w:rsidRDefault="005D3CCC" w:rsidP="005D3CCC">
      <w:pPr>
        <w:pStyle w:val="Paragrafi"/>
        <w:rPr>
          <w:color w:val="000000"/>
          <w:spacing w:val="-4"/>
          <w:lang w:val="sq-AL" w:eastAsia="en-GB"/>
        </w:rPr>
      </w:pPr>
      <w:r w:rsidRPr="003E1FCC">
        <w:rPr>
          <w:color w:val="000000"/>
          <w:spacing w:val="-4"/>
          <w:lang w:val="sq-AL" w:eastAsia="en-GB"/>
        </w:rPr>
        <w:t xml:space="preserve">10. Shuma e detyrimit të secilës shoqëri të licencuar për lojëra fati derdhet në llogarinë e AMLF-së në përputhje me afatet e mëposhtme: </w:t>
      </w:r>
    </w:p>
    <w:p w:rsidR="005D3CCC" w:rsidRPr="003E1FCC" w:rsidRDefault="005D3CCC" w:rsidP="005D3CCC">
      <w:pPr>
        <w:pStyle w:val="Paragrafi"/>
        <w:rPr>
          <w:color w:val="000000"/>
          <w:spacing w:val="-4"/>
          <w:lang w:val="sq-AL" w:eastAsia="en-GB"/>
        </w:rPr>
      </w:pPr>
      <w:r w:rsidRPr="003E1FCC">
        <w:rPr>
          <w:color w:val="000000"/>
          <w:spacing w:val="-4"/>
          <w:lang w:val="sq-AL" w:eastAsia="en-GB"/>
        </w:rPr>
        <w:t xml:space="preserve">a) për pjesën e mbetur të vitit 2016, pagesa do të bëhet, brenda datës 10 janar të vitit 2017. </w:t>
      </w:r>
    </w:p>
    <w:p w:rsidR="005D3CCC" w:rsidRPr="003E1FCC" w:rsidRDefault="005D3CCC" w:rsidP="005D3CCC">
      <w:pPr>
        <w:pStyle w:val="Paragrafi"/>
        <w:rPr>
          <w:color w:val="000000"/>
          <w:spacing w:val="-4"/>
          <w:lang w:val="sq-AL" w:eastAsia="en-GB"/>
        </w:rPr>
      </w:pPr>
      <w:r w:rsidRPr="003E1FCC">
        <w:rPr>
          <w:color w:val="000000"/>
          <w:spacing w:val="-4"/>
          <w:lang w:val="sq-AL" w:eastAsia="en-GB"/>
        </w:rPr>
        <w:t>b) për vitin 2017 dhe vitet në vijim, pagesat do të bëhen me katër këste, si më poshtë vijon:</w:t>
      </w:r>
    </w:p>
    <w:p w:rsidR="005D3CCC" w:rsidRPr="003E1FCC" w:rsidRDefault="005D3CCC" w:rsidP="005D3CCC">
      <w:pPr>
        <w:pStyle w:val="Paragrafi"/>
        <w:rPr>
          <w:color w:val="000000"/>
          <w:spacing w:val="-4"/>
          <w:lang w:val="sq-AL" w:eastAsia="en-GB"/>
        </w:rPr>
      </w:pPr>
      <w:r w:rsidRPr="003E1FCC">
        <w:rPr>
          <w:color w:val="000000"/>
          <w:spacing w:val="-4"/>
          <w:lang w:val="sq-AL" w:eastAsia="en-GB"/>
        </w:rPr>
        <w:t>i) kësti i parë, do të paguhet brenda datës 10 prill;</w:t>
      </w:r>
    </w:p>
    <w:p w:rsidR="005D3CCC" w:rsidRPr="003E1FCC" w:rsidRDefault="005D3CCC" w:rsidP="005D3CCC">
      <w:pPr>
        <w:pStyle w:val="Paragrafi"/>
        <w:rPr>
          <w:color w:val="000000"/>
          <w:spacing w:val="-4"/>
          <w:lang w:val="sq-AL" w:eastAsia="en-GB"/>
        </w:rPr>
      </w:pPr>
      <w:r w:rsidRPr="003E1FCC">
        <w:rPr>
          <w:color w:val="000000"/>
          <w:spacing w:val="-4"/>
          <w:lang w:val="sq-AL" w:eastAsia="en-GB"/>
        </w:rPr>
        <w:t>ii) kësti i dytë, do të paguhet brenda datës 10 korrik;</w:t>
      </w:r>
    </w:p>
    <w:p w:rsidR="005D3CCC" w:rsidRPr="003E1FCC" w:rsidRDefault="005D3CCC" w:rsidP="005D3CCC">
      <w:pPr>
        <w:pStyle w:val="Paragrafi"/>
        <w:rPr>
          <w:color w:val="000000"/>
          <w:spacing w:val="-4"/>
          <w:lang w:val="sq-AL" w:eastAsia="en-GB"/>
        </w:rPr>
      </w:pPr>
      <w:r w:rsidRPr="003E1FCC">
        <w:rPr>
          <w:color w:val="000000"/>
          <w:spacing w:val="-4"/>
          <w:lang w:val="sq-AL" w:eastAsia="en-GB"/>
        </w:rPr>
        <w:t>iii) kësti i tretë do të paguhet brenda datës 10 tetor;</w:t>
      </w:r>
    </w:p>
    <w:p w:rsidR="005D3CCC" w:rsidRPr="003E1FCC" w:rsidRDefault="005D3CCC" w:rsidP="005D3CCC">
      <w:pPr>
        <w:pStyle w:val="Paragrafi"/>
        <w:rPr>
          <w:color w:val="000000"/>
          <w:spacing w:val="-4"/>
          <w:lang w:val="sq-AL" w:eastAsia="en-GB"/>
        </w:rPr>
      </w:pPr>
      <w:r w:rsidRPr="003E1FCC">
        <w:rPr>
          <w:color w:val="000000"/>
          <w:spacing w:val="-4"/>
          <w:lang w:val="sq-AL" w:eastAsia="en-GB"/>
        </w:rPr>
        <w:t>iv) kësti i katërt, do të paguhet brenda datës 10 janar (i vitit pasardhës).</w:t>
      </w:r>
    </w:p>
    <w:p w:rsidR="005D3CCC" w:rsidRPr="003E1FCC" w:rsidRDefault="005D3CCC" w:rsidP="005D3CCC">
      <w:pPr>
        <w:pStyle w:val="Paragrafi"/>
        <w:rPr>
          <w:color w:val="000000"/>
          <w:spacing w:val="-4"/>
          <w:lang w:val="sq-AL" w:eastAsia="en-GB"/>
        </w:rPr>
      </w:pPr>
      <w:r w:rsidRPr="003E1FCC">
        <w:rPr>
          <w:color w:val="000000"/>
          <w:spacing w:val="-4"/>
          <w:lang w:val="sq-AL" w:eastAsia="en-GB"/>
        </w:rPr>
        <w:t xml:space="preserve">11. Në rast se pagesa e këstit nuk kryhet në përputhje me afatet e përcaktuara në pikën 10 të këtij udhëzimi, AMLF-jA njofton subjektin për detyrimin e papaguar dhe penalitetet që aplikohen sipas ligjit nr. 155/2015 “Për lojërat e fatit në Republikën e Shqipërisë” duke kërkuar njëkohësisht kryerjen e </w:t>
      </w:r>
      <w:r w:rsidRPr="003E1FCC">
        <w:rPr>
          <w:color w:val="000000"/>
          <w:spacing w:val="-4"/>
          <w:lang w:val="sq-AL" w:eastAsia="en-GB"/>
        </w:rPr>
        <w:lastRenderedPageBreak/>
        <w:t xml:space="preserve">menjëhershme të pagesës. </w:t>
      </w:r>
    </w:p>
    <w:p w:rsidR="005D3CCC" w:rsidRPr="003E1FCC" w:rsidRDefault="005D3CCC" w:rsidP="005D3CCC">
      <w:pPr>
        <w:pStyle w:val="Paragrafi"/>
        <w:rPr>
          <w:color w:val="000000"/>
          <w:spacing w:val="-4"/>
          <w:lang w:val="sq-AL" w:eastAsia="en-GB"/>
        </w:rPr>
      </w:pPr>
      <w:r w:rsidRPr="003E1FCC">
        <w:rPr>
          <w:color w:val="000000"/>
          <w:spacing w:val="-4"/>
          <w:lang w:val="sq-AL" w:eastAsia="en-GB"/>
        </w:rPr>
        <w:t>12. Të ardhurat e siguruara nga pagesat që bëjnë organizatorët e lojërave të fatit përdoren për financimin e veprimtarisë së AMLF-së në përputhje me parashikimet e nenit 12, të ligjit nr. 155/2015, “Për lojërat e fatit në Republikën e Shqipërisë”.</w:t>
      </w:r>
    </w:p>
    <w:p w:rsidR="005D3CCC" w:rsidRPr="003E1FCC" w:rsidRDefault="005D3CCC" w:rsidP="005D3CCC">
      <w:pPr>
        <w:pStyle w:val="Paragrafi"/>
        <w:rPr>
          <w:color w:val="000000"/>
          <w:spacing w:val="-4"/>
          <w:lang w:val="sq-AL" w:eastAsia="en-GB"/>
        </w:rPr>
      </w:pPr>
      <w:r w:rsidRPr="003E1FCC">
        <w:rPr>
          <w:color w:val="000000"/>
          <w:spacing w:val="-4"/>
          <w:lang w:val="sq-AL" w:eastAsia="en-GB"/>
        </w:rPr>
        <w:t xml:space="preserve">13. Ngarkohet Autoriteti i Mbikëqyrjes së Lojërave të Fatit dhe Shoqëritë e licencuara në këtë fushë për zbatimin e këtij udhëzimi. </w:t>
      </w:r>
    </w:p>
    <w:p w:rsidR="005D3CCC" w:rsidRPr="003E1FCC" w:rsidRDefault="005D3CCC" w:rsidP="005D3CCC">
      <w:pPr>
        <w:pStyle w:val="Paragrafi"/>
        <w:rPr>
          <w:color w:val="000000"/>
          <w:spacing w:val="-4"/>
          <w:lang w:val="sq-AL" w:eastAsia="en-GB"/>
        </w:rPr>
      </w:pPr>
      <w:r w:rsidRPr="003E1FCC">
        <w:rPr>
          <w:color w:val="000000"/>
          <w:spacing w:val="-4"/>
          <w:lang w:val="sq-AL" w:eastAsia="en-GB"/>
        </w:rPr>
        <w:t xml:space="preserve">14. Udhëzimi nr. 47, datë 26.11.2009, “Për mënyrën dhe afatet e kryerjes së pagesës së detyrimeve ligjore të subjekteve të miratuara dhe të licencuara në fushën e lojërave të fatit”, shfuqizohet. </w:t>
      </w:r>
    </w:p>
    <w:p w:rsidR="005D3CCC" w:rsidRPr="003E1FCC" w:rsidRDefault="005D3CCC" w:rsidP="005D3CCC">
      <w:pPr>
        <w:pStyle w:val="Paragrafi"/>
        <w:rPr>
          <w:spacing w:val="-4"/>
          <w:lang w:val="sq-AL"/>
        </w:rPr>
      </w:pPr>
      <w:r w:rsidRPr="003E1FCC">
        <w:rPr>
          <w:spacing w:val="-4"/>
          <w:lang w:val="sq-AL"/>
        </w:rPr>
        <w:t>Ky udhëzim hyn në fuqi pas botimit në Fletoren Zyrtare.</w:t>
      </w:r>
    </w:p>
    <w:p w:rsidR="005D3CCC" w:rsidRPr="003E1FCC" w:rsidRDefault="005D3CCC" w:rsidP="005D3CCC">
      <w:pPr>
        <w:pStyle w:val="Autoriteti"/>
        <w:rPr>
          <w:spacing w:val="-4"/>
          <w:lang w:val="sq-AL"/>
        </w:rPr>
      </w:pPr>
      <w:r w:rsidRPr="003E1FCC">
        <w:rPr>
          <w:spacing w:val="-4"/>
          <w:lang w:val="sq-AL"/>
        </w:rPr>
        <w:t>MINISTri I FINANCAVE</w:t>
      </w:r>
    </w:p>
    <w:p w:rsidR="005D3CCC" w:rsidRPr="003E1FCC" w:rsidRDefault="005D3CCC" w:rsidP="005D3CCC">
      <w:pPr>
        <w:pStyle w:val="AutoritetiEmer"/>
        <w:rPr>
          <w:spacing w:val="-4"/>
          <w:lang w:val="sq-AL"/>
        </w:rPr>
      </w:pPr>
      <w:r w:rsidRPr="003E1FCC">
        <w:rPr>
          <w:spacing w:val="-4"/>
          <w:lang w:val="sq-AL"/>
        </w:rPr>
        <w:t>Arben Ahmetaj</w:t>
      </w:r>
    </w:p>
    <w:p w:rsidR="005D3CCC" w:rsidRPr="003E1FCC" w:rsidRDefault="005D3CCC" w:rsidP="005D3CCC">
      <w:pPr>
        <w:pStyle w:val="Hapesira7"/>
        <w:rPr>
          <w:spacing w:val="-4"/>
          <w:lang w:val="sq-AL"/>
        </w:rPr>
      </w:pPr>
    </w:p>
    <w:p w:rsidR="004F59B3" w:rsidRDefault="004F59B3">
      <w:bookmarkStart w:id="0" w:name="_GoBack"/>
      <w:bookmarkEnd w:id="0"/>
    </w:p>
    <w:sectPr w:rsidR="004F59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A35"/>
    <w:rsid w:val="004F59B3"/>
    <w:rsid w:val="005D3CCC"/>
    <w:rsid w:val="00B22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988F5B0-752F-47F8-B206-6B96A3505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3CCC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5D3CC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5D3CC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5D3CCC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5D3CC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5D3CCC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uiPriority w:val="99"/>
    <w:rsid w:val="005D3CCC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uiPriority w:val="99"/>
    <w:rsid w:val="005D3CCC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5D3CCC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5D3CCC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5D3CCC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5D3CCC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5D3CCC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5D3CCC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5D3CCC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636</Words>
  <Characters>3631</Characters>
  <Application>Microsoft Office Word</Application>
  <DocSecurity>0</DocSecurity>
  <Lines>30</Lines>
  <Paragraphs>8</Paragraphs>
  <ScaleCrop>false</ScaleCrop>
  <Company/>
  <LinksUpToDate>false</LinksUpToDate>
  <CharactersWithSpaces>4259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Gledis Blushi</cp:lastModifiedBy>
  <cp:revision>2</cp:revision>
  <dcterms:created xsi:type="dcterms:W3CDTF">2017-01-23T10:07:00Z</dcterms:created>
  <dcterms:modified xsi:type="dcterms:W3CDTF">2017-01-23T10:07:00Z</dcterms:modified>
</cp:coreProperties>
</file>