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349" w:rsidRPr="003E1FCC" w:rsidRDefault="00A06349" w:rsidP="00A06349">
      <w:pPr>
        <w:pStyle w:val="Akti"/>
        <w:rPr>
          <w:spacing w:val="-4"/>
          <w:lang w:val="sq-AL"/>
        </w:rPr>
      </w:pPr>
      <w:bookmarkStart w:id="0" w:name="_GoBack"/>
      <w:r w:rsidRPr="003E1FCC">
        <w:rPr>
          <w:spacing w:val="-4"/>
          <w:lang w:val="sq-AL"/>
        </w:rPr>
        <w:t>UDHËZIM</w:t>
      </w:r>
    </w:p>
    <w:p w:rsidR="00A06349" w:rsidRPr="003E1FCC" w:rsidRDefault="00A06349" w:rsidP="00A06349">
      <w:pPr>
        <w:pStyle w:val="NumriData"/>
        <w:rPr>
          <w:spacing w:val="-4"/>
          <w:lang w:val="sq-AL"/>
        </w:rPr>
      </w:pPr>
      <w:r w:rsidRPr="003E1FCC">
        <w:rPr>
          <w:spacing w:val="-4"/>
          <w:lang w:val="sq-AL"/>
        </w:rPr>
        <w:t>Nr. 7, datë 10.1.2017</w:t>
      </w:r>
    </w:p>
    <w:p w:rsidR="00A06349" w:rsidRPr="003E1FCC" w:rsidRDefault="00A06349" w:rsidP="00A06349">
      <w:pPr>
        <w:pStyle w:val="Hapesira7"/>
        <w:rPr>
          <w:spacing w:val="-4"/>
          <w:lang w:val="sq-AL"/>
        </w:rPr>
      </w:pPr>
    </w:p>
    <w:p w:rsidR="00A06349" w:rsidRPr="003E1FCC" w:rsidRDefault="00A06349" w:rsidP="00A06349">
      <w:pPr>
        <w:pStyle w:val="Titulli"/>
        <w:rPr>
          <w:spacing w:val="-4"/>
          <w:lang w:val="sq-AL"/>
        </w:rPr>
      </w:pPr>
      <w:r w:rsidRPr="003E1FCC">
        <w:rPr>
          <w:spacing w:val="-4"/>
          <w:lang w:val="sq-AL"/>
        </w:rPr>
        <w:t>PËR DISA SHTESA NË UDHËZIMIN NR. 24, DATË 2.9.2008 “PËR PROCEDURAT TATIMORE NË REPUBLIKËN E SHQIPËRISË”, TË NDRYSHUAR</w:t>
      </w:r>
    </w:p>
    <w:p w:rsidR="00A06349" w:rsidRPr="003E1FCC" w:rsidRDefault="00A06349" w:rsidP="00A06349">
      <w:pPr>
        <w:pStyle w:val="Hapesira7"/>
        <w:rPr>
          <w:spacing w:val="-4"/>
          <w:lang w:val="sq-AL"/>
        </w:rPr>
      </w:pPr>
    </w:p>
    <w:p w:rsidR="00A06349" w:rsidRPr="003E1FCC" w:rsidRDefault="00A06349" w:rsidP="00A06349">
      <w:pPr>
        <w:pStyle w:val="Heading1"/>
        <w:spacing w:before="0" w:after="0"/>
        <w:ind w:firstLine="284"/>
        <w:rPr>
          <w:rFonts w:ascii="Garamond" w:hAnsi="Garamond" w:cstheme="majorBidi"/>
          <w:b w:val="0"/>
          <w:spacing w:val="-4"/>
          <w:sz w:val="24"/>
          <w:szCs w:val="24"/>
          <w:lang w:val="sq-AL"/>
        </w:rPr>
      </w:pPr>
      <w:r w:rsidRPr="003E1FCC">
        <w:rPr>
          <w:rFonts w:ascii="Garamond" w:hAnsi="Garamond" w:cstheme="majorBidi"/>
          <w:b w:val="0"/>
          <w:spacing w:val="-4"/>
          <w:sz w:val="24"/>
          <w:szCs w:val="24"/>
          <w:lang w:val="sq-AL"/>
        </w:rPr>
        <w:t>Në mbështetje të nenit 102, pika 4, të Kushtetutës së Republikës së Shqipërisë dhe në zbatim të ligjit nr. 112/2016, “Për disa shtesa dhe ndryshime në ligjin nr. 9920, datë 19.5.2008, “Për procedurat tatimore në Republikën e Shqipërisë”, ministri i Financave</w:t>
      </w:r>
    </w:p>
    <w:p w:rsidR="00A06349" w:rsidRPr="003E1FCC" w:rsidRDefault="00A06349" w:rsidP="00A06349">
      <w:pPr>
        <w:pStyle w:val="Hapesira7"/>
        <w:rPr>
          <w:spacing w:val="-4"/>
          <w:lang w:val="sq-AL"/>
        </w:rPr>
      </w:pPr>
    </w:p>
    <w:p w:rsidR="00A06349" w:rsidRPr="003E1FCC" w:rsidRDefault="00A06349" w:rsidP="00A06349">
      <w:pPr>
        <w:pStyle w:val="Titull-Titull"/>
        <w:rPr>
          <w:spacing w:val="-4"/>
          <w:lang w:val="sq-AL"/>
        </w:rPr>
      </w:pPr>
      <w:r w:rsidRPr="003E1FCC">
        <w:rPr>
          <w:spacing w:val="-4"/>
          <w:lang w:val="sq-AL"/>
        </w:rPr>
        <w:t>UDHËZON:</w:t>
      </w:r>
    </w:p>
    <w:p w:rsidR="00A06349" w:rsidRPr="003E1FCC" w:rsidRDefault="00A06349" w:rsidP="00A06349">
      <w:pPr>
        <w:pStyle w:val="Hapesira7"/>
        <w:rPr>
          <w:spacing w:val="-4"/>
          <w:lang w:val="sq-AL"/>
        </w:rPr>
      </w:pPr>
    </w:p>
    <w:p w:rsidR="00A06349" w:rsidRPr="003E1FCC" w:rsidRDefault="00A06349" w:rsidP="00A06349">
      <w:pPr>
        <w:pStyle w:val="NumriData"/>
        <w:ind w:firstLine="284"/>
        <w:jc w:val="both"/>
        <w:rPr>
          <w:rFonts w:cstheme="majorBidi"/>
          <w:b w:val="0"/>
          <w:spacing w:val="-4"/>
          <w:szCs w:val="24"/>
          <w:lang w:val="sq-AL"/>
        </w:rPr>
      </w:pPr>
      <w:r w:rsidRPr="003E1FCC">
        <w:rPr>
          <w:rFonts w:cstheme="majorBidi"/>
          <w:b w:val="0"/>
          <w:spacing w:val="-4"/>
          <w:szCs w:val="24"/>
          <w:lang w:val="sq-AL"/>
        </w:rPr>
        <w:t>Në udhëzimin nr. 24, datë 2.9.2008 “Për procedurat tatimore në Republikën e Shqipërisë”, të ndryshuar”, bëhen shtesat dhe ndryshimet e mëposhtme:</w:t>
      </w:r>
    </w:p>
    <w:p w:rsidR="00A06349" w:rsidRPr="003E1FCC" w:rsidRDefault="00A06349" w:rsidP="00A06349">
      <w:pPr>
        <w:pStyle w:val="ListParagraph"/>
        <w:numPr>
          <w:ilvl w:val="0"/>
          <w:numId w:val="22"/>
        </w:numPr>
        <w:spacing w:after="0" w:line="240" w:lineRule="auto"/>
        <w:ind w:left="0" w:firstLine="284"/>
        <w:jc w:val="both"/>
        <w:rPr>
          <w:rFonts w:ascii="Garamond" w:eastAsia="Batang" w:hAnsi="Garamond" w:cstheme="majorBidi"/>
          <w:spacing w:val="-4"/>
          <w:sz w:val="24"/>
          <w:szCs w:val="24"/>
          <w:lang w:val="sq-AL"/>
        </w:rPr>
      </w:pPr>
      <w:r w:rsidRPr="003E1FCC">
        <w:rPr>
          <w:rFonts w:ascii="Garamond" w:eastAsia="Batang" w:hAnsi="Garamond" w:cstheme="majorBidi"/>
          <w:b/>
          <w:spacing w:val="-4"/>
          <w:sz w:val="24"/>
          <w:szCs w:val="24"/>
          <w:lang w:val="sq-AL"/>
        </w:rPr>
        <w:t xml:space="preserve"> Kudo në përmbajtje të udhëzimit, përcaktimi</w:t>
      </w:r>
      <w:r w:rsidRPr="003E1FCC">
        <w:rPr>
          <w:rFonts w:ascii="Garamond" w:eastAsia="Batang" w:hAnsi="Garamond" w:cstheme="majorBidi"/>
          <w:spacing w:val="-4"/>
          <w:sz w:val="24"/>
          <w:szCs w:val="24"/>
          <w:lang w:val="sq-AL"/>
        </w:rPr>
        <w:t xml:space="preserve"> “Qendra Kombëtare e Regjistrimit’, zëvendësohet me përcaktimin “Qendra Kombëtare e Biznesit”.</w:t>
      </w:r>
    </w:p>
    <w:p w:rsidR="00A06349" w:rsidRPr="003E1FCC" w:rsidRDefault="00A06349" w:rsidP="00A06349">
      <w:pPr>
        <w:pStyle w:val="ListParagraph"/>
        <w:numPr>
          <w:ilvl w:val="0"/>
          <w:numId w:val="22"/>
        </w:numPr>
        <w:shd w:val="clear" w:color="auto" w:fill="FFFFFF"/>
        <w:spacing w:after="0" w:line="240" w:lineRule="auto"/>
        <w:ind w:left="0" w:firstLine="284"/>
        <w:jc w:val="both"/>
        <w:rPr>
          <w:rFonts w:ascii="Garamond" w:hAnsi="Garamond" w:cstheme="majorBidi"/>
          <w:b/>
          <w:spacing w:val="-4"/>
          <w:sz w:val="24"/>
          <w:szCs w:val="24"/>
          <w:lang w:val="sq-AL"/>
        </w:rPr>
      </w:pPr>
      <w:r w:rsidRPr="003E1FCC">
        <w:rPr>
          <w:rFonts w:ascii="Garamond" w:hAnsi="Garamond" w:cstheme="majorBidi"/>
          <w:b/>
          <w:spacing w:val="-4"/>
          <w:sz w:val="24"/>
          <w:szCs w:val="24"/>
          <w:lang w:val="sq-AL"/>
        </w:rPr>
        <w:t xml:space="preserve"> Në pikën 10 bëhen ndryshimet dhe shtesat e mëposhtme:</w:t>
      </w:r>
    </w:p>
    <w:p w:rsidR="00A06349" w:rsidRPr="003E1FCC" w:rsidRDefault="00A06349" w:rsidP="00A06349">
      <w:pPr>
        <w:pStyle w:val="ListParagraph"/>
        <w:numPr>
          <w:ilvl w:val="0"/>
          <w:numId w:val="23"/>
        </w:numPr>
        <w:shd w:val="clear" w:color="auto" w:fill="FFFFFF"/>
        <w:spacing w:after="0" w:line="240" w:lineRule="auto"/>
        <w:ind w:left="0" w:firstLine="284"/>
        <w:jc w:val="both"/>
        <w:rPr>
          <w:rFonts w:ascii="Garamond" w:eastAsia="Batang" w:hAnsi="Garamond" w:cstheme="majorBidi"/>
          <w:spacing w:val="-4"/>
          <w:sz w:val="24"/>
          <w:szCs w:val="24"/>
          <w:lang w:val="sq-AL"/>
        </w:rPr>
      </w:pPr>
      <w:r w:rsidRPr="003E1FCC">
        <w:rPr>
          <w:rFonts w:ascii="Garamond" w:eastAsia="Batang" w:hAnsi="Garamond" w:cstheme="majorBidi"/>
          <w:spacing w:val="-4"/>
          <w:sz w:val="24"/>
          <w:szCs w:val="24"/>
          <w:lang w:val="sq-AL"/>
        </w:rPr>
        <w:t xml:space="preserve"> Dy fjalitë e fundit të pikës 10.2.1 ndryshojnë si më poshtë:</w:t>
      </w:r>
    </w:p>
    <w:p w:rsidR="00A06349" w:rsidRPr="003E1FCC" w:rsidRDefault="00A06349" w:rsidP="00A06349">
      <w:pPr>
        <w:shd w:val="clear" w:color="auto" w:fill="FFFFFF"/>
        <w:spacing w:after="0" w:line="240" w:lineRule="auto"/>
        <w:rPr>
          <w:rFonts w:ascii="Garamond" w:hAnsi="Garamond"/>
          <w:spacing w:val="-4"/>
          <w:sz w:val="24"/>
          <w:szCs w:val="24"/>
          <w:lang w:val="sq-AL"/>
        </w:rPr>
      </w:pPr>
      <w:r w:rsidRPr="003E1FCC">
        <w:rPr>
          <w:rFonts w:ascii="Garamond" w:hAnsi="Garamond" w:cstheme="majorBidi"/>
          <w:spacing w:val="-4"/>
          <w:sz w:val="24"/>
          <w:szCs w:val="24"/>
          <w:lang w:val="sq-AL"/>
        </w:rPr>
        <w:t>“Vendimet e drejtorit të Përgjithshëm të Tatimeve procedurialisht nxirren në përputhje me “Kodin e Procedurës Administrative” dhe publikimi i tyre bëhet në formë të tillë që të mos identifikohen tatimpagues të veçantë, por të jetë shprehur qartë rasti/ngjarja për të cilën është nxjerrë vendimi teknik. Vendimi zbatohet</w:t>
      </w:r>
      <w:r w:rsidRPr="003E1FCC">
        <w:rPr>
          <w:rFonts w:ascii="Garamond" w:hAnsi="Garamond"/>
          <w:spacing w:val="-4"/>
          <w:sz w:val="24"/>
          <w:szCs w:val="24"/>
          <w:lang w:val="sq-AL"/>
        </w:rPr>
        <w:t xml:space="preserve"> njëlloj nga strukturat e administratës tatimore qendrore, për raste të tjera të ngjashme.”.</w:t>
      </w:r>
    </w:p>
    <w:p w:rsidR="00A06349" w:rsidRPr="003E1FCC" w:rsidRDefault="00A06349" w:rsidP="00A06349">
      <w:pPr>
        <w:pStyle w:val="ListParagraph"/>
        <w:numPr>
          <w:ilvl w:val="0"/>
          <w:numId w:val="23"/>
        </w:numPr>
        <w:shd w:val="clear" w:color="auto" w:fill="FFFFFF"/>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Pas pikës 10.2.2 shtohet pika 10.2.3 me këtë përmbajtje:</w:t>
      </w:r>
    </w:p>
    <w:p w:rsidR="00A06349" w:rsidRPr="003E1FCC" w:rsidRDefault="00A06349" w:rsidP="00A06349">
      <w:pPr>
        <w:shd w:val="clear" w:color="auto" w:fill="FFFFFF"/>
        <w:spacing w:after="0" w:line="240" w:lineRule="auto"/>
        <w:rPr>
          <w:rFonts w:ascii="Garamond" w:hAnsi="Garamond" w:cstheme="majorBidi"/>
          <w:spacing w:val="-4"/>
          <w:sz w:val="24"/>
          <w:szCs w:val="24"/>
          <w:lang w:val="sq-AL"/>
        </w:rPr>
      </w:pPr>
      <w:r w:rsidRPr="003E1FCC">
        <w:rPr>
          <w:rFonts w:ascii="Garamond" w:hAnsi="Garamond"/>
          <w:spacing w:val="-4"/>
          <w:sz w:val="24"/>
          <w:szCs w:val="24"/>
          <w:lang w:val="sq-AL"/>
        </w:rPr>
        <w:t>“10.2.3 Vendimet teknike sipas përcaktimeve në pikën 10.2.1, mund të hartohen dhe t’i propozohen drejtorit të Përgjithshëm të Tatimeve nga ç</w:t>
      </w:r>
      <w:r w:rsidRPr="003E1FCC">
        <w:rPr>
          <w:rFonts w:ascii="Garamond" w:hAnsi="Garamond" w:cstheme="majorBidi"/>
          <w:spacing w:val="-4"/>
          <w:sz w:val="24"/>
          <w:szCs w:val="24"/>
          <w:lang w:val="sq-AL"/>
        </w:rPr>
        <w:t xml:space="preserve">do drejtori pjesë përbërëse e strukturës së Drejtorisë së Përgjithshme të Tatimeve sipas funksioneve, detyrave dhe përgjegjësive që ka për administrimin tatimor, në përputhje me procedurat që ndjek bazuar në trajtimin e rasteve specifike të ndeshura gjatë punës, ose të paraqitura prej tatimpaguesve, ose prej strukturave të administratës tatimore në varësi, sipas natyrës së çështjeve, të tilla si: procedura të regjistrimit, çregjistrimit, shërbimit të tatimpaguesit, vlerësimit dhe kontrollit, analizës së riskut, mbledhjes së borxhit, rimbursimit, çështjet që kanë të bëjnë me plotësimin e deklaratave, deklarimin apo sistemin tatimor, marrëveshjet tatimore, pagesat e tatimeve, dokumentimin, çështje teknike tatimore etj. </w:t>
      </w:r>
    </w:p>
    <w:p w:rsidR="00A06349" w:rsidRPr="003E1FCC" w:rsidRDefault="00A06349" w:rsidP="00A06349">
      <w:pPr>
        <w:shd w:val="clear" w:color="auto" w:fill="FFFFFF"/>
        <w:spacing w:after="0" w:line="240" w:lineRule="auto"/>
        <w:rPr>
          <w:rFonts w:ascii="Garamond" w:hAnsi="Garamond" w:cstheme="majorBidi"/>
          <w:spacing w:val="-4"/>
          <w:sz w:val="24"/>
          <w:szCs w:val="24"/>
          <w:lang w:val="sq-AL"/>
        </w:rPr>
      </w:pPr>
      <w:r w:rsidRPr="003E1FCC">
        <w:rPr>
          <w:rFonts w:ascii="Garamond" w:hAnsi="Garamond" w:cstheme="majorBidi"/>
          <w:spacing w:val="-4"/>
          <w:sz w:val="24"/>
          <w:szCs w:val="24"/>
          <w:lang w:val="sq-AL"/>
        </w:rPr>
        <w:t xml:space="preserve">Në fund të muajit korrik dhe dhjetor të çdo viti, Drejtoria e Përgjithshme e Tatimeve përgatit komentarë përmbledhës të vendimeve teknike, në lidhje me mënyrën e trajtimit tatimor të rasteve specifike, duke i grupuar ato sipas natyrës së tyre. Këta komentarë përmbledhës publikohen në faqen zyrtare të DPT-së brenda muajit pasardhës, në një rubrikë të posaçme për këtë qëllim.”. </w:t>
      </w:r>
    </w:p>
    <w:p w:rsidR="00A06349" w:rsidRPr="003E1FCC" w:rsidRDefault="00A06349" w:rsidP="00A06349">
      <w:pPr>
        <w:pStyle w:val="ListParagraph"/>
        <w:numPr>
          <w:ilvl w:val="0"/>
          <w:numId w:val="22"/>
        </w:numPr>
        <w:spacing w:after="0" w:line="240" w:lineRule="auto"/>
        <w:ind w:left="0" w:firstLine="284"/>
        <w:jc w:val="both"/>
        <w:rPr>
          <w:rFonts w:ascii="Garamond" w:eastAsia="Batang" w:hAnsi="Garamond" w:cstheme="majorBidi"/>
          <w:b/>
          <w:spacing w:val="-4"/>
          <w:sz w:val="24"/>
          <w:szCs w:val="24"/>
          <w:lang w:val="sq-AL"/>
        </w:rPr>
      </w:pPr>
      <w:r w:rsidRPr="003E1FCC">
        <w:rPr>
          <w:rFonts w:ascii="Garamond" w:eastAsia="Batang" w:hAnsi="Garamond" w:cstheme="majorBidi"/>
          <w:b/>
          <w:spacing w:val="-4"/>
          <w:sz w:val="24"/>
          <w:szCs w:val="24"/>
          <w:lang w:val="sq-AL"/>
        </w:rPr>
        <w:t xml:space="preserve"> Pas pikës 11.3 shtohet pika 11.4 me përmbajtjen e mëposhtme:</w:t>
      </w:r>
    </w:p>
    <w:p w:rsidR="00A06349" w:rsidRPr="003E1FCC" w:rsidRDefault="00A06349" w:rsidP="00A06349">
      <w:pPr>
        <w:spacing w:after="0" w:line="240" w:lineRule="auto"/>
        <w:rPr>
          <w:rFonts w:ascii="Garamond" w:hAnsi="Garamond" w:cstheme="majorBidi"/>
          <w:spacing w:val="-4"/>
          <w:sz w:val="24"/>
          <w:szCs w:val="24"/>
          <w:lang w:val="sq-AL"/>
        </w:rPr>
      </w:pPr>
      <w:r w:rsidRPr="003E1FCC">
        <w:rPr>
          <w:rFonts w:ascii="Garamond" w:hAnsi="Garamond" w:cstheme="majorBidi"/>
          <w:spacing w:val="-4"/>
          <w:sz w:val="24"/>
          <w:szCs w:val="24"/>
          <w:lang w:val="sq-AL"/>
        </w:rPr>
        <w:t xml:space="preserve">“11.4 Për sa i përket aplikimit të dispozitave të marrëveshjeve dypalëshe për eliminimin e tatimeve të dyfishta dhe shmangien e evazionit tatimor, tatimpaguesit dhe drejtoritë rajonale tatimore ndjekin procedurat e përcaktuara në këtë udhëzim dhe/ose procedurat e përcaktuara në udhëzimin e posaçëm për zbatimin e këtyre marrëveshjeve. Në çdo rast kur drejtoritë rajonale tatimore nëpërmjet kontrolleve në kompetencën e tyre, kryejnë verifikimin në vend të çështjeve mbi zbatimin e marrëveshjeve tatimore për eliminimin e tatimit të dyfishtë, kanë të drejtë që përveç se të kryejnë vlerësim tatimor nëse konstatojnë shkelje të dispozitave të këtyre marrëveshjeve, kur e gjykojnë kërkojnë qëndrimin e strukturës përkatëse në Drejtorinë e Përgjithshme të Tatimeve, ose i kërkojnë kësaj strukture edhe shkëmbimin e informacionit midis autoriteteve kompetente të shteteve palë në marrëveshje.”. </w:t>
      </w:r>
    </w:p>
    <w:p w:rsidR="00A06349" w:rsidRPr="003E1FCC" w:rsidRDefault="00A06349" w:rsidP="00A06349">
      <w:pPr>
        <w:pStyle w:val="ListParagraph"/>
        <w:numPr>
          <w:ilvl w:val="0"/>
          <w:numId w:val="22"/>
        </w:numPr>
        <w:spacing w:after="0" w:line="240" w:lineRule="auto"/>
        <w:ind w:left="0" w:firstLine="284"/>
        <w:jc w:val="both"/>
        <w:rPr>
          <w:rFonts w:ascii="Garamond" w:hAnsi="Garamond" w:cstheme="majorBidi"/>
          <w:spacing w:val="-4"/>
          <w:sz w:val="24"/>
          <w:szCs w:val="24"/>
          <w:lang w:val="sq-AL"/>
        </w:rPr>
      </w:pPr>
      <w:r w:rsidRPr="003E1FCC">
        <w:rPr>
          <w:rFonts w:ascii="Garamond" w:hAnsi="Garamond" w:cstheme="majorBidi"/>
          <w:spacing w:val="-4"/>
          <w:sz w:val="24"/>
          <w:szCs w:val="24"/>
          <w:lang w:val="sq-AL"/>
        </w:rPr>
        <w:t xml:space="preserve"> Në pikën 13.1, shkronja “a” hiqet shprehja “dhe Drejtoria e Apelimit Tatimor”.</w:t>
      </w:r>
    </w:p>
    <w:p w:rsidR="00A06349" w:rsidRPr="003E1FCC" w:rsidRDefault="00A06349" w:rsidP="00A06349">
      <w:pPr>
        <w:pStyle w:val="ListParagraph"/>
        <w:numPr>
          <w:ilvl w:val="0"/>
          <w:numId w:val="22"/>
        </w:numPr>
        <w:spacing w:after="0" w:line="240" w:lineRule="auto"/>
        <w:ind w:left="0" w:firstLine="284"/>
        <w:jc w:val="both"/>
        <w:rPr>
          <w:rFonts w:ascii="Garamond" w:hAnsi="Garamond" w:cstheme="majorBidi"/>
          <w:b/>
          <w:spacing w:val="-4"/>
          <w:sz w:val="24"/>
          <w:szCs w:val="24"/>
          <w:lang w:val="sq-AL"/>
        </w:rPr>
      </w:pPr>
      <w:r w:rsidRPr="003E1FCC">
        <w:rPr>
          <w:rFonts w:ascii="Garamond" w:eastAsia="Batang" w:hAnsi="Garamond" w:cstheme="majorBidi"/>
          <w:b/>
          <w:spacing w:val="-4"/>
          <w:sz w:val="24"/>
          <w:szCs w:val="24"/>
          <w:lang w:val="sq-AL"/>
        </w:rPr>
        <w:t xml:space="preserve"> Në pikën 16 bëhen shtesat dhe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eastAsia="Batang" w:hAnsi="Garamond" w:cstheme="majorBidi"/>
          <w:spacing w:val="-4"/>
          <w:sz w:val="24"/>
          <w:szCs w:val="24"/>
          <w:lang w:val="sq-AL"/>
        </w:rPr>
      </w:pPr>
      <w:r w:rsidRPr="003E1FCC">
        <w:rPr>
          <w:rFonts w:ascii="Garamond" w:eastAsia="Batang" w:hAnsi="Garamond" w:cstheme="majorBidi"/>
          <w:spacing w:val="-4"/>
          <w:sz w:val="24"/>
          <w:szCs w:val="24"/>
          <w:lang w:val="sq-AL"/>
        </w:rPr>
        <w:t xml:space="preserve"> Fjalia e dytë e pikës 16.2 hiqet.</w:t>
      </w:r>
    </w:p>
    <w:p w:rsidR="00A06349" w:rsidRPr="003E1FCC" w:rsidRDefault="00A06349" w:rsidP="00A06349">
      <w:pPr>
        <w:pStyle w:val="ListParagraph"/>
        <w:numPr>
          <w:ilvl w:val="0"/>
          <w:numId w:val="2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pikën 16.2 shtohet fjalia me përmbajtjen “Organigrama i paraqitet ministrit të Financave për miratim nga Drejtori i Përgjithshëm i Tatimeve, e shoqëruar me rregulloren e brendshme të Administratës Tatimore Qendrore. Në rastet kur propozohen ndryshime në strukturën organizative të administratës tatimore qendrore përveç rregullores, struktura organizative duhet të shoqërohet me një analizë të detajuar të çdo ndryshimi të propozuar.”. </w:t>
      </w:r>
    </w:p>
    <w:p w:rsidR="00A06349" w:rsidRPr="003E1FCC" w:rsidRDefault="00A06349" w:rsidP="00A06349">
      <w:pPr>
        <w:pStyle w:val="ListParagraph"/>
        <w:numPr>
          <w:ilvl w:val="0"/>
          <w:numId w:val="23"/>
        </w:numPr>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Pika 16.3 ndryshohet në përmbajtje si më poshtë:</w:t>
      </w:r>
    </w:p>
    <w:p w:rsidR="00A06349" w:rsidRPr="003E1FCC" w:rsidRDefault="00A06349" w:rsidP="00A06349">
      <w:pPr>
        <w:pStyle w:val="ListParagraph"/>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“16.3. Administrata tatimore qendrore është e organizuar në drejtori dhe njësi të tjera sipas funksioneve të mëposhtme: </w:t>
      </w:r>
    </w:p>
    <w:p w:rsidR="00A06349" w:rsidRPr="003E1FCC" w:rsidRDefault="00A06349" w:rsidP="00A06349">
      <w:pPr>
        <w:pStyle w:val="ListParagraph"/>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lastRenderedPageBreak/>
        <w:t xml:space="preserve">a) funksionet bazë dhe operacionale, ku bëjnë pjesë: i) shërbimi, regjistrimi dhe edukimi i tatimpaguesit; ii) menaxhimi i riskut, rimbursimi i tatimeve, kontrolli tatimor; iii) mbledhja e detyrimeve tatimore/zbatimi i masave shtrënguese; iv) hetimi tatimor; v) investigimi i brendshëm antikorrupsion, auditi i brendshëm. </w:t>
      </w:r>
    </w:p>
    <w:p w:rsidR="00A06349" w:rsidRPr="003E1FCC" w:rsidRDefault="00A06349" w:rsidP="00A06349">
      <w:pPr>
        <w:pStyle w:val="ListParagraph"/>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b) funksionet mbështetëse, ku bëjnë pjesë: financa, statistikat dhe analiza, teknologjia e informacionit, shërbimi ligjor e teknik, shërbimet administrative, burimet njerëzore dhe marrëdhëniet institucionale.”.</w:t>
      </w:r>
    </w:p>
    <w:p w:rsidR="00A06349" w:rsidRPr="003E1FCC" w:rsidRDefault="00A06349" w:rsidP="00A06349">
      <w:pPr>
        <w:pStyle w:val="ListParagraph"/>
        <w:numPr>
          <w:ilvl w:val="0"/>
          <w:numId w:val="23"/>
        </w:numPr>
        <w:spacing w:after="0" w:line="240" w:lineRule="auto"/>
        <w:ind w:left="0" w:firstLine="284"/>
        <w:jc w:val="both"/>
        <w:rPr>
          <w:rFonts w:ascii="Garamond" w:eastAsia="Batang" w:hAnsi="Garamond"/>
          <w:spacing w:val="-4"/>
          <w:sz w:val="24"/>
          <w:szCs w:val="24"/>
          <w:lang w:val="sq-AL"/>
        </w:rPr>
      </w:pPr>
      <w:r w:rsidRPr="003E1FCC">
        <w:rPr>
          <w:rFonts w:ascii="Garamond" w:eastAsia="Batang" w:hAnsi="Garamond"/>
          <w:spacing w:val="-4"/>
          <w:sz w:val="24"/>
          <w:szCs w:val="24"/>
          <w:lang w:val="sq-AL"/>
        </w:rPr>
        <w:t xml:space="preserve"> Pika 16.4 hiqet.</w:t>
      </w:r>
    </w:p>
    <w:p w:rsidR="00A06349" w:rsidRPr="003E1FCC" w:rsidRDefault="00A06349" w:rsidP="00A06349">
      <w:pPr>
        <w:pStyle w:val="ListParagraph"/>
        <w:numPr>
          <w:ilvl w:val="0"/>
          <w:numId w:val="22"/>
        </w:numPr>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Pika 17 ndryshon në titull e përmbajtje si më poshtë:</w:t>
      </w:r>
    </w:p>
    <w:p w:rsidR="00A06349" w:rsidRPr="003E1FCC" w:rsidRDefault="00A06349" w:rsidP="00A06349">
      <w:pPr>
        <w:shd w:val="clear" w:color="auto" w:fill="FFFFFF"/>
        <w:spacing w:after="0" w:line="240" w:lineRule="auto"/>
        <w:rPr>
          <w:rFonts w:ascii="Garamond" w:hAnsi="Garamond"/>
          <w:spacing w:val="-4"/>
          <w:sz w:val="24"/>
          <w:szCs w:val="24"/>
          <w:lang w:val="sq-AL"/>
        </w:rPr>
      </w:pPr>
      <w:r w:rsidRPr="003E1FCC">
        <w:rPr>
          <w:rFonts w:ascii="Garamond" w:hAnsi="Garamond"/>
          <w:bCs/>
          <w:spacing w:val="-4"/>
          <w:sz w:val="24"/>
          <w:szCs w:val="24"/>
          <w:lang w:val="sq-AL"/>
        </w:rPr>
        <w:t>“17. Marrëdhënia e punës për Drejtorin e Përgjithshëm dhe zëvendësdrejtorët e përgjithshëm të tatimeve</w:t>
      </w:r>
    </w:p>
    <w:p w:rsidR="00A06349" w:rsidRPr="003E1FCC" w:rsidRDefault="00A06349" w:rsidP="00A06349">
      <w:pPr>
        <w:pStyle w:val="ListParagraph"/>
        <w:numPr>
          <w:ilvl w:val="1"/>
          <w:numId w:val="24"/>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Organ drejtues i administratës tatimore qendrore është drejtori i Përgjithshëm i Tatimeve.</w:t>
      </w:r>
    </w:p>
    <w:p w:rsidR="00A06349" w:rsidRPr="003E1FCC" w:rsidRDefault="00A06349" w:rsidP="00A06349">
      <w:pPr>
        <w:pStyle w:val="ListParagraph"/>
        <w:numPr>
          <w:ilvl w:val="1"/>
          <w:numId w:val="24"/>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Drejtori i Përgjithshëm i Tatimeve emërohet, lirohet apo shkarkohet nga detyra me vendim të Këshillit të Ministrave, me propozim të ministrit të Financave.</w:t>
      </w:r>
    </w:p>
    <w:p w:rsidR="00A06349" w:rsidRPr="003E1FCC" w:rsidRDefault="00A06349" w:rsidP="00A06349">
      <w:pPr>
        <w:pStyle w:val="ListParagraph"/>
        <w:numPr>
          <w:ilvl w:val="1"/>
          <w:numId w:val="24"/>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Zëvendësdrejtorët e përgjithshëm të tatimeve janë nëpunës civilë dhe emërohen e lirohen në përputhje me dispozitat e legjislacionit për nëpunësin civil, sipas propozimit të ministrit të Financave.”.</w:t>
      </w:r>
    </w:p>
    <w:p w:rsidR="00A06349" w:rsidRPr="003E1FCC" w:rsidRDefault="00A06349" w:rsidP="00A06349">
      <w:pPr>
        <w:pStyle w:val="ListParagraph"/>
        <w:numPr>
          <w:ilvl w:val="0"/>
          <w:numId w:val="22"/>
        </w:numPr>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Pika 18 ndryshohet në titull e përmbajtje si më poshtë:</w:t>
      </w:r>
    </w:p>
    <w:p w:rsidR="00A06349" w:rsidRPr="003E1FCC" w:rsidRDefault="00A06349" w:rsidP="00A06349">
      <w:pPr>
        <w:tabs>
          <w:tab w:val="left" w:pos="4220"/>
        </w:tabs>
        <w:spacing w:after="0" w:line="240" w:lineRule="auto"/>
        <w:rPr>
          <w:rFonts w:ascii="Garamond" w:hAnsi="Garamond"/>
          <w:spacing w:val="-4"/>
          <w:sz w:val="24"/>
          <w:szCs w:val="24"/>
          <w:lang w:val="sq-AL"/>
        </w:rPr>
      </w:pPr>
      <w:r w:rsidRPr="003E1FCC">
        <w:rPr>
          <w:rFonts w:ascii="Garamond" w:eastAsia="Times New Roman" w:hAnsi="Garamond"/>
          <w:spacing w:val="-4"/>
          <w:sz w:val="24"/>
          <w:szCs w:val="24"/>
          <w:lang w:val="sq-AL"/>
        </w:rPr>
        <w:t xml:space="preserve">“18. </w:t>
      </w:r>
      <w:r w:rsidRPr="003E1FCC">
        <w:rPr>
          <w:rFonts w:ascii="Garamond" w:hAnsi="Garamond"/>
          <w:spacing w:val="-4"/>
          <w:sz w:val="24"/>
          <w:szCs w:val="24"/>
          <w:lang w:val="sq-AL"/>
        </w:rPr>
        <w:t>Struktura e apelimit tatimor</w:t>
      </w:r>
    </w:p>
    <w:p w:rsidR="00A06349" w:rsidRPr="003E1FCC" w:rsidRDefault="00A06349" w:rsidP="00A06349">
      <w:pPr>
        <w:numPr>
          <w:ilvl w:val="1"/>
          <w:numId w:val="25"/>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Drejtoria e Apelimit Tatimor që nga 1 janari 2017 bëhet pjesë përbërëse e strukturës organike të Ministrisë së Financave. Drejtoria e Apelimit Tatimor administron ankimet administrative tatimore për vlera deri në një shumë të përcaktuar me vendim të Këshillit të Ministrave. Ajo shqyrton dhe merr vendim për ankimet nëpërmjet gjykimit dhe vendimmarrjes së pavarur, bazuar në legjislacionin tatimor në fuqi. Vendimet e Drejtorisë së Apelimit Tatimor nënshkruhen nga drejtori i Drejtorisë së Apelimit Tatimor, i cili e</w:t>
      </w:r>
      <w:r w:rsidRPr="003E1FCC">
        <w:rPr>
          <w:rFonts w:ascii="Garamond" w:eastAsia="Times New Roman" w:hAnsi="Garamond"/>
          <w:spacing w:val="-4"/>
          <w:sz w:val="24"/>
          <w:szCs w:val="24"/>
          <w:lang w:val="sq-AL"/>
        </w:rPr>
        <w:t>mërohet dhe lirohet sipas dispozitave të legjislacionit për nëpunësin civil.</w:t>
      </w:r>
    </w:p>
    <w:p w:rsidR="00A06349" w:rsidRPr="003E1FCC" w:rsidRDefault="00A06349" w:rsidP="00A06349">
      <w:pPr>
        <w:numPr>
          <w:ilvl w:val="1"/>
          <w:numId w:val="25"/>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eastAsia="Times New Roman" w:hAnsi="Garamond"/>
          <w:spacing w:val="-4"/>
          <w:sz w:val="24"/>
          <w:szCs w:val="24"/>
          <w:lang w:val="sq-AL"/>
        </w:rPr>
        <w:t xml:space="preserve"> Në Ministrinë e Financave, për shqyrtimin dhe vendimmarrjen e apelimeve tatimore, për vlera mbi shumën e përcaktuar me vendim të Këshillit të Ministrave, prej 20 milionë lekë dhe sipas procedurave të përcaktuara me VKM për këtë qëllim, ngrihet Komisioni për Shqyrtimin e Apelimit Tatimor. </w:t>
      </w:r>
    </w:p>
    <w:p w:rsidR="00A06349" w:rsidRPr="003E1FCC" w:rsidRDefault="00A06349" w:rsidP="00A06349">
      <w:pPr>
        <w:numPr>
          <w:ilvl w:val="1"/>
          <w:numId w:val="25"/>
        </w:numPr>
        <w:shd w:val="clear" w:color="auto" w:fill="FFFFFF"/>
        <w:spacing w:after="0" w:line="240" w:lineRule="auto"/>
        <w:ind w:left="0" w:firstLine="284"/>
        <w:jc w:val="both"/>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 Drejtoria e Apelimit Tatimor dhe Komisioni për Shqyrtimin e Apelimit Tatimor (KSHAT), për shqyrtimin dhe vendimarrjen për ankimin administrativ tatimor i nënshtrohen dispozitave për këtë qëllim të parashikuara në ligj, këtë udhëzim dhe vendimin e Këshillit të Ministrave.”.</w:t>
      </w:r>
    </w:p>
    <w:p w:rsidR="00A06349" w:rsidRPr="003E1FCC" w:rsidRDefault="00A06349" w:rsidP="00A06349">
      <w:pPr>
        <w:pStyle w:val="ListParagraph"/>
        <w:numPr>
          <w:ilvl w:val="0"/>
          <w:numId w:val="22"/>
        </w:numPr>
        <w:shd w:val="clear" w:color="auto" w:fill="FFFFFF"/>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Pika 19 ndryshohet në titull e përmbajtje si më poshtë:</w:t>
      </w:r>
    </w:p>
    <w:p w:rsidR="00A06349" w:rsidRPr="003E1FCC" w:rsidRDefault="00A06349" w:rsidP="00A06349">
      <w:pPr>
        <w:shd w:val="clear" w:color="auto" w:fill="FFFFFF"/>
        <w:spacing w:after="0" w:line="240" w:lineRule="auto"/>
        <w:rPr>
          <w:rFonts w:ascii="Garamond" w:eastAsia="Times New Roman" w:hAnsi="Garamond"/>
          <w:bCs/>
          <w:spacing w:val="-4"/>
          <w:sz w:val="24"/>
          <w:szCs w:val="24"/>
          <w:lang w:val="sq-AL"/>
        </w:rPr>
      </w:pPr>
      <w:r w:rsidRPr="003E1FCC">
        <w:rPr>
          <w:rFonts w:ascii="Garamond" w:eastAsia="Times New Roman" w:hAnsi="Garamond"/>
          <w:spacing w:val="-4"/>
          <w:sz w:val="24"/>
          <w:szCs w:val="24"/>
          <w:lang w:val="sq-AL"/>
        </w:rPr>
        <w:t xml:space="preserve">“19. </w:t>
      </w:r>
      <w:r w:rsidRPr="003E1FCC">
        <w:rPr>
          <w:rFonts w:ascii="Garamond" w:eastAsia="Times New Roman" w:hAnsi="Garamond"/>
          <w:bCs/>
          <w:spacing w:val="-4"/>
          <w:sz w:val="24"/>
          <w:szCs w:val="24"/>
          <w:lang w:val="sq-AL"/>
        </w:rPr>
        <w:t>Marrëdhënia e punës për personelin e administratës tatimore qendrore</w:t>
      </w:r>
    </w:p>
    <w:p w:rsidR="00A06349" w:rsidRPr="003E1FCC" w:rsidRDefault="00A06349" w:rsidP="00A06349">
      <w:pPr>
        <w:shd w:val="clear" w:color="auto" w:fill="FFFFFF"/>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19.1 </w:t>
      </w:r>
      <w:r w:rsidRPr="003E1FCC">
        <w:rPr>
          <w:rFonts w:ascii="Garamond" w:eastAsia="Times New Roman" w:hAnsi="Garamond"/>
          <w:bCs/>
          <w:spacing w:val="-4"/>
          <w:sz w:val="24"/>
          <w:szCs w:val="24"/>
          <w:lang w:val="sq-AL"/>
        </w:rPr>
        <w:t xml:space="preserve">Marrëdhënia e punës për </w:t>
      </w:r>
      <w:r w:rsidRPr="003E1FCC">
        <w:rPr>
          <w:rFonts w:ascii="Garamond" w:eastAsia="Times New Roman" w:hAnsi="Garamond"/>
          <w:spacing w:val="-4"/>
          <w:sz w:val="24"/>
          <w:szCs w:val="24"/>
          <w:lang w:val="sq-AL"/>
        </w:rPr>
        <w:t>nëpunësit</w:t>
      </w:r>
      <w:r w:rsidRPr="003E1FCC">
        <w:rPr>
          <w:rFonts w:ascii="Garamond" w:eastAsia="Times New Roman" w:hAnsi="Garamond"/>
          <w:bCs/>
          <w:spacing w:val="-4"/>
          <w:sz w:val="24"/>
          <w:szCs w:val="24"/>
          <w:lang w:val="sq-AL"/>
        </w:rPr>
        <w:t xml:space="preserve"> e administratës tatimore qendrore</w:t>
      </w:r>
      <w:r w:rsidRPr="003E1FCC">
        <w:rPr>
          <w:rFonts w:ascii="Garamond" w:eastAsia="Times New Roman" w:hAnsi="Garamond"/>
          <w:spacing w:val="-4"/>
          <w:sz w:val="24"/>
          <w:szCs w:val="24"/>
          <w:lang w:val="sq-AL"/>
        </w:rPr>
        <w:t xml:space="preserve"> rregullohet sipas dispozitave të legjislacionit për nëpunësin civil.</w:t>
      </w:r>
    </w:p>
    <w:p w:rsidR="00A06349" w:rsidRPr="003E1FCC" w:rsidRDefault="00A06349" w:rsidP="00A06349">
      <w:pPr>
        <w:shd w:val="clear" w:color="auto" w:fill="FFFFFF"/>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19.2 Për çdo punonjës tjetër, marrëdhëniet e punës të të cilit nuk i nënshtrohen legjislacionit për nëpunësin civil, këto marrëdhënie rregullohen në bazë të dispozitave të Kodit të Punës.”.</w:t>
      </w:r>
    </w:p>
    <w:p w:rsidR="00A06349" w:rsidRPr="003E1FCC" w:rsidRDefault="00A06349" w:rsidP="00A06349">
      <w:pPr>
        <w:pStyle w:val="ListParagraph"/>
        <w:numPr>
          <w:ilvl w:val="0"/>
          <w:numId w:val="22"/>
        </w:numPr>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Pika 20 ndryshon në përmbajtje si më poshtë:</w:t>
      </w:r>
    </w:p>
    <w:p w:rsidR="00A06349" w:rsidRPr="003E1FCC" w:rsidRDefault="00A06349" w:rsidP="00A06349">
      <w:pPr>
        <w:shd w:val="clear" w:color="auto" w:fill="FFFFFF"/>
        <w:spacing w:after="0" w:line="240" w:lineRule="auto"/>
        <w:rPr>
          <w:rFonts w:ascii="Garamond" w:eastAsia="Times New Roman" w:hAnsi="Garamond"/>
          <w:spacing w:val="-4"/>
          <w:sz w:val="24"/>
          <w:szCs w:val="24"/>
          <w:lang w:val="sq-AL"/>
        </w:rPr>
      </w:pPr>
      <w:r w:rsidRPr="003E1FCC">
        <w:rPr>
          <w:rFonts w:ascii="Garamond" w:hAnsi="Garamond"/>
          <w:spacing w:val="-4"/>
          <w:sz w:val="24"/>
          <w:szCs w:val="24"/>
          <w:lang w:val="sq-AL"/>
        </w:rPr>
        <w:t>“</w:t>
      </w:r>
      <w:r w:rsidRPr="003E1FCC">
        <w:rPr>
          <w:rFonts w:ascii="Garamond" w:eastAsia="Times New Roman" w:hAnsi="Garamond"/>
          <w:spacing w:val="-4"/>
          <w:sz w:val="24"/>
          <w:szCs w:val="24"/>
          <w:lang w:val="sq-AL"/>
        </w:rPr>
        <w:t xml:space="preserve">20. </w:t>
      </w:r>
      <w:r w:rsidRPr="003E1FCC">
        <w:rPr>
          <w:rFonts w:ascii="Garamond" w:eastAsia="Times New Roman" w:hAnsi="Garamond"/>
          <w:bCs/>
          <w:spacing w:val="-4"/>
          <w:sz w:val="24"/>
          <w:szCs w:val="24"/>
          <w:lang w:val="sq-AL"/>
        </w:rPr>
        <w:t>Punësimi dhe kategoritë e punësimit</w:t>
      </w:r>
    </w:p>
    <w:p w:rsidR="00A06349" w:rsidRPr="003E1FCC" w:rsidRDefault="00A06349" w:rsidP="00A06349">
      <w:pPr>
        <w:shd w:val="clear" w:color="auto" w:fill="FFFFFF"/>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20.1 Drejtori i Përgjithshëm i Tatimeve merr masat për respektimin e dispozitave ligjore për procedurat e punësimit e të rekrutimit të personelit të administratës tatimore qendrore, sipas pikës 2, të nenit 19, të këtij ligji, marrëdhënia e punës e të cilëve rregullohet në përputhje me Kodin e Punës.</w:t>
      </w:r>
    </w:p>
    <w:p w:rsidR="00A06349" w:rsidRPr="003E1FCC" w:rsidRDefault="00A06349" w:rsidP="00A06349">
      <w:pPr>
        <w:shd w:val="clear" w:color="auto" w:fill="FFFFFF"/>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20.2 Në organikë personeli ndahet sipas detyrave në punonjës të nivelit të lartë, të mesëm, të ulët drejtues dhe në punonjës ekzekutues në përputhje me strukturën organizative me qëllim realizimin e funksioneve sipas nenit 16 të ligjit dhe këtij udhëzimi. Për nëpunësit civil, procedurat e punësimit, të lëvizjes paralele e të ngritjes në detyrë të tyre kryhen në përputhje me dispozitat e ligjit për nëpunësin civil.</w:t>
      </w:r>
    </w:p>
    <w:p w:rsidR="00A06349" w:rsidRPr="003E1FCC" w:rsidRDefault="00A06349" w:rsidP="00A06349">
      <w:pPr>
        <w:shd w:val="clear" w:color="auto" w:fill="FFFFFF"/>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20.3. Nivelet e pagave për çdo kategori miratohen sipas legjislacionit të fushës në fuqi.”.</w:t>
      </w:r>
    </w:p>
    <w:p w:rsidR="00A06349" w:rsidRPr="003E1FCC" w:rsidRDefault="00A06349" w:rsidP="00A06349">
      <w:pPr>
        <w:pStyle w:val="ListParagraph"/>
        <w:numPr>
          <w:ilvl w:val="0"/>
          <w:numId w:val="22"/>
        </w:numPr>
        <w:spacing w:after="0" w:line="240" w:lineRule="auto"/>
        <w:ind w:left="0" w:firstLine="284"/>
        <w:jc w:val="both"/>
        <w:rPr>
          <w:rFonts w:ascii="Garamond" w:hAnsi="Garamond"/>
          <w:b/>
          <w:spacing w:val="-4"/>
          <w:sz w:val="24"/>
          <w:szCs w:val="24"/>
          <w:lang w:val="sq-AL"/>
        </w:rPr>
      </w:pPr>
      <w:r w:rsidRPr="003E1FCC">
        <w:rPr>
          <w:rFonts w:ascii="Garamond" w:hAnsi="Garamond"/>
          <w:b/>
          <w:bCs/>
          <w:spacing w:val="-4"/>
          <w:sz w:val="24"/>
          <w:szCs w:val="24"/>
          <w:lang w:val="sq-AL"/>
        </w:rPr>
        <w:t xml:space="preserve"> Pika 22 </w:t>
      </w:r>
      <w:r w:rsidRPr="003E1FCC">
        <w:rPr>
          <w:rFonts w:ascii="Garamond" w:hAnsi="Garamond"/>
          <w:b/>
          <w:spacing w:val="-4"/>
          <w:sz w:val="24"/>
          <w:szCs w:val="24"/>
          <w:lang w:val="sq-AL"/>
        </w:rPr>
        <w:t>ndryshon në përmbajtje si më poshtë:</w:t>
      </w:r>
    </w:p>
    <w:p w:rsidR="00A06349" w:rsidRPr="003E1FCC" w:rsidRDefault="00A06349" w:rsidP="00A06349">
      <w:pPr>
        <w:shd w:val="clear" w:color="auto" w:fill="FFFFFF"/>
        <w:spacing w:after="0" w:line="240" w:lineRule="auto"/>
        <w:rPr>
          <w:rFonts w:ascii="Garamond" w:eastAsia="Times New Roman" w:hAnsi="Garamond"/>
          <w:spacing w:val="-4"/>
          <w:sz w:val="24"/>
          <w:szCs w:val="24"/>
          <w:lang w:val="sq-AL"/>
        </w:rPr>
      </w:pPr>
      <w:r w:rsidRPr="003E1FCC">
        <w:rPr>
          <w:rFonts w:ascii="Garamond" w:hAnsi="Garamond"/>
          <w:bCs/>
          <w:spacing w:val="-4"/>
          <w:sz w:val="24"/>
          <w:szCs w:val="24"/>
          <w:lang w:val="sq-AL"/>
        </w:rPr>
        <w:t xml:space="preserve">“22.1 </w:t>
      </w:r>
      <w:r w:rsidRPr="003E1FCC">
        <w:rPr>
          <w:rFonts w:ascii="Garamond" w:eastAsia="Times New Roman" w:hAnsi="Garamond"/>
          <w:spacing w:val="-4"/>
          <w:sz w:val="24"/>
          <w:szCs w:val="24"/>
          <w:lang w:val="sq-AL"/>
        </w:rPr>
        <w:t>Procedurat për shkeljet dhe masat disiplinore të nëpunësve të administratës tatimore qendrore që janë nëpunës civilë, bëhen në përputhje me ligjin për nëpunësin civil. Për ushtrimin e këtij funksioni në Drejtorinë e Përgjithshme të Tatimeve ngrihet një Komision Disiplinor në përbërje të të cilit janë 4 anëtarë nga administrata tatimore dhe një anëtar nga Departamenti i Administratës Publike. Funksionet, kompetencat dhe procedura e funksionimit të këtij Komisioni janë në përputhje me dispozitat e legjislacionit për nëpunësin civil.</w:t>
      </w:r>
    </w:p>
    <w:p w:rsidR="00A06349" w:rsidRPr="003E1FCC" w:rsidRDefault="00A06349" w:rsidP="00A06349">
      <w:pPr>
        <w:shd w:val="clear" w:color="auto" w:fill="FFFFFF"/>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22.2 </w:t>
      </w:r>
      <w:r w:rsidRPr="003E1FCC">
        <w:rPr>
          <w:rFonts w:ascii="Garamond" w:hAnsi="Garamond"/>
          <w:spacing w:val="-4"/>
          <w:sz w:val="24"/>
          <w:szCs w:val="24"/>
          <w:lang w:val="sq-AL"/>
        </w:rPr>
        <w:t>Për punonjësit e administratës tatimore qendrore, për të cilët zbatohen dispozitat e Kodit të Punës, Drejtori i Përgjithshëm i Tatimeve miraton një rregullore të brendshme të institucionit, në të cilën detajohen rastet e shkeljeve disiplinore, në përputhje me legjislacionin në fuqi.</w:t>
      </w:r>
    </w:p>
    <w:p w:rsidR="00A06349" w:rsidRPr="003E1FCC" w:rsidRDefault="00A06349" w:rsidP="00A06349">
      <w:pPr>
        <w:shd w:val="clear" w:color="auto" w:fill="FFFFFF"/>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22.3Masat disiplinore, që zbatohen për nëpunësit civil të administratës tatimore, duhet të jenë në përputhje me legjislacionin për shërbimin civil, përveç masave disiplinore që merren ndaj punonjësve që nuk gëzojnë </w:t>
      </w:r>
      <w:r w:rsidRPr="003E1FCC">
        <w:rPr>
          <w:rFonts w:ascii="Garamond" w:eastAsia="Times New Roman" w:hAnsi="Garamond"/>
          <w:spacing w:val="-4"/>
          <w:sz w:val="24"/>
          <w:szCs w:val="24"/>
          <w:lang w:val="sq-AL"/>
        </w:rPr>
        <w:lastRenderedPageBreak/>
        <w:t>statusin e nëpunësit civil, të cilat duhet të jenë në përputhje me rregulloren e brendshme të institucionit dhe dispozitat e Kodit të Punës.”.</w:t>
      </w:r>
    </w:p>
    <w:p w:rsidR="00A06349" w:rsidRPr="003E1FCC" w:rsidRDefault="00A06349" w:rsidP="00A06349">
      <w:pPr>
        <w:pStyle w:val="ListParagraph"/>
        <w:numPr>
          <w:ilvl w:val="0"/>
          <w:numId w:val="22"/>
        </w:numPr>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Në pikën 23 bëhen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pikën 23.2, në pjesën e fundit të fjalisë së dytë, lidhëza “ose” zëvendësohet me lidhëzën “dhe”;</w:t>
      </w:r>
    </w:p>
    <w:p w:rsidR="00A06349" w:rsidRPr="003E1FCC" w:rsidRDefault="00A06349" w:rsidP="00A06349">
      <w:pPr>
        <w:pStyle w:val="ListParagraph"/>
        <w:numPr>
          <w:ilvl w:val="0"/>
          <w:numId w:val="2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fund të pikës 23.2 shtohet fjalia “Pavarësisht komunikimit elektronik, aktet administrative tatimore të cilat njoftojnë tatimpaguesin për një vlerësim të kryer, ose vendime të cilat ndikojnë apo ndryshojnë situatën financiare të tatimpaguesit, pasi nënshkruhen, i dërgohen tatimpaguesit edhe në formë të shkruar. </w:t>
      </w:r>
    </w:p>
    <w:p w:rsidR="00A06349" w:rsidRPr="003E1FCC" w:rsidRDefault="00A06349" w:rsidP="00A06349">
      <w:pPr>
        <w:pStyle w:val="ListParagraph"/>
        <w:numPr>
          <w:ilvl w:val="0"/>
          <w:numId w:val="2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fund të pikës 23.3.1 shtohet paragrafi me përmbajtjen: </w:t>
      </w:r>
    </w:p>
    <w:p w:rsidR="00A06349" w:rsidRPr="003E1FCC" w:rsidRDefault="00A06349" w:rsidP="00A06349">
      <w:pPr>
        <w:pStyle w:val="ListParagraph"/>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“Për qëllime të përcaktimit të fillimit të afatit për marrjen e akteve tatimore, në llogaritjen e afateve në përputhje me Kodin e Procedurave Administrative nuk përfshihet dita në të cilën del akti ose dita e pranimit të aktit në shërbimin postar. </w:t>
      </w:r>
    </w:p>
    <w:p w:rsidR="00A06349" w:rsidRPr="003E1FCC" w:rsidRDefault="00A06349" w:rsidP="00A06349">
      <w:pPr>
        <w:pStyle w:val="ListParagraph"/>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Për llogaritjen e afatit edhe për qëllime të ankimit administrativ, llogaritja e afatit fillon nga e nesërmja e ditës kur akti është marrë ose konsiderohet të jetë marrë nga tatimpaguesi. Në rastin kur akti që ka nxjerrë administrata tatimore mban datën 1 shtator dhe pranohet nga shërbimi postar për t’iu dërguar tatimpaguesit më datë 2 shtator dhe nga ky i fundit provohet se është marrë më datë 7 shtator, llogaritja e afatit fillon nga data 8 shtator ose në rastet kur akti konsiderohet të jetë marrë në ditën e dhjetë pas datës së dërgimit të tij, atëherë afati fillon në datën 13 shtator.”. </w:t>
      </w:r>
    </w:p>
    <w:p w:rsidR="00A06349" w:rsidRPr="003E1FCC" w:rsidRDefault="00A06349" w:rsidP="00A06349">
      <w:pPr>
        <w:pStyle w:val="ListParagraph"/>
        <w:numPr>
          <w:ilvl w:val="0"/>
          <w:numId w:val="22"/>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b/>
          <w:spacing w:val="-4"/>
          <w:sz w:val="24"/>
          <w:szCs w:val="24"/>
          <w:lang w:val="sq-AL"/>
        </w:rPr>
        <w:t xml:space="preserve"> Në pikën 27.2, në fund të fjalisë së dytë shtohet shprehja </w:t>
      </w:r>
      <w:r w:rsidRPr="003E1FCC">
        <w:rPr>
          <w:rFonts w:ascii="Garamond" w:hAnsi="Garamond"/>
          <w:spacing w:val="-4"/>
          <w:sz w:val="24"/>
          <w:szCs w:val="24"/>
          <w:lang w:val="sq-AL"/>
        </w:rPr>
        <w:t>“, si dhe rastet kur sipas legjislacionit tatimor parashikohet dhe kërkohet publikimi i të dhënave të tatimpaguesit.”.</w:t>
      </w:r>
    </w:p>
    <w:p w:rsidR="00A06349" w:rsidRPr="003E1FCC" w:rsidRDefault="00A06349" w:rsidP="00A06349">
      <w:pPr>
        <w:pStyle w:val="ListParagraph"/>
        <w:numPr>
          <w:ilvl w:val="0"/>
          <w:numId w:val="22"/>
        </w:numPr>
        <w:shd w:val="clear" w:color="auto" w:fill="FFFFFF"/>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Në pikën 28, bëhen ndryshimet e mëposhtme:</w:t>
      </w:r>
    </w:p>
    <w:p w:rsidR="00A06349" w:rsidRPr="003E1FCC" w:rsidRDefault="00A06349" w:rsidP="00A06349">
      <w:pPr>
        <w:shd w:val="clear" w:color="auto" w:fill="FFFFFF"/>
        <w:spacing w:after="0" w:line="240" w:lineRule="auto"/>
        <w:rPr>
          <w:rFonts w:ascii="Garamond" w:hAnsi="Garamond"/>
          <w:spacing w:val="-4"/>
          <w:sz w:val="24"/>
          <w:szCs w:val="24"/>
          <w:lang w:val="sq-AL"/>
        </w:rPr>
      </w:pPr>
      <w:r w:rsidRPr="003E1FCC">
        <w:rPr>
          <w:rFonts w:ascii="Garamond" w:hAnsi="Garamond"/>
          <w:spacing w:val="-4"/>
          <w:sz w:val="24"/>
          <w:szCs w:val="24"/>
          <w:lang w:val="sq-AL"/>
        </w:rPr>
        <w:t>- Në pikën 28.1 shtohet paragrafi me përmbajtjen:</w:t>
      </w:r>
    </w:p>
    <w:p w:rsidR="00A06349" w:rsidRPr="003E1FCC" w:rsidRDefault="00A06349" w:rsidP="00A06349">
      <w:pPr>
        <w:shd w:val="clear" w:color="auto" w:fill="FFFFFF"/>
        <w:spacing w:after="0" w:line="240" w:lineRule="auto"/>
        <w:rPr>
          <w:rFonts w:ascii="Garamond" w:hAnsi="Garamond"/>
          <w:spacing w:val="-4"/>
          <w:sz w:val="24"/>
          <w:szCs w:val="24"/>
          <w:lang w:val="sq-AL"/>
        </w:rPr>
      </w:pPr>
      <w:r w:rsidRPr="003E1FCC">
        <w:rPr>
          <w:rFonts w:ascii="Garamond" w:hAnsi="Garamond"/>
          <w:spacing w:val="-4"/>
          <w:sz w:val="24"/>
          <w:szCs w:val="24"/>
          <w:lang w:val="sq-AL"/>
        </w:rPr>
        <w:t>“Drejtoria e Përgjithshme e Tatimeve, duke ruajtur të dhënat konfidenciale të tatimpaguesit, për qëllime të informimit, publikon në faqen e saj zyrtare të internetit opinionet e nxjerra prej saj, që japin qëndrime për zbatimin e legjislacionit tatimor. Për këtë qëllim krijohet një rubrikë e veçantë e ndryshme nga rubrika e vendimeve teknike, ku pasqyrohen opinionet e administratës tatimore me qëllim informimin e tatimpaguesve. Gjithashtu, në këtë rubrikë (link) mund të pasqyrohen edhe informacione për zbatimin e legjislacionit të formës pyetje–përgjigje.</w:t>
      </w:r>
    </w:p>
    <w:p w:rsidR="00A06349" w:rsidRPr="003E1FCC" w:rsidRDefault="00A06349" w:rsidP="00A06349">
      <w:pPr>
        <w:shd w:val="clear" w:color="auto" w:fill="FFFFFF"/>
        <w:spacing w:after="0" w:line="240" w:lineRule="auto"/>
        <w:rPr>
          <w:rFonts w:ascii="Garamond" w:hAnsi="Garamond"/>
          <w:i/>
          <w:spacing w:val="-4"/>
          <w:sz w:val="24"/>
          <w:szCs w:val="24"/>
          <w:lang w:val="sq-AL"/>
        </w:rPr>
      </w:pPr>
      <w:r w:rsidRPr="003E1FCC">
        <w:rPr>
          <w:rFonts w:ascii="Garamond" w:hAnsi="Garamond"/>
          <w:i/>
          <w:spacing w:val="-4"/>
          <w:sz w:val="24"/>
          <w:szCs w:val="24"/>
          <w:lang w:val="sq-AL"/>
        </w:rPr>
        <w:t xml:space="preserve">Shembull - Pyetje: </w:t>
      </w:r>
    </w:p>
    <w:p w:rsidR="00A06349" w:rsidRPr="003E1FCC" w:rsidRDefault="00A06349" w:rsidP="00A06349">
      <w:pPr>
        <w:shd w:val="clear" w:color="auto" w:fill="FFFFFF"/>
        <w:spacing w:after="0" w:line="240" w:lineRule="auto"/>
        <w:rPr>
          <w:rFonts w:ascii="Garamond" w:hAnsi="Garamond"/>
          <w:i/>
          <w:spacing w:val="-4"/>
          <w:sz w:val="24"/>
          <w:szCs w:val="24"/>
          <w:lang w:val="sq-AL"/>
        </w:rPr>
      </w:pPr>
      <w:r w:rsidRPr="003E1FCC">
        <w:rPr>
          <w:rFonts w:ascii="Garamond" w:hAnsi="Garamond"/>
          <w:i/>
          <w:spacing w:val="-4"/>
          <w:sz w:val="24"/>
          <w:szCs w:val="24"/>
          <w:lang w:val="sq-AL"/>
        </w:rPr>
        <w:t xml:space="preserve">Unë jam një avokat i ri, që sapo kam marrë licencën për ushtrimin e profesionit të avokatit. Duke filluar që nga muaji janar i vitit 2017 dua të ushtroj profesionin si avokat. Ju lutem mund të më informoni se si duhet të veproj pasi të regjistrohem në QKB, në lidhje me deklarimet që detyrohem pranë administratës tatimore, si dhe për pajisjen time me informacionin e duhur ,si dhe mbi aksesin në llogarinë “Tatimet e mia”. </w:t>
      </w:r>
    </w:p>
    <w:p w:rsidR="00A06349" w:rsidRPr="003E1FCC" w:rsidRDefault="00A06349" w:rsidP="00A06349">
      <w:pPr>
        <w:shd w:val="clear" w:color="auto" w:fill="FFFFFF"/>
        <w:spacing w:after="0" w:line="240" w:lineRule="auto"/>
        <w:rPr>
          <w:rFonts w:ascii="Garamond" w:hAnsi="Garamond"/>
          <w:i/>
          <w:spacing w:val="-4"/>
          <w:sz w:val="24"/>
          <w:szCs w:val="24"/>
          <w:lang w:val="sq-AL"/>
        </w:rPr>
      </w:pPr>
      <w:r w:rsidRPr="003E1FCC">
        <w:rPr>
          <w:rFonts w:ascii="Garamond" w:hAnsi="Garamond"/>
          <w:i/>
          <w:spacing w:val="-4"/>
          <w:sz w:val="24"/>
          <w:szCs w:val="24"/>
          <w:lang w:val="sq-AL"/>
        </w:rPr>
        <w:t xml:space="preserve">Përgjigje: I nderuar avokat, </w:t>
      </w:r>
    </w:p>
    <w:p w:rsidR="00A06349" w:rsidRPr="003E1FCC" w:rsidRDefault="00A06349" w:rsidP="00A06349">
      <w:pPr>
        <w:shd w:val="clear" w:color="auto" w:fill="FFFFFF"/>
        <w:spacing w:after="0" w:line="240" w:lineRule="auto"/>
        <w:rPr>
          <w:rFonts w:ascii="Garamond" w:hAnsi="Garamond"/>
          <w:i/>
          <w:spacing w:val="-4"/>
          <w:sz w:val="24"/>
          <w:szCs w:val="24"/>
          <w:lang w:val="sq-AL"/>
        </w:rPr>
      </w:pPr>
      <w:r w:rsidRPr="003E1FCC">
        <w:rPr>
          <w:rFonts w:ascii="Garamond" w:hAnsi="Garamond"/>
          <w:i/>
          <w:spacing w:val="-4"/>
          <w:sz w:val="24"/>
          <w:szCs w:val="24"/>
          <w:lang w:val="sq-AL"/>
        </w:rPr>
        <w:t xml:space="preserve">Së pari, nëse ju keni zgjedhur të ushtroni profesionin si person fizik, atëherë ju duhet të paraqiteni në QKB për regjistrimin tuaj si profesionit i vetëpunësuar avokat. Nëse ju do të punoni i vetëm, pra nuk do të keni të punësuar të tjerë ose persona të papaguar të familjes, atëherë për qëllime të pagesës së sigurimeve shoqërore dhe shëndetësorë do të zgjidhni të regjistroheni “si i vetëpunësuar i vetëm” në profesionin avokat. Si i vetëpunësuar i vetëm paga minimale e detyrueshme mbi të cilën do të llogarisni dhe paguani sigurimin shoqëror është ......... lekë sipas ligj/VKM nr. ......., datë............. dhe paga e detyrueshme mbi të cilën llogarisni dhe paguani sigurimin shëndetësor është ........... lekë sipas ligj/VKM nr....... ,datë..... (ligji/ VKM-ja duhet të jetë aktive, pra nëse klikohet mbi të hapet neni përkatës i ligjit/VKM-së). </w:t>
      </w:r>
    </w:p>
    <w:p w:rsidR="00A06349" w:rsidRPr="003E1FCC" w:rsidRDefault="00A06349" w:rsidP="00A06349">
      <w:pPr>
        <w:shd w:val="clear" w:color="auto" w:fill="FFFFFF"/>
        <w:spacing w:after="0" w:line="240" w:lineRule="auto"/>
        <w:rPr>
          <w:rFonts w:ascii="Garamond" w:hAnsi="Garamond"/>
          <w:i/>
          <w:spacing w:val="-4"/>
          <w:sz w:val="24"/>
          <w:szCs w:val="24"/>
          <w:lang w:val="sq-AL"/>
        </w:rPr>
      </w:pPr>
      <w:r w:rsidRPr="003E1FCC">
        <w:rPr>
          <w:rFonts w:ascii="Garamond" w:hAnsi="Garamond"/>
          <w:i/>
          <w:spacing w:val="-4"/>
          <w:sz w:val="24"/>
          <w:szCs w:val="24"/>
          <w:lang w:val="sq-AL"/>
        </w:rPr>
        <w:t xml:space="preserve">Ndërkohë paraprakisht ju duhet të bëni një parashikim mbi qarkullimin që parashikoni të kryeni gjatë vitit 2017. Ky parashikim është i rëndësishëm, pasi nëse ju parashikoni që të realizoni qarkullim vjetor mbi 8 milionë lekë atëherë do të regjistroheni si subjekt i tatimit mbi fitimin sipas nenit ..... të ligjit...... (ligj/VKM-ja duhet të jetë aktive, pra nëse klikohet mbi të hapet neni përkatës i aktit). Në të kundërt do të regjistroheni si subjekt i tatimit të thjeshtuar mbi fitimin. </w:t>
      </w:r>
    </w:p>
    <w:p w:rsidR="00A06349" w:rsidRPr="003E1FCC" w:rsidRDefault="00A06349" w:rsidP="00A06349">
      <w:pPr>
        <w:shd w:val="clear" w:color="auto" w:fill="FFFFFF"/>
        <w:spacing w:after="0" w:line="240" w:lineRule="auto"/>
        <w:rPr>
          <w:rFonts w:ascii="Garamond" w:hAnsi="Garamond"/>
          <w:i/>
          <w:spacing w:val="-4"/>
          <w:sz w:val="24"/>
          <w:szCs w:val="24"/>
          <w:lang w:val="sq-AL"/>
        </w:rPr>
      </w:pPr>
      <w:r w:rsidRPr="003E1FCC">
        <w:rPr>
          <w:rFonts w:ascii="Garamond" w:hAnsi="Garamond"/>
          <w:i/>
          <w:spacing w:val="-4"/>
          <w:sz w:val="24"/>
          <w:szCs w:val="24"/>
          <w:lang w:val="sq-AL"/>
        </w:rPr>
        <w:t xml:space="preserve">Pavarësisht qarkullimit, në çdo rast ju duhet të regjistroheni si tatimpagues i TVSH-së bazuar në nenin ...... të VKM-së nr......., datë .......... .(VKM-ja duhet të jetë aktive, pra nëse klikohet mbi të hapet neni përkatës i VKM-së). </w:t>
      </w:r>
    </w:p>
    <w:p w:rsidR="00A06349" w:rsidRPr="003E1FCC" w:rsidRDefault="00A06349" w:rsidP="00A06349">
      <w:pPr>
        <w:shd w:val="clear" w:color="auto" w:fill="FFFFFF"/>
        <w:spacing w:after="0" w:line="240" w:lineRule="auto"/>
        <w:rPr>
          <w:rFonts w:ascii="Garamond" w:hAnsi="Garamond"/>
          <w:i/>
          <w:spacing w:val="-4"/>
          <w:sz w:val="24"/>
          <w:szCs w:val="24"/>
          <w:lang w:val="sq-AL"/>
        </w:rPr>
      </w:pPr>
      <w:r w:rsidRPr="003E1FCC">
        <w:rPr>
          <w:rFonts w:ascii="Garamond" w:hAnsi="Garamond"/>
          <w:i/>
          <w:spacing w:val="-4"/>
          <w:sz w:val="24"/>
          <w:szCs w:val="24"/>
          <w:lang w:val="sq-AL"/>
        </w:rPr>
        <w:t xml:space="preserve">Gjithashtu nëse ju aktivitetin tuaj e ushtroni në një ambient me qira, ambient të cilin e keni marrë nga një person i paregjistruar (individ) atëherë duhet të aktivizoheni edhe për tatimin në burim mbi qiranë sipas ligj/VKM...... (VKM-ja duhet të jetë aktive, pra nëse klikohet mbi të hapet neni përkatës i VKM-së). </w:t>
      </w:r>
    </w:p>
    <w:p w:rsidR="00A06349" w:rsidRPr="003E1FCC" w:rsidRDefault="00A06349" w:rsidP="00A06349">
      <w:pPr>
        <w:shd w:val="clear" w:color="auto" w:fill="FFFFFF"/>
        <w:spacing w:after="0" w:line="240" w:lineRule="auto"/>
        <w:rPr>
          <w:rFonts w:ascii="Garamond" w:hAnsi="Garamond"/>
          <w:i/>
          <w:spacing w:val="-4"/>
          <w:sz w:val="24"/>
          <w:szCs w:val="24"/>
          <w:lang w:val="sq-AL"/>
        </w:rPr>
      </w:pPr>
      <w:r w:rsidRPr="003E1FCC">
        <w:rPr>
          <w:rFonts w:ascii="Garamond" w:hAnsi="Garamond"/>
          <w:i/>
          <w:spacing w:val="-4"/>
          <w:sz w:val="24"/>
          <w:szCs w:val="24"/>
          <w:lang w:val="sq-AL"/>
        </w:rPr>
        <w:t xml:space="preserve">Pasi të pajiseni me NUIS/NIPT në QKB, të dhënat tuaja të regjistrimit transferohen automatikisht në sistemin e administratës tatimore. Nëse ju regjistroheni në 5 janar deklarimi juaj i parë për TVSH-në duhet të kryhet brenda datës 14 të muajit pasardhës, ndërsa për sigurimet shoqërore dhe shëndetësore është i detyrueshëm që deklarimi të bëhet një herë në 3 muaj. Nëse keni mundësi mund ta kryeni edhe për çdo muaj. Megjithatë nëse deklarimin për sigurimet do ta bëni 3-mujor, atëherë keni kohë deri më 17 prill (3 ditë përpara datës 20 Prill) të kryeni regjistrimin si i vetëpunësuar në mënyrë elektronike në sistemin tatimor. ………..etj.”. </w:t>
      </w:r>
    </w:p>
    <w:p w:rsidR="00A06349" w:rsidRPr="003E1FCC" w:rsidRDefault="00A06349" w:rsidP="00A06349">
      <w:pPr>
        <w:pStyle w:val="ListParagraph"/>
        <w:numPr>
          <w:ilvl w:val="0"/>
          <w:numId w:val="23"/>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lastRenderedPageBreak/>
        <w:t xml:space="preserve"> Në pikën 28.2 shtohet paragrafi me përmbajtjen: </w:t>
      </w:r>
    </w:p>
    <w:p w:rsidR="00A06349" w:rsidRPr="003E1FCC" w:rsidRDefault="00A06349" w:rsidP="00A06349">
      <w:pPr>
        <w:shd w:val="clear" w:color="auto" w:fill="FFFFFF"/>
        <w:spacing w:after="0" w:line="240" w:lineRule="auto"/>
        <w:rPr>
          <w:rFonts w:ascii="Garamond" w:eastAsia="Times New Roman" w:hAnsi="Garamond"/>
          <w:spacing w:val="-4"/>
          <w:sz w:val="24"/>
          <w:szCs w:val="24"/>
          <w:lang w:val="sq-AL"/>
        </w:rPr>
      </w:pPr>
      <w:r w:rsidRPr="003E1FCC">
        <w:rPr>
          <w:rFonts w:ascii="Garamond" w:hAnsi="Garamond"/>
          <w:spacing w:val="-4"/>
          <w:sz w:val="24"/>
          <w:szCs w:val="24"/>
          <w:lang w:val="sq-AL"/>
        </w:rPr>
        <w:t>“</w:t>
      </w:r>
      <w:r w:rsidRPr="003E1FCC">
        <w:rPr>
          <w:rFonts w:ascii="Garamond" w:eastAsia="Times New Roman" w:hAnsi="Garamond"/>
          <w:spacing w:val="-4"/>
          <w:sz w:val="24"/>
          <w:szCs w:val="24"/>
          <w:lang w:val="sq-AL"/>
        </w:rPr>
        <w:t xml:space="preserve">Për çdo ndryshim në legjislacionin tatimor, përfshirë aktet ligjore dhe nënligjore, administrata tatimore, përveç se mban të përditësuar legjislacionin, në faqen e saj zyrtare, për njohje nga tatimpaguesit evidenton dukshëm në mënyrë të përmbledhur ndryshimet përkatëse ligjore dhe nënligjore rast pas rasti. </w:t>
      </w:r>
      <w:r w:rsidRPr="003E1FCC">
        <w:rPr>
          <w:rFonts w:ascii="Garamond" w:hAnsi="Garamond"/>
          <w:spacing w:val="-4"/>
          <w:sz w:val="24"/>
          <w:szCs w:val="24"/>
          <w:lang w:val="sq-AL"/>
        </w:rPr>
        <w:t xml:space="preserve">Administrata tatimore publikon dhe mban të përditësuara aktet ligjore dhe nënligjore tatimore edhe në gjuhën angleze. Përveç publikimit të legjislacionit të përditësuar, në faqen zyrtare publikohet edhe çdo akt ligjor dhe nënligjor ndryshues. </w:t>
      </w:r>
    </w:p>
    <w:p w:rsidR="00A06349" w:rsidRPr="003E1FCC" w:rsidRDefault="00A06349" w:rsidP="00A06349">
      <w:pPr>
        <w:pStyle w:val="ListParagraph"/>
        <w:numPr>
          <w:ilvl w:val="0"/>
          <w:numId w:val="23"/>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Pika 28.3 ndryshon në përmbajtje si më poshtë:</w:t>
      </w:r>
    </w:p>
    <w:p w:rsidR="00A06349" w:rsidRPr="003E1FCC" w:rsidRDefault="00A06349" w:rsidP="00A06349">
      <w:pPr>
        <w:shd w:val="clear" w:color="auto" w:fill="FFFFFF"/>
        <w:spacing w:after="0" w:line="240" w:lineRule="auto"/>
        <w:rPr>
          <w:rFonts w:ascii="Garamond" w:hAnsi="Garamond"/>
          <w:spacing w:val="-4"/>
          <w:sz w:val="24"/>
          <w:szCs w:val="24"/>
          <w:lang w:val="sq-AL"/>
        </w:rPr>
      </w:pPr>
      <w:r w:rsidRPr="003E1FCC">
        <w:rPr>
          <w:rFonts w:ascii="Garamond" w:hAnsi="Garamond"/>
          <w:spacing w:val="-4"/>
          <w:sz w:val="24"/>
          <w:szCs w:val="24"/>
          <w:lang w:val="sq-AL"/>
        </w:rPr>
        <w:t>“28.3 Me qëllim mbajtjen të informuar të tatimpaguesve, Drejtoria e Përgjithshme e Tatimeve nëpërmjet strukturave të saj që ndjekin çështjet tatimore pranë organeve gjyqësore, publikon në faqen e saj të internetit çdo gjashtë muaj një buletin informues mbi vendimet e formës së prerë të Gjykatës Administrative të Apelit, të Gjykatës së Lartë dhe të Gjykatës Kushtetuese për çështjet tatimore. Publikimi i këtyre buletineve bëhet duke respektuar rregullat për publikimin e informacionit, në mënyrë që tatimpaguesit të jenë të informuar mbi praktikën gjyqësore për çështjet tatimore. Bazuar në këto vendime të gjykatave, kur konstatohen vendime të njëjta për raste të njëjta të unifikuara, duke u bazuar në pjesën arsyetuese të vendimit të gjykatës, Drejtoria e Përgjithshme e Tatimeve standardizon qëndrimin e saj teknik dhe/ose procedural dhe reflekton rast pas rasti vendimet teknike, të cilat zbatohen për raste të tjera të ngjashme nga administrata dhe tatimpaguesit.”.</w:t>
      </w:r>
    </w:p>
    <w:p w:rsidR="00A06349" w:rsidRPr="00C71894" w:rsidRDefault="00A06349" w:rsidP="00A06349">
      <w:pPr>
        <w:pStyle w:val="ListParagraph"/>
        <w:numPr>
          <w:ilvl w:val="0"/>
          <w:numId w:val="22"/>
        </w:numPr>
        <w:spacing w:after="0" w:line="240" w:lineRule="auto"/>
        <w:ind w:left="0" w:firstLine="284"/>
        <w:jc w:val="both"/>
        <w:rPr>
          <w:rFonts w:ascii="Garamond" w:hAnsi="Garamond"/>
          <w:b/>
          <w:spacing w:val="-4"/>
          <w:sz w:val="24"/>
          <w:szCs w:val="24"/>
          <w:lang w:val="sq-AL"/>
        </w:rPr>
      </w:pPr>
      <w:r w:rsidRPr="00C71894">
        <w:rPr>
          <w:rFonts w:ascii="Garamond" w:hAnsi="Garamond"/>
          <w:b/>
          <w:spacing w:val="-4"/>
          <w:sz w:val="24"/>
          <w:szCs w:val="24"/>
          <w:lang w:val="sq-AL"/>
        </w:rPr>
        <w:t xml:space="preserve"> Në pikën 38 bëhen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eastAsia="Batang" w:hAnsi="Garamond"/>
          <w:spacing w:val="-4"/>
          <w:sz w:val="24"/>
          <w:szCs w:val="24"/>
          <w:lang w:val="sq-AL"/>
        </w:rPr>
      </w:pPr>
      <w:r w:rsidRPr="003E1FCC">
        <w:rPr>
          <w:rFonts w:ascii="Garamond" w:hAnsi="Garamond"/>
          <w:spacing w:val="-4"/>
          <w:sz w:val="24"/>
          <w:szCs w:val="24"/>
          <w:lang w:val="sq-AL"/>
        </w:rPr>
        <w:t xml:space="preserve"> Në pikën 38.1 në fjalinë e parë, pas fjalëve “në drejtorinë e apelimit tatimor” hiqen fjalët “pranë DPT-së” dhe shtohen fjalët “ose në Komisionin e Shqyrtimit të Apelimit Tatimor në Ministrinë e Financave” dhe në fjalinë e dytë pas fjalëve “Drejtorisë së Apelimit” shtohen fjalët “ose Komisionit të Shqyrtimit të Apelimit Tatimor”. </w:t>
      </w:r>
    </w:p>
    <w:p w:rsidR="00A06349" w:rsidRPr="003E1FCC" w:rsidRDefault="00A06349" w:rsidP="00A06349">
      <w:pPr>
        <w:pStyle w:val="ListParagraph"/>
        <w:numPr>
          <w:ilvl w:val="0"/>
          <w:numId w:val="22"/>
        </w:numPr>
        <w:shd w:val="clear" w:color="auto" w:fill="FFFFFF"/>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Në pikën 40.5 shkronja “c”, ndryshon në përmbajtje si më poshtë:</w:t>
      </w:r>
    </w:p>
    <w:p w:rsidR="00A06349" w:rsidRPr="003E1FCC" w:rsidRDefault="00A06349" w:rsidP="00A06349">
      <w:pPr>
        <w:pStyle w:val="Paragrafi"/>
        <w:rPr>
          <w:lang w:val="sq-AL"/>
        </w:rPr>
      </w:pPr>
      <w:r>
        <w:rPr>
          <w:lang w:val="sq-AL"/>
        </w:rPr>
        <w:t xml:space="preserve">c) </w:t>
      </w:r>
      <w:r w:rsidRPr="003E1FCC">
        <w:rPr>
          <w:lang w:val="sq-AL"/>
        </w:rPr>
        <w:t xml:space="preserve">Personat e vetëpunësuar në veprimtari, si shitës ambulant, sipas përkufizimit të dhënë në shkronjën “j”, të nenit 5 të ligjit, paraqesin: </w:t>
      </w:r>
    </w:p>
    <w:p w:rsidR="00A06349" w:rsidRPr="003E1FCC" w:rsidRDefault="00A06349" w:rsidP="00A06349">
      <w:pPr>
        <w:pStyle w:val="Paragrafi"/>
        <w:rPr>
          <w:lang w:val="sq-AL"/>
        </w:rPr>
      </w:pPr>
      <w:r w:rsidRPr="003E1FCC">
        <w:rPr>
          <w:lang w:val="sq-AL"/>
        </w:rPr>
        <w:t xml:space="preserve"> </w:t>
      </w:r>
      <w:r>
        <w:rPr>
          <w:lang w:val="sq-AL"/>
        </w:rPr>
        <w:t xml:space="preserve">- </w:t>
      </w:r>
      <w:r w:rsidRPr="003E1FCC">
        <w:rPr>
          <w:lang w:val="sq-AL"/>
        </w:rPr>
        <w:t>kërkesë me shkrim;</w:t>
      </w:r>
    </w:p>
    <w:p w:rsidR="00A06349" w:rsidRPr="003E1FCC" w:rsidRDefault="00A06349" w:rsidP="00A06349">
      <w:pPr>
        <w:pStyle w:val="ListParagraph"/>
        <w:numPr>
          <w:ilvl w:val="0"/>
          <w:numId w:val="23"/>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fotokopje të kartës së identitetit ose të pasaportës së të vetëpunësuarit; </w:t>
      </w:r>
    </w:p>
    <w:p w:rsidR="00A06349" w:rsidRPr="003E1FCC" w:rsidRDefault="00A06349" w:rsidP="00A06349">
      <w:pPr>
        <w:pStyle w:val="ListParagraph"/>
        <w:numPr>
          <w:ilvl w:val="0"/>
          <w:numId w:val="23"/>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formularin e plotësuar të regjistrimit;</w:t>
      </w:r>
    </w:p>
    <w:p w:rsidR="00A06349" w:rsidRPr="003E1FCC" w:rsidRDefault="00A06349" w:rsidP="00A06349">
      <w:pPr>
        <w:pStyle w:val="ListParagraph"/>
        <w:numPr>
          <w:ilvl w:val="0"/>
          <w:numId w:val="23"/>
        </w:numPr>
        <w:shd w:val="clear" w:color="auto" w:fill="FFFFFF"/>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lejen nga bashkia nën juridiksionin territorial dhe administrativ, që i vetëpunësuari lejohet të tregtojë në vende publike të përcaktuara paraprakisht nga Bashkia dhe që ushtron aktivitetin në njësi tregtimi të vetme dhe të lëvizshme. </w:t>
      </w:r>
    </w:p>
    <w:p w:rsidR="00A06349" w:rsidRPr="003E1FCC" w:rsidRDefault="00A06349" w:rsidP="00A06349">
      <w:pPr>
        <w:shd w:val="clear" w:color="auto" w:fill="FFFFFF"/>
        <w:spacing w:after="0" w:line="240" w:lineRule="auto"/>
        <w:rPr>
          <w:rFonts w:ascii="Garamond" w:hAnsi="Garamond"/>
          <w:spacing w:val="-4"/>
          <w:sz w:val="24"/>
          <w:szCs w:val="24"/>
          <w:lang w:val="sq-AL"/>
        </w:rPr>
      </w:pPr>
      <w:r w:rsidRPr="003E1FCC">
        <w:rPr>
          <w:rFonts w:ascii="Garamond" w:hAnsi="Garamond"/>
          <w:spacing w:val="-4"/>
          <w:sz w:val="24"/>
          <w:szCs w:val="24"/>
          <w:lang w:val="sq-AL"/>
        </w:rPr>
        <w:t>Është kusht që ambulanti të mos këtë një vend fiks biznesi dhe nuk mund të ushtrojë veprimtari në më shumë së një njësi tregtare. I vetëpunësuari i cili e zhvillon tregtinë në kushte të tilla që nuk i japin mundësinë të jetë i lëvizshëm gjatë ditës, nuk konsiderohet ambulant. Administrata Tatimore në certifikatën e NIPT-it që i lëshon ambulantit është e detyruar që përpara emrit të tatimpaguesit të vendosë fjalën “Ambulanti”. Për shembull</w:t>
      </w:r>
      <w:r w:rsidRPr="003E1FCC">
        <w:rPr>
          <w:rFonts w:ascii="Garamond" w:hAnsi="Garamond"/>
          <w:i/>
          <w:spacing w:val="-4"/>
          <w:sz w:val="24"/>
          <w:szCs w:val="24"/>
          <w:lang w:val="sq-AL"/>
        </w:rPr>
        <w:t xml:space="preserve"> “Ambulanti emër mbiemër”. </w:t>
      </w:r>
      <w:r w:rsidRPr="003E1FCC">
        <w:rPr>
          <w:rFonts w:ascii="Garamond" w:hAnsi="Garamond"/>
          <w:spacing w:val="-4"/>
          <w:sz w:val="24"/>
          <w:szCs w:val="24"/>
          <w:lang w:val="sq-AL"/>
        </w:rPr>
        <w:t xml:space="preserve">Ambulanti pasi regjistrohet ka detyrimin për të paguar sigurime shoqërore dhe shëndetësore. </w:t>
      </w:r>
    </w:p>
    <w:p w:rsidR="00A06349" w:rsidRPr="003E1FCC" w:rsidRDefault="00A06349" w:rsidP="00A06349">
      <w:pPr>
        <w:pStyle w:val="ListParagraph"/>
        <w:numPr>
          <w:ilvl w:val="0"/>
          <w:numId w:val="22"/>
        </w:numPr>
        <w:spacing w:after="0" w:line="240" w:lineRule="auto"/>
        <w:ind w:left="0" w:firstLine="284"/>
        <w:jc w:val="both"/>
        <w:rPr>
          <w:rFonts w:ascii="Garamond" w:eastAsia="Batang" w:hAnsi="Garamond"/>
          <w:b/>
          <w:spacing w:val="-4"/>
          <w:sz w:val="24"/>
          <w:szCs w:val="24"/>
          <w:lang w:val="sq-AL"/>
        </w:rPr>
      </w:pPr>
      <w:r w:rsidRPr="003E1FCC">
        <w:rPr>
          <w:rFonts w:ascii="Garamond" w:eastAsia="Batang" w:hAnsi="Garamond"/>
          <w:b/>
          <w:spacing w:val="-4"/>
          <w:sz w:val="24"/>
          <w:szCs w:val="24"/>
          <w:lang w:val="sq-AL"/>
        </w:rPr>
        <w:t xml:space="preserve"> Në pikën 41</w:t>
      </w:r>
      <w:r w:rsidRPr="003E1FCC">
        <w:rPr>
          <w:rFonts w:ascii="Garamond" w:hAnsi="Garamond"/>
          <w:b/>
          <w:spacing w:val="-4"/>
          <w:sz w:val="24"/>
          <w:szCs w:val="24"/>
          <w:lang w:val="sq-AL"/>
        </w:rPr>
        <w:t>, bëhen ndryshimet dhe shtesat e mëposhtme:</w:t>
      </w:r>
    </w:p>
    <w:p w:rsidR="00A06349" w:rsidRPr="003E1FCC" w:rsidRDefault="00A06349" w:rsidP="00A06349">
      <w:pPr>
        <w:pStyle w:val="ListParagraph"/>
        <w:numPr>
          <w:ilvl w:val="0"/>
          <w:numId w:val="23"/>
        </w:numPr>
        <w:spacing w:after="0" w:line="240" w:lineRule="auto"/>
        <w:ind w:left="0" w:firstLine="284"/>
        <w:jc w:val="both"/>
        <w:rPr>
          <w:rFonts w:ascii="Garamond" w:eastAsia="Batang" w:hAnsi="Garamond"/>
          <w:spacing w:val="-4"/>
          <w:sz w:val="24"/>
          <w:szCs w:val="24"/>
          <w:lang w:val="sq-AL"/>
        </w:rPr>
      </w:pPr>
      <w:r w:rsidRPr="003E1FCC">
        <w:rPr>
          <w:rFonts w:ascii="Garamond" w:eastAsia="Batang" w:hAnsi="Garamond"/>
          <w:spacing w:val="-4"/>
          <w:sz w:val="24"/>
          <w:szCs w:val="24"/>
          <w:lang w:val="sq-AL"/>
        </w:rPr>
        <w:t xml:space="preserve"> Paragrafi 41.1.3 ndryshon me përmbajtjen e mëposhtme:</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hAnsi="Garamond"/>
          <w:iCs/>
          <w:spacing w:val="-4"/>
          <w:sz w:val="24"/>
          <w:szCs w:val="24"/>
          <w:lang w:val="sq-AL"/>
        </w:rPr>
        <w:t>“41.1.3</w:t>
      </w:r>
      <w:r w:rsidRPr="003E1FCC">
        <w:rPr>
          <w:rFonts w:ascii="Garamond" w:hAnsi="Garamond"/>
          <w:i/>
          <w:iCs/>
          <w:spacing w:val="-4"/>
          <w:sz w:val="24"/>
          <w:szCs w:val="24"/>
          <w:lang w:val="sq-AL"/>
        </w:rPr>
        <w:t xml:space="preserve"> </w:t>
      </w:r>
      <w:r w:rsidRPr="003E1FCC">
        <w:rPr>
          <w:rFonts w:ascii="Garamond" w:hAnsi="Garamond"/>
          <w:spacing w:val="-4"/>
          <w:sz w:val="24"/>
          <w:szCs w:val="24"/>
          <w:lang w:val="sq-AL"/>
        </w:rPr>
        <w:t>Kur administrata tatimore identifikon persona</w:t>
      </w:r>
      <w:r w:rsidRPr="003E1FCC">
        <w:rPr>
          <w:rFonts w:ascii="Garamond" w:eastAsia="Times New Roman" w:hAnsi="Garamond"/>
          <w:spacing w:val="-4"/>
          <w:sz w:val="24"/>
          <w:szCs w:val="24"/>
          <w:lang w:val="sq-AL"/>
        </w:rPr>
        <w:t xml:space="preserve"> që ushtrojnë veprimtari ekonomiko-tregtare pa u regjistruar</w:t>
      </w:r>
      <w:r w:rsidRPr="003E1FCC">
        <w:rPr>
          <w:rFonts w:ascii="Garamond" w:hAnsi="Garamond"/>
          <w:spacing w:val="-4"/>
          <w:sz w:val="24"/>
          <w:szCs w:val="24"/>
          <w:lang w:val="sq-AL"/>
        </w:rPr>
        <w:t xml:space="preserve"> në Qendrën Kombëtare të Biznesit</w:t>
      </w:r>
      <w:r w:rsidRPr="003E1FCC">
        <w:rPr>
          <w:rFonts w:ascii="Garamond" w:eastAsia="Times New Roman" w:hAnsi="Garamond"/>
          <w:spacing w:val="-4"/>
          <w:sz w:val="24"/>
          <w:szCs w:val="24"/>
          <w:lang w:val="sq-AL"/>
        </w:rPr>
        <w:t xml:space="preserve">, </w:t>
      </w:r>
      <w:r w:rsidRPr="003E1FCC">
        <w:rPr>
          <w:rFonts w:ascii="Garamond" w:hAnsi="Garamond"/>
          <w:spacing w:val="-4"/>
          <w:sz w:val="24"/>
          <w:szCs w:val="24"/>
          <w:lang w:val="sq-AL"/>
        </w:rPr>
        <w:t>vendos masën e bllokimit të mallrave dhe detyron personin të regjistrohet menjëherë në Qendrën Kombëtare të Biznesit si tatimpagues i tatimit mbi vlerën e shtuar</w:t>
      </w:r>
      <w:r w:rsidRPr="003E1FCC">
        <w:rPr>
          <w:rFonts w:ascii="Garamond" w:eastAsia="Times New Roman" w:hAnsi="Garamond"/>
          <w:spacing w:val="-4"/>
          <w:sz w:val="24"/>
          <w:szCs w:val="24"/>
          <w:lang w:val="sq-AL"/>
        </w:rPr>
        <w:t xml:space="preserve">. Masa e bllokimit vendoset ose në vendin e konstatimit të shkeljes kur veprimtaria zhvillohet në një adresë fikse, ose mallrat bllokohen dhe transportohen pranë ambienteve të administratës tatimore, nëse nuk është e mundur të vendoset masa e bllokimit në vendin e konstatimit të shkeljes. Nëse mallrat janë duke u transportuar ose janë të ngarkuara në një mjet, masa e bllokimit vendoset, gjithashtu, edhe për mjetin. </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hAnsi="Garamond"/>
          <w:spacing w:val="-4"/>
          <w:sz w:val="24"/>
          <w:szCs w:val="24"/>
          <w:lang w:val="sq-AL"/>
        </w:rPr>
        <w:t xml:space="preserve">Masa e bllokimit për mallin edhe për mjetin hiqet pas kryerjes së regjistrimit për veprimtarinë ekonomike, duke aplikuar masat dhe dënimin, sipas shkronjës “b”, të pikës 1, të nenit 121, të ligjit dhe përcaktimeve të këtij udhezimi. Në rast se një person ushtron veprimtari në fushën e shërbimeve, përveç vendosjes së masës së bllokimit në vendin (adresën) ku konstatohet shkelja, </w:t>
      </w:r>
      <w:r w:rsidRPr="003E1FCC">
        <w:rPr>
          <w:rFonts w:ascii="Garamond" w:eastAsia="Times New Roman" w:hAnsi="Garamond"/>
          <w:spacing w:val="-4"/>
          <w:sz w:val="24"/>
          <w:szCs w:val="24"/>
          <w:lang w:val="sq-AL"/>
        </w:rPr>
        <w:t>u propozohet organeve kompetente pezullimi i lejes</w:t>
      </w:r>
      <w:r>
        <w:rPr>
          <w:rFonts w:ascii="Garamond" w:eastAsia="Times New Roman" w:hAnsi="Garamond"/>
          <w:spacing w:val="-4"/>
          <w:sz w:val="24"/>
          <w:szCs w:val="24"/>
          <w:lang w:val="sq-AL"/>
        </w:rPr>
        <w:t xml:space="preserve"> </w:t>
      </w:r>
      <w:r w:rsidRPr="003E1FCC">
        <w:rPr>
          <w:rFonts w:ascii="Garamond" w:eastAsia="Times New Roman" w:hAnsi="Garamond"/>
          <w:spacing w:val="-4"/>
          <w:sz w:val="24"/>
          <w:szCs w:val="24"/>
          <w:lang w:val="sq-AL"/>
        </w:rPr>
        <w:t xml:space="preserve">/licencës/autorizimit për ushtrim të veprimtarisë për një periudhë 6-mujore. Në rastin kur personi regjistrohet në QKB si tatimpagues i TVSH-së, menjëherë sapo konstatohet si i paregjistruar, kjo i bëhet me dije organit kompetent përkatës, i cili e merr në konsideratë si fakt pozitiv në favor të tatimpaguesit, përgjatë shqyrtimit të propozimit për pezullimin e lejes/licencës/autorizimit. </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lastRenderedPageBreak/>
        <w:t xml:space="preserve">Në momentin e konstatimit mbahet akti i konstatimit dhe procesverbali përkatës sipas të cilit vendoset masa e bllokimit. Në aktin e konstatimit shënohet çdo e dhënë identifikuese dhe përshkrim i qartë i rastit, përfshirë datën e identifikimit, të dhënat identifikuese të personit, adresa e plotë të tij, numri i telefonit dhe çdo e dhënë tjetër e disponueshme. Bëhet inventarizimi i mallrave dhe evidentohet në procesverbalin përkatës. Bazuar në të dhënat e procesverbalit të inventarizimit të mallrave, menjëherë pasi regjistrohet tatimpaguesi pajiset me faturat tatimore me TVSH nga administrata tatimore dhe plotëson faturën sipas nenit 53 të ligjit dhe pikës 53 të këtij udhëzimi, e ngjashme me procedurën e lëshimit të faturës nga blerësi. Në rast se nuk është i mundur regjistrimi i menjëhershëm në QKB në momentin e konstatimit të personit që ushtron veprimtari ekonomike pa u regjistruar, masa e bllokimit nuk hiqet deri në momentin e regjistrimit në QKB. </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Akti i konstatimit, procesverbali përkatës, një kopje e faturës së lëshuar për dokumentimin e inventarit të mallit i përcillet për ndjekje të mëtejshme strukturës përkatëse në Drejtorinë Rajonale Tatimore me qëllim kryerjen e vlerësimit dhe aplikimin e dënimit përkatës”</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Nëse tatimpaguesit i është vendosur masa e bllokimit dhe ai prish shenjat dalluese të vendosura për bllokim të veprimtarisë, ndaj tij merret masa e konfiskimit ndaj gjithë sasisë së mallit si</w:t>
      </w:r>
      <w:r w:rsidRPr="003E1FCC">
        <w:rPr>
          <w:rFonts w:ascii="Garamond" w:eastAsia="MS Mincho" w:hAnsi="Garamond" w:cs="MS Mincho"/>
          <w:spacing w:val="-4"/>
          <w:sz w:val="24"/>
          <w:szCs w:val="24"/>
          <w:lang w:val="sq-AL"/>
        </w:rPr>
        <w:t xml:space="preserve">ç </w:t>
      </w:r>
      <w:r w:rsidRPr="003E1FCC">
        <w:rPr>
          <w:rFonts w:ascii="Garamond" w:hAnsi="Garamond"/>
          <w:spacing w:val="-4"/>
          <w:sz w:val="24"/>
          <w:szCs w:val="24"/>
          <w:lang w:val="sq-AL"/>
        </w:rPr>
        <w:t>përcaktohet në nenin 122 pika 4 të ligjit.”.</w:t>
      </w:r>
    </w:p>
    <w:p w:rsidR="00A06349" w:rsidRPr="003E1FCC" w:rsidRDefault="00A06349" w:rsidP="00A06349">
      <w:pPr>
        <w:pStyle w:val="ListParagraph"/>
        <w:numPr>
          <w:ilvl w:val="0"/>
          <w:numId w:val="23"/>
        </w:numPr>
        <w:spacing w:after="0" w:line="240" w:lineRule="auto"/>
        <w:ind w:left="0" w:firstLine="284"/>
        <w:jc w:val="both"/>
        <w:rPr>
          <w:rFonts w:ascii="Garamond" w:eastAsia="Batang" w:hAnsi="Garamond"/>
          <w:iCs/>
          <w:spacing w:val="-4"/>
          <w:sz w:val="24"/>
          <w:szCs w:val="24"/>
          <w:lang w:val="sq-AL"/>
        </w:rPr>
      </w:pPr>
      <w:r w:rsidRPr="003E1FCC">
        <w:rPr>
          <w:rFonts w:ascii="Garamond" w:eastAsia="Batang" w:hAnsi="Garamond"/>
          <w:iCs/>
          <w:spacing w:val="-4"/>
          <w:sz w:val="24"/>
          <w:szCs w:val="24"/>
          <w:lang w:val="sq-AL"/>
        </w:rPr>
        <w:t xml:space="preserve"> Pika 41.3, ndryshon me përmbajtjen e mëposhtme:</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“41.3 Personat tregtarë të identifikuar si të paregjistruar, nga organet tatimore dhe të regjistruar më pas në Qendrën Kombëtare të Biznesit, ndaj të cilëve organet kompetente nuk kanë marrë masë, pavarësisht propozimit nga organet e administratës tatimore për pezullimin e lejes/licencës/autorizimit për një periudhë 6-mujore, lejohen të ushtrojnë veprimtari, ndërsa për mallrat dhe materialet e bllokuara për arsye të mosregjistrimit të veprimtarisë tregtare, veprohet në përputhje me procedurat e parashikuara për mallrat e bllokuara sipas shkronjës “b”, të pikës 1, të nenit 121, të ligjit për procedurat tatimore”.</w:t>
      </w:r>
    </w:p>
    <w:p w:rsidR="00A06349" w:rsidRPr="003E1FCC" w:rsidRDefault="00A06349" w:rsidP="00A06349">
      <w:pPr>
        <w:pStyle w:val="ListParagraph"/>
        <w:numPr>
          <w:ilvl w:val="0"/>
          <w:numId w:val="23"/>
        </w:numPr>
        <w:spacing w:after="0" w:line="240" w:lineRule="auto"/>
        <w:ind w:left="0" w:firstLine="284"/>
        <w:jc w:val="both"/>
        <w:rPr>
          <w:rFonts w:ascii="Garamond" w:eastAsia="Batang" w:hAnsi="Garamond"/>
          <w:iCs/>
          <w:spacing w:val="-4"/>
          <w:sz w:val="24"/>
          <w:szCs w:val="24"/>
          <w:lang w:val="sq-AL"/>
        </w:rPr>
      </w:pPr>
      <w:r w:rsidRPr="003E1FCC">
        <w:rPr>
          <w:rFonts w:ascii="Garamond" w:eastAsia="Batang" w:hAnsi="Garamond"/>
          <w:iCs/>
          <w:spacing w:val="-4"/>
          <w:sz w:val="24"/>
          <w:szCs w:val="24"/>
          <w:lang w:val="sq-AL"/>
        </w:rPr>
        <w:t>Pika 41.5 ndryshon me përmbajtjen e mëposhtme:</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 xml:space="preserve">“41.5 Përcaktimet e nenit 41 dhe pikës 41 të këtij udhëzimi aplikohen në rastet kur konstatohen persona të cilët ushtrojnë veprimtari ekonomiko-tregtare pa u regjistruar. Nëse konstatohet se një tatimpagues i regjistruar ushtron veprimtari në një adresë dytësore të paregjistruar në QKR, atëherë në këtë rast nuk konsiderohet se tatimpaguesi kryen veprimtari ekonomike tregtare pa u regjistruar, por aplikohen dënimet për mospërditësim të të dhënave, adresës etj., siç përcaktohet në nenin 43 të ligjit dhe pikën 43 të këtij udhëzimi. Për mallin vendoset masa e bllokimit, dhe nëse pas kryerjes së inventarit edhe në pikat/adresat e tjera nëse konsiderohet e nevojshme, konstatohet se malli i bllokuar është i padokumentuar aplikohet dënimi dhe procedura e parashikuar sipas shkronjës “b”, të pikës 1, të nenit 121, të ligjit për procedurat tatimore.”. </w:t>
      </w:r>
    </w:p>
    <w:p w:rsidR="00A06349" w:rsidRPr="003E1FCC" w:rsidRDefault="00A06349" w:rsidP="00A06349">
      <w:pPr>
        <w:pStyle w:val="ListParagraph"/>
        <w:numPr>
          <w:ilvl w:val="0"/>
          <w:numId w:val="22"/>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pikën 43 bëhen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fund të pikës 43.1. shtohet paragrafi me këtë përmbajtje:</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“Në përputhje me ligjin për regjistrimin e biznesit, aplikimi për ndryshimin e selisë dhe hapja e vendeve të tjera të ushtrimit të veprimtarisë, të ndryshme nga selia, në çdo rast bëhen përpara nisjes efektive të veprimtarisë në atë vend. Për hapjen e vendeve të tjera të ushtrimit të veprimtarisë, të ndryshme nga selia, tatimpaguesi pajiset me një certifikatë, me numër unik identifikimi të njëjtë me atë të regjistrimit, por me numër serial të ndryshëm. Kjo certifikatë lëshohet për të identifikuar vendndodhjen e ushtrimit të veprimtarisë, kur është e ndryshme nga selia.”</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 xml:space="preserve">Në rastin kur një veprimtari nga i njëjti tatimpagues, ushtrohet në të njëjtën adresë pavarësisht se ka disa ambiente të ndryshme, si p.sh.: bar, hotel, restorant, pishinë etj., por ambientet e saj janë të lidhura apo ndërveprojnë me njëra-tjetrën, për qëllime të pajisjes me numër identifikimi kjo vendndodhje biznesi do të konsiderohet një e tillë dhe pajiset me një certifikatë, pavarësisht numrit të ambienteve, pasi biznesi konsiderohet se kryen veprimtarinë në një vendndodhje, pavarësisht llojshmërisë së veprimtarive që kryen. Këtu bëjnë përjashtim rastet e parashikuara në nenin 59 të ligjit dhe pikën 59 të këtij udhëzimi, si dhe çdo rast i veprimtarive për të cilat kërkohet nga legjislacioni në fuqi pajisja me certifikatën e NIPT-it për qëllime identifikimi më vete, si p.sh. lojërat e fatit.”. </w:t>
      </w:r>
    </w:p>
    <w:p w:rsidR="00A06349" w:rsidRPr="003E1FCC" w:rsidRDefault="00A06349" w:rsidP="00A06349">
      <w:pPr>
        <w:pStyle w:val="ListParagraph"/>
        <w:numPr>
          <w:ilvl w:val="0"/>
          <w:numId w:val="23"/>
        </w:numPr>
        <w:spacing w:after="0" w:line="240" w:lineRule="auto"/>
        <w:ind w:left="0" w:firstLine="284"/>
        <w:jc w:val="both"/>
        <w:rPr>
          <w:rFonts w:ascii="Garamond" w:hAnsi="Garamond"/>
          <w:iCs/>
          <w:spacing w:val="-4"/>
          <w:sz w:val="24"/>
          <w:szCs w:val="24"/>
          <w:lang w:val="sq-AL"/>
        </w:rPr>
      </w:pPr>
      <w:r w:rsidRPr="003E1FCC">
        <w:rPr>
          <w:rFonts w:ascii="Garamond" w:hAnsi="Garamond"/>
          <w:iCs/>
          <w:spacing w:val="-4"/>
          <w:sz w:val="24"/>
          <w:szCs w:val="24"/>
          <w:lang w:val="sq-AL"/>
        </w:rPr>
        <w:t xml:space="preserve"> Pas pikës 43.3 shtohet pika 43.4 me përmbajtjen e mëposhtme:</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“43.4 Mjetet e transportit të mallrave ose udhëtarëve gjatë kryerjes së veprimtarisë ekonomike për transportimin e mallrave ose pasagjerëve për vete ose për të tretë duhet të jenë pajisur me dokumentin përkatës identifikues për qëllime tatimore sipas rasteve të mëposhtme:</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43.4.1 Për mjetet e transportit të mallrave, qëllimi i përdorimit të të cilëve është:</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lastRenderedPageBreak/>
        <w:t>a) transporti i mallrave për lëvizje të brendshme, si ato nga magazina në magazinë, nga magazina në dyqan apo anasjelltas, nga qendra në filial, nga vendi i prodhimit në magazinë, nga vendi i prodhimit në dyqan, nga dogana ku zhdoganohet malli në drejtim të magazinës së personit të tatueshëm importues;</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 xml:space="preserve"> </w:t>
      </w:r>
      <w:r w:rsidRPr="003E1FCC">
        <w:rPr>
          <w:rFonts w:ascii="Garamond" w:hAnsi="Garamond"/>
          <w:iCs/>
          <w:spacing w:val="-4"/>
          <w:sz w:val="24"/>
          <w:szCs w:val="24"/>
          <w:lang w:val="sq-AL"/>
        </w:rPr>
        <w:tab/>
        <w:t xml:space="preserve">b) transporti i mallrave me destinacion nga një tatimpagues te një tjetër, i kryer me mjetet e njërit prej tatimpaguesve shitësit ose blerësit; </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Dokumenti që përdoret për të vërtetuar përdorimin e mjetit në funksion të veprimtarisë ekonomike të tatimpaguesit, është vërtetimi i lëshuar nga Drejtoria Rajonale Tatimore ku tatimpaguesi është i regjistruar. Tatimpaguesi pajiset me vërtetim për çdo mjet që ai ka në pronësi dhe ka në grupin e aktiveve të pasurisë, sipas pasqyrave financiare deklaruar prej tij.</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 xml:space="preserve">43.4.2. Me vërtetim nga Drejtoria Rajonale Tatimore do të pajiset dhe tatimpaguesi, të cilit, automjeti i përdorur sipas shkronjës a) dhe b) të pikës 43.4.1, i është furnizuar sipas një kontrate </w:t>
      </w:r>
      <w:r w:rsidRPr="003E1FCC">
        <w:rPr>
          <w:rFonts w:ascii="Garamond" w:hAnsi="Garamond"/>
          <w:i/>
          <w:iCs/>
          <w:spacing w:val="-4"/>
          <w:sz w:val="24"/>
          <w:szCs w:val="24"/>
          <w:lang w:val="sq-AL"/>
        </w:rPr>
        <w:t>leasing</w:t>
      </w:r>
      <w:r w:rsidRPr="003E1FCC">
        <w:rPr>
          <w:rFonts w:ascii="Garamond" w:hAnsi="Garamond"/>
          <w:iCs/>
          <w:spacing w:val="-4"/>
          <w:sz w:val="24"/>
          <w:szCs w:val="24"/>
          <w:lang w:val="sq-AL"/>
        </w:rPr>
        <w:t xml:space="preserve">/qira. Në këtë rast ky tatimpagues do të paraqesë në Drejtorinë Rajonale Tatimore kontratën e </w:t>
      </w:r>
      <w:r w:rsidRPr="003E1FCC">
        <w:rPr>
          <w:rFonts w:ascii="Garamond" w:hAnsi="Garamond"/>
          <w:i/>
          <w:iCs/>
          <w:spacing w:val="-4"/>
          <w:sz w:val="24"/>
          <w:szCs w:val="24"/>
          <w:lang w:val="sq-AL"/>
        </w:rPr>
        <w:t>leasing</w:t>
      </w:r>
      <w:r w:rsidRPr="003E1FCC">
        <w:rPr>
          <w:rFonts w:ascii="Garamond" w:hAnsi="Garamond"/>
          <w:iCs/>
          <w:spacing w:val="-4"/>
          <w:sz w:val="24"/>
          <w:szCs w:val="24"/>
          <w:lang w:val="sq-AL"/>
        </w:rPr>
        <w:t xml:space="preserve">/ qirasë (të noterizuar) dhe faturën e </w:t>
      </w:r>
      <w:r w:rsidRPr="003E1FCC">
        <w:rPr>
          <w:rFonts w:ascii="Garamond" w:hAnsi="Garamond"/>
          <w:i/>
          <w:iCs/>
          <w:spacing w:val="-4"/>
          <w:sz w:val="24"/>
          <w:szCs w:val="24"/>
          <w:lang w:val="sq-AL"/>
        </w:rPr>
        <w:t>leasing</w:t>
      </w:r>
      <w:r w:rsidRPr="003E1FCC">
        <w:rPr>
          <w:rFonts w:ascii="Garamond" w:hAnsi="Garamond"/>
          <w:iCs/>
          <w:spacing w:val="-4"/>
          <w:sz w:val="24"/>
          <w:szCs w:val="24"/>
          <w:lang w:val="sq-AL"/>
        </w:rPr>
        <w:t>/qirasë të lëshuar nga shoqëria që e ka furnizuar, si dhe pagesën e tatimit në burim (qirasë) në rastin kur është i detyruar ligjërisht.</w:t>
      </w:r>
    </w:p>
    <w:p w:rsidR="00A06349" w:rsidRPr="003E1FCC" w:rsidRDefault="00A06349" w:rsidP="00A06349">
      <w:pPr>
        <w:pStyle w:val="ListParagraph"/>
        <w:numPr>
          <w:ilvl w:val="0"/>
          <w:numId w:val="23"/>
        </w:numPr>
        <w:spacing w:after="0" w:line="240" w:lineRule="auto"/>
        <w:ind w:left="0" w:firstLine="284"/>
        <w:jc w:val="both"/>
        <w:rPr>
          <w:rFonts w:ascii="Garamond" w:hAnsi="Garamond"/>
          <w:iCs/>
          <w:spacing w:val="-4"/>
          <w:sz w:val="24"/>
          <w:szCs w:val="24"/>
          <w:lang w:val="sq-AL"/>
        </w:rPr>
      </w:pPr>
      <w:r w:rsidRPr="003E1FCC">
        <w:rPr>
          <w:rFonts w:ascii="Garamond" w:hAnsi="Garamond"/>
          <w:iCs/>
          <w:spacing w:val="-4"/>
          <w:sz w:val="24"/>
          <w:szCs w:val="24"/>
          <w:lang w:val="sq-AL"/>
        </w:rPr>
        <w:t xml:space="preserve">Vërtetimi lëshohet nën emrin tregtar dhe Numrin e Identifikimit të Personit të Tatueshëm, për çdo mjet në veçanti, me të dhënat si lloji i mjetit, kapaciteti i mjetit, targa e mjetit, të dhëna këto të paraqitura në lejen e qarkullimit të çdo mjeti. Në rastin kur vërtetimi është lëshuar për një mjet të furnizuar sipas një kontrate </w:t>
      </w:r>
      <w:r w:rsidRPr="003E1FCC">
        <w:rPr>
          <w:rFonts w:ascii="Garamond" w:hAnsi="Garamond"/>
          <w:i/>
          <w:iCs/>
          <w:spacing w:val="-4"/>
          <w:sz w:val="24"/>
          <w:szCs w:val="24"/>
          <w:lang w:val="sq-AL"/>
        </w:rPr>
        <w:t>leasing</w:t>
      </w:r>
      <w:r w:rsidRPr="003E1FCC">
        <w:rPr>
          <w:rFonts w:ascii="Garamond" w:hAnsi="Garamond"/>
          <w:iCs/>
          <w:spacing w:val="-4"/>
          <w:sz w:val="24"/>
          <w:szCs w:val="24"/>
          <w:lang w:val="sq-AL"/>
        </w:rPr>
        <w:t>, në vërtetim do të specifikohet ky fakt.</w:t>
      </w:r>
    </w:p>
    <w:p w:rsidR="00A06349" w:rsidRPr="003E1FCC" w:rsidRDefault="00A06349" w:rsidP="00A06349">
      <w:pPr>
        <w:pStyle w:val="ListParagraph"/>
        <w:numPr>
          <w:ilvl w:val="0"/>
          <w:numId w:val="23"/>
        </w:numPr>
        <w:spacing w:after="0" w:line="240" w:lineRule="auto"/>
        <w:ind w:left="0" w:firstLine="284"/>
        <w:jc w:val="both"/>
        <w:rPr>
          <w:rFonts w:ascii="Garamond" w:hAnsi="Garamond"/>
          <w:iCs/>
          <w:spacing w:val="-4"/>
          <w:sz w:val="24"/>
          <w:szCs w:val="24"/>
          <w:lang w:val="sq-AL"/>
        </w:rPr>
      </w:pPr>
      <w:r w:rsidRPr="003E1FCC">
        <w:rPr>
          <w:rFonts w:ascii="Garamond" w:hAnsi="Garamond"/>
          <w:iCs/>
          <w:spacing w:val="-4"/>
          <w:sz w:val="24"/>
          <w:szCs w:val="24"/>
          <w:lang w:val="sq-AL"/>
        </w:rPr>
        <w:t>Për çdo ndryshim të të dhënave përkatëse, të qëllimit të përdorimit, të pronësisë mbi mjetin etj., tatimpaguesi është i detyruar të njoftojë menjëherë Drejtorinë Rajonale Tatimore që ka lëshuar vërtetimin.</w:t>
      </w:r>
    </w:p>
    <w:p w:rsidR="00A06349"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43.4.3 Për mjetet e transportit të mallrave, qëllimi i lëvizjes së të cilëve është shitja derë më derë, mjetet e transportit të mallrave, si dhe mjetet e transportit të udhëtarëve që i përkasin personave të regjistruar për kryerje aktiviteti transport mallrash apo udhëtarësh, duke u konsideruar adresa ku personi i tatueshëm ushtron veprimtarinë e tij, si dokument vërtetues i përkatësisë së mjetit është Certifikata e Regjistrimit të Personit të Tatueshëm, me numër të ndryshëm serial (ose quajtur ndryshe “NIPT-i sekondar”), e lëshuar për çdo mjet që kryen veprimtari në të tilla kushte.”.</w:t>
      </w:r>
    </w:p>
    <w:p w:rsidR="00A06349" w:rsidRPr="003E1FCC" w:rsidRDefault="00A06349" w:rsidP="00A06349">
      <w:pPr>
        <w:spacing w:after="0" w:line="240" w:lineRule="auto"/>
        <w:rPr>
          <w:rFonts w:ascii="Garamond" w:eastAsia="Batang" w:hAnsi="Garamond"/>
          <w:b/>
          <w:iCs/>
          <w:spacing w:val="-4"/>
          <w:sz w:val="24"/>
          <w:szCs w:val="24"/>
          <w:lang w:val="sq-AL"/>
        </w:rPr>
      </w:pPr>
      <w:r>
        <w:rPr>
          <w:rFonts w:ascii="Garamond" w:hAnsi="Garamond"/>
          <w:iCs/>
          <w:spacing w:val="-4"/>
          <w:sz w:val="24"/>
          <w:szCs w:val="24"/>
          <w:lang w:val="sq-AL"/>
        </w:rPr>
        <w:t xml:space="preserve">18. </w:t>
      </w:r>
      <w:r w:rsidRPr="003E1FCC">
        <w:rPr>
          <w:rFonts w:ascii="Garamond" w:eastAsia="Batang" w:hAnsi="Garamond"/>
          <w:b/>
          <w:iCs/>
          <w:spacing w:val="-4"/>
          <w:sz w:val="24"/>
          <w:szCs w:val="24"/>
          <w:lang w:val="sq-AL"/>
        </w:rPr>
        <w:t>Në pikën 44 bëhen ndryshimet dhe shtesat e mëposhtme:</w:t>
      </w:r>
    </w:p>
    <w:p w:rsidR="00A06349" w:rsidRPr="003E1FCC" w:rsidRDefault="00A06349" w:rsidP="00A06349">
      <w:pPr>
        <w:pStyle w:val="ListParagraph"/>
        <w:numPr>
          <w:ilvl w:val="0"/>
          <w:numId w:val="23"/>
        </w:numPr>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Në fund të pikës 44.3 shtohet fjalia me përmbajtjen e mëposhtme:</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
          <w:iCs/>
          <w:spacing w:val="-4"/>
          <w:sz w:val="24"/>
          <w:szCs w:val="24"/>
          <w:lang w:val="sq-AL"/>
        </w:rPr>
        <w:t>“</w:t>
      </w:r>
      <w:r w:rsidRPr="003E1FCC">
        <w:rPr>
          <w:rFonts w:ascii="Garamond" w:hAnsi="Garamond"/>
          <w:iCs/>
          <w:spacing w:val="-4"/>
          <w:sz w:val="24"/>
          <w:szCs w:val="24"/>
          <w:lang w:val="sq-AL"/>
        </w:rPr>
        <w:t>Për periudhën e qëndrimit në regjistrin pasiv, tatimpaguesi nuk paraqet deklarata periodike tatimore dhe ndaj tij nuk llogariten gjoba për mosdeklarim tatimor”.</w:t>
      </w:r>
    </w:p>
    <w:p w:rsidR="00A06349" w:rsidRPr="003E1FCC" w:rsidRDefault="00A06349" w:rsidP="00A06349">
      <w:pPr>
        <w:pStyle w:val="ListParagraph"/>
        <w:numPr>
          <w:ilvl w:val="0"/>
          <w:numId w:val="23"/>
        </w:numPr>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Pika 44.5 ndryshon me përmbajtjen e mëposhtme: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iCs/>
          <w:spacing w:val="-4"/>
          <w:sz w:val="24"/>
          <w:szCs w:val="24"/>
          <w:lang w:val="sq-AL"/>
        </w:rPr>
        <w:t xml:space="preserve">“44.5 </w:t>
      </w:r>
      <w:r w:rsidRPr="003E1FCC">
        <w:rPr>
          <w:rFonts w:ascii="Garamond" w:hAnsi="Garamond"/>
          <w:spacing w:val="-4"/>
          <w:sz w:val="24"/>
          <w:szCs w:val="24"/>
          <w:lang w:val="sq-AL"/>
        </w:rPr>
        <w:t>Personat e tatueshëm të kaluar në regjistrin pasiv, nëse do të rifillojnë aktivitetin ekonomik, në çdo kohë mund të kërkojnë të kalojnë në regjistrin aktiv. Aktivizimi i tatimpaguesit dhe kalimi i tij nga regjistri i tatimpaguesve pasiv në regjistrin e tatimpaguesve aktivë bëhet me kërkesë të tatimpaguesit, por edhe nga administrata tatimore bazuar në të dhëna të konstatuara dhe informacione të administruara nga ana e saj.</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Në të gjitha rastet dhe për të gjitha kategoritë e tatimpaguesve, kalimi nga regjistri pasiv në regjistrin aktiv (riaktivizimi) bëhet menjëherë, pa u kushtëzuar nga detyrimet tatimore të papaguara dhe/ose deklarata të padorëzuara të tatimpaguesit. Për detyrimet e papaguara dhe/ose deklaratat e padorëzuara zbatohen të gjitha procedurat dhe ndërmerren të gjitha hapat ligjore deri në përmbushjen e këtyre detyrimeve.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44.5.1 Për tatimpaguesit që riaktivizohen në Qendrën Kombëtare të Biznesit, si rezultat i heqjes dorë nga pezullimi i veprimtarisë, kalimi nga regjistri (statusi) pasiv në regjistrin (statusin) aktiv të administratës tatimore bëhet automatikisht nga sistemi elektronik i QKB-së në sistemin e DPT-së. Si datë e aktivizimit të tatimpaguesit në administratën tatimore do të jetë data e miratimit të aktivizimit në QKB. Përgjegjësitë tatimore do të jenë ato që ka pasur ky tatimpagues në datën kur ka kaluar në statusin pasiv.</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44.5.2 Për tatimpaguesit që kërkojnë të riaktivizohen pranë DRT-ve, si rezultat i rifillimit të veprimtarisë/aktivitetit (këtu hyjnë të gjithë tatimpaguesit që janë aktivë në QKB dhe kanë kaluar në pasiv nga DRT-të si mosdeklarues apo deklarues pa aktivitet, si dhe gjithë tatimpaguesit që regjistrohen pranë administratës tatimore), aktivizimi do të bëhet menjëherë në sistem nga Drejtoria Rajonale Tatimore përkatëse, sipas procedurave të miratuara nga DPT-ja. Si datë e aktivizimit të tatimpaguesit do të jetë data e kërkesës për riaktivizim dhe përgjegjësitë tatimore do të jenë ato që ka pasur tatimpaguesi në datën kur ka kaluar në statusin pasiv.</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44.5.3 Për tatimpaguesit që riaktivizohen nga administrata tatimore, në kushtet kur ai ka kryer shkelje tatimore, bazuar në të dhëna të konstatuara në vendin e biznesit apo/dhe informacione që administrohen nga ana e saj, aktivizimi do të bëhet menjëherë në sistem nga DRT-ja përkatëse sipas procedurave të miratuara nga DPT-ja. Si datë e aktivizimit të tatimpaguesit do të jetë data e konstatuar nga administrata </w:t>
      </w:r>
      <w:r w:rsidRPr="003E1FCC">
        <w:rPr>
          <w:rFonts w:ascii="Garamond" w:hAnsi="Garamond"/>
          <w:spacing w:val="-4"/>
          <w:sz w:val="24"/>
          <w:szCs w:val="24"/>
          <w:lang w:val="sq-AL"/>
        </w:rPr>
        <w:lastRenderedPageBreak/>
        <w:t>tatimore. Përgjegjësitë tatimore do të jenë ato që ka pasur ky tatimpagues në datën kur ka kaluar në statusin pasiv.</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44.5.4 Për të gjitha rastet e aktivizimit, i dërgohet njoftim edhe tatimpaguesit në llogarinë/adresën e tij elektronike apo në një nga mënyrat e komunikimit të përcaktuara në ligj.</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Gjatë periudhës që tatimpaguesi është në statusin/regjistrin pasiv atij nuk mund t’i shtohen apo t’i ndryshohen përgjegjësitë tatimore”.</w:t>
      </w:r>
    </w:p>
    <w:p w:rsidR="00A06349" w:rsidRPr="003E1FCC" w:rsidRDefault="00A06349" w:rsidP="00A06349">
      <w:pPr>
        <w:pStyle w:val="ListParagraph"/>
        <w:numPr>
          <w:ilvl w:val="0"/>
          <w:numId w:val="23"/>
        </w:numPr>
        <w:spacing w:after="0" w:line="240" w:lineRule="auto"/>
        <w:ind w:left="0" w:firstLine="284"/>
        <w:jc w:val="both"/>
        <w:rPr>
          <w:rFonts w:ascii="Garamond" w:eastAsia="Batang" w:hAnsi="Garamond"/>
          <w:b/>
          <w:iCs/>
          <w:spacing w:val="-4"/>
          <w:sz w:val="24"/>
          <w:szCs w:val="24"/>
          <w:lang w:val="sq-AL"/>
        </w:rPr>
      </w:pPr>
      <w:r w:rsidRPr="003E1FCC">
        <w:rPr>
          <w:rFonts w:ascii="Garamond" w:eastAsia="Batang" w:hAnsi="Garamond"/>
          <w:b/>
          <w:iCs/>
          <w:spacing w:val="-4"/>
          <w:sz w:val="24"/>
          <w:szCs w:val="24"/>
          <w:lang w:val="sq-AL"/>
        </w:rPr>
        <w:t xml:space="preserve"> Në pikën 44.7 pas fjalisë ekzistuese, shtohet paragrafi me përmbajtjen e mëposhtme:</w:t>
      </w:r>
    </w:p>
    <w:p w:rsidR="00A06349" w:rsidRPr="003E1FCC" w:rsidRDefault="00A06349" w:rsidP="00A06349">
      <w:pPr>
        <w:pStyle w:val="ListParagraph"/>
        <w:spacing w:after="0" w:line="240" w:lineRule="auto"/>
        <w:ind w:left="0" w:firstLine="284"/>
        <w:jc w:val="both"/>
        <w:rPr>
          <w:rFonts w:ascii="Garamond" w:eastAsia="Batang" w:hAnsi="Garamond"/>
          <w:iCs/>
          <w:spacing w:val="-4"/>
          <w:sz w:val="24"/>
          <w:szCs w:val="24"/>
          <w:lang w:val="sq-AL"/>
        </w:rPr>
      </w:pPr>
      <w:r w:rsidRPr="003E1FCC">
        <w:rPr>
          <w:rFonts w:ascii="Garamond" w:eastAsia="Batang" w:hAnsi="Garamond"/>
          <w:iCs/>
          <w:spacing w:val="-4"/>
          <w:sz w:val="24"/>
          <w:szCs w:val="24"/>
          <w:lang w:val="sq-AL"/>
        </w:rPr>
        <w:t xml:space="preserve">“Çdo transaksion i kryer nga tatimpaguesit, persona fizikë apo juridikë, tregtarë që janë në regjistrin pasiv, konsiderohet shkelje administrative dhe dënohet në përputhje me dispozitat ligjore. </w:t>
      </w:r>
    </w:p>
    <w:p w:rsidR="00A06349" w:rsidRPr="003E1FCC" w:rsidRDefault="00A06349" w:rsidP="00A06349">
      <w:pPr>
        <w:pStyle w:val="ListParagraph"/>
        <w:spacing w:after="0" w:line="240" w:lineRule="auto"/>
        <w:ind w:left="0" w:firstLine="284"/>
        <w:jc w:val="both"/>
        <w:rPr>
          <w:rFonts w:ascii="Garamond" w:eastAsia="Batang" w:hAnsi="Garamond"/>
          <w:iCs/>
          <w:spacing w:val="-4"/>
          <w:sz w:val="24"/>
          <w:szCs w:val="24"/>
          <w:lang w:val="sq-AL"/>
        </w:rPr>
      </w:pPr>
      <w:r w:rsidRPr="003E1FCC">
        <w:rPr>
          <w:rFonts w:ascii="Garamond" w:eastAsia="Batang" w:hAnsi="Garamond"/>
          <w:iCs/>
          <w:spacing w:val="-4"/>
          <w:sz w:val="24"/>
          <w:szCs w:val="24"/>
          <w:lang w:val="sq-AL"/>
        </w:rPr>
        <w:t xml:space="preserve">Gjithashtu </w:t>
      </w:r>
      <w:r w:rsidRPr="003E1FCC">
        <w:rPr>
          <w:rFonts w:ascii="Garamond" w:hAnsi="Garamond"/>
          <w:spacing w:val="-4"/>
          <w:sz w:val="24"/>
          <w:szCs w:val="24"/>
          <w:lang w:val="sq-AL"/>
        </w:rPr>
        <w:t>për ç</w:t>
      </w:r>
      <w:r w:rsidRPr="003E1FCC">
        <w:rPr>
          <w:rFonts w:ascii="Garamond" w:eastAsia="Batang" w:hAnsi="Garamond"/>
          <w:iCs/>
          <w:spacing w:val="-4"/>
          <w:sz w:val="24"/>
          <w:szCs w:val="24"/>
          <w:lang w:val="sq-AL"/>
        </w:rPr>
        <w:t>do transaksion të kryer nga një tatimpagues blerës me një tatimpagues shitës që është në regjistrin pasiv, i publikuar në faqen zyrtare të tatimeve në listën e tatimpaguesve pasiv, konsiderohet shkelje si për shitësin dhe për blerësin dhe ky i fundit është përgjegjës bashkë me furnizuesin (shitësin) për pagesën e TVSH-së.</w:t>
      </w:r>
    </w:p>
    <w:p w:rsidR="00A06349" w:rsidRPr="003E1FCC" w:rsidRDefault="00A06349" w:rsidP="00A06349">
      <w:pPr>
        <w:pStyle w:val="ListParagraph"/>
        <w:spacing w:after="0" w:line="240" w:lineRule="auto"/>
        <w:ind w:left="0" w:firstLine="284"/>
        <w:jc w:val="both"/>
        <w:rPr>
          <w:rFonts w:ascii="Garamond" w:eastAsia="Batang" w:hAnsi="Garamond"/>
          <w:iCs/>
          <w:spacing w:val="-4"/>
          <w:sz w:val="24"/>
          <w:szCs w:val="24"/>
          <w:lang w:val="sq-AL"/>
        </w:rPr>
      </w:pPr>
      <w:r w:rsidRPr="003E1FCC">
        <w:rPr>
          <w:rFonts w:ascii="Garamond" w:eastAsia="Batang" w:hAnsi="Garamond"/>
          <w:iCs/>
          <w:spacing w:val="-4"/>
          <w:sz w:val="24"/>
          <w:szCs w:val="24"/>
          <w:lang w:val="sq-AL"/>
        </w:rPr>
        <w:t>Tatimpaguesi i cili aktivizohet duke hequr dorë nga pezullimi i veprimtarisë, në momentin që bëhet aktiv, administrata e heq nga lista e tatimpaguesve pasiv.</w:t>
      </w:r>
    </w:p>
    <w:p w:rsidR="00A06349" w:rsidRDefault="00A06349" w:rsidP="00A06349">
      <w:pPr>
        <w:pStyle w:val="ListParagraph"/>
        <w:spacing w:after="0" w:line="240" w:lineRule="auto"/>
        <w:ind w:left="0" w:firstLine="284"/>
        <w:jc w:val="both"/>
        <w:rPr>
          <w:rFonts w:ascii="Garamond" w:eastAsia="Batang" w:hAnsi="Garamond"/>
          <w:iCs/>
          <w:spacing w:val="-4"/>
          <w:sz w:val="24"/>
          <w:szCs w:val="24"/>
          <w:lang w:val="sq-AL"/>
        </w:rPr>
      </w:pPr>
      <w:r w:rsidRPr="003E1FCC">
        <w:rPr>
          <w:rFonts w:ascii="Garamond" w:eastAsia="Batang" w:hAnsi="Garamond"/>
          <w:iCs/>
          <w:spacing w:val="-4"/>
          <w:sz w:val="24"/>
          <w:szCs w:val="24"/>
          <w:lang w:val="sq-AL"/>
        </w:rPr>
        <w:t xml:space="preserve">Në listën e tatimpaguesve pasiv, evidentohen veçmas, edhe tatimpaguesit të cilët kanë pezulluar veprimtarinë (kanë kaluar në pasiv) në Qendrën Kombëtare të Biznesit, pavarësisht se administrata tatimore nuk i ka kaluar ende në pasiv.”. </w:t>
      </w:r>
    </w:p>
    <w:p w:rsidR="00A06349" w:rsidRPr="002A6536" w:rsidRDefault="00A06349" w:rsidP="00A06349">
      <w:pPr>
        <w:pStyle w:val="ListParagraph"/>
        <w:spacing w:after="0" w:line="240" w:lineRule="auto"/>
        <w:ind w:left="0" w:firstLine="284"/>
        <w:jc w:val="both"/>
        <w:rPr>
          <w:rFonts w:ascii="Garamond" w:eastAsia="Batang" w:hAnsi="Garamond"/>
          <w:iCs/>
          <w:spacing w:val="-4"/>
          <w:sz w:val="24"/>
          <w:szCs w:val="24"/>
          <w:lang w:val="sq-AL"/>
        </w:rPr>
      </w:pPr>
      <w:r>
        <w:rPr>
          <w:rFonts w:ascii="Garamond" w:eastAsia="Batang" w:hAnsi="Garamond"/>
          <w:iCs/>
          <w:spacing w:val="-4"/>
          <w:sz w:val="24"/>
          <w:szCs w:val="24"/>
          <w:lang w:val="sq-AL"/>
        </w:rPr>
        <w:t>19.</w:t>
      </w:r>
      <w:r w:rsidRPr="003E1FCC">
        <w:rPr>
          <w:rFonts w:ascii="Garamond" w:eastAsia="Batang" w:hAnsi="Garamond"/>
          <w:b/>
          <w:iCs/>
          <w:spacing w:val="-4"/>
          <w:sz w:val="24"/>
          <w:szCs w:val="24"/>
          <w:lang w:val="sq-AL"/>
        </w:rPr>
        <w:t xml:space="preserve"> Në pikën 45 “Çregjistrimi tatimor”, bëhen ndryshimet dhe shtesat e mëposhtme:</w:t>
      </w:r>
    </w:p>
    <w:p w:rsidR="00A06349" w:rsidRPr="003E1FCC" w:rsidRDefault="00A06349" w:rsidP="00A06349">
      <w:pPr>
        <w:pStyle w:val="ListParagraph"/>
        <w:numPr>
          <w:ilvl w:val="0"/>
          <w:numId w:val="23"/>
        </w:numPr>
        <w:spacing w:after="0" w:line="240" w:lineRule="auto"/>
        <w:ind w:left="0" w:firstLine="284"/>
        <w:jc w:val="both"/>
        <w:rPr>
          <w:rFonts w:ascii="Garamond" w:eastAsia="Batang" w:hAnsi="Garamond"/>
          <w:b/>
          <w:iCs/>
          <w:spacing w:val="-4"/>
          <w:sz w:val="24"/>
          <w:szCs w:val="24"/>
          <w:lang w:val="sq-AL"/>
        </w:rPr>
      </w:pPr>
      <w:r w:rsidRPr="003E1FCC">
        <w:rPr>
          <w:rFonts w:ascii="Garamond" w:eastAsia="Batang" w:hAnsi="Garamond"/>
          <w:b/>
          <w:iCs/>
          <w:spacing w:val="-4"/>
          <w:sz w:val="24"/>
          <w:szCs w:val="24"/>
          <w:lang w:val="sq-AL"/>
        </w:rPr>
        <w:t xml:space="preserve"> Në fund të pikës 45.1. shtohen germat “ç” dhe “d”, si më poshtë:</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 xml:space="preserve">“ç) personat të cilët, sipas ligjit për falimentimin, janë shpallur të falimentuar me vendim gjykate të formës së prerë. </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d) personat juridikë publikë, në përputhje me legjislacionin e fushës që përcakton veprimtarinë e tyre.”.</w:t>
      </w:r>
    </w:p>
    <w:p w:rsidR="00A06349" w:rsidRPr="003E1FCC" w:rsidRDefault="00A06349" w:rsidP="00A06349">
      <w:pPr>
        <w:pStyle w:val="ListParagraph"/>
        <w:numPr>
          <w:ilvl w:val="0"/>
          <w:numId w:val="23"/>
        </w:numPr>
        <w:spacing w:after="0" w:line="240" w:lineRule="auto"/>
        <w:ind w:left="0" w:firstLine="284"/>
        <w:jc w:val="both"/>
        <w:rPr>
          <w:rFonts w:ascii="Garamond" w:eastAsia="Batang" w:hAnsi="Garamond"/>
          <w:iCs/>
          <w:spacing w:val="-4"/>
          <w:sz w:val="24"/>
          <w:szCs w:val="24"/>
          <w:lang w:val="sq-AL"/>
        </w:rPr>
      </w:pPr>
      <w:r w:rsidRPr="003E1FCC">
        <w:rPr>
          <w:rFonts w:ascii="Garamond" w:eastAsia="Batang" w:hAnsi="Garamond"/>
          <w:iCs/>
          <w:spacing w:val="-4"/>
          <w:sz w:val="24"/>
          <w:szCs w:val="24"/>
          <w:lang w:val="sq-AL"/>
        </w:rPr>
        <w:t xml:space="preserve"> Në pikën 45.2.1 fjalia e tretë që fillon “Qendra Kombëtare e … “zëvendësohet me fjalinë “Qendra Kombëtare e Biznesit ose gjykata, menjëherë me marrjen e kërkesës për çregjistrim prej tatimpaguesit, njofton organin tatimor kompetent për regjistrimin e hapjes së procedurave të likuidimit ose për kërkesën për çregjistrim të personit fizik apo për aplikimin për çregjistrim të personit juridik edhe kur kemi të bëjmë me aplikimin për çregjistrim pa kryerjen e likuidimit.”.</w:t>
      </w:r>
    </w:p>
    <w:p w:rsidR="00A06349" w:rsidRPr="003E1FCC" w:rsidRDefault="00A06349" w:rsidP="00A06349">
      <w:pPr>
        <w:pStyle w:val="ListParagraph"/>
        <w:numPr>
          <w:ilvl w:val="0"/>
          <w:numId w:val="23"/>
        </w:numPr>
        <w:spacing w:after="0" w:line="240" w:lineRule="auto"/>
        <w:ind w:left="0" w:firstLine="284"/>
        <w:jc w:val="both"/>
        <w:rPr>
          <w:rFonts w:ascii="Garamond" w:eastAsia="Batang" w:hAnsi="Garamond"/>
          <w:b/>
          <w:iCs/>
          <w:spacing w:val="-4"/>
          <w:sz w:val="24"/>
          <w:szCs w:val="24"/>
          <w:lang w:val="sq-AL"/>
        </w:rPr>
      </w:pPr>
      <w:r w:rsidRPr="003E1FCC">
        <w:rPr>
          <w:rFonts w:ascii="Garamond" w:eastAsia="Batang" w:hAnsi="Garamond"/>
          <w:b/>
          <w:iCs/>
          <w:spacing w:val="-4"/>
          <w:sz w:val="24"/>
          <w:szCs w:val="24"/>
          <w:lang w:val="sq-AL"/>
        </w:rPr>
        <w:t xml:space="preserve"> Në pikën 45.2.2. bëhen ndryshimet e mëposhtme:</w:t>
      </w:r>
    </w:p>
    <w:p w:rsidR="00A06349" w:rsidRPr="003E1FCC" w:rsidRDefault="00A06349" w:rsidP="00A06349">
      <w:pPr>
        <w:pStyle w:val="ListParagraph"/>
        <w:numPr>
          <w:ilvl w:val="0"/>
          <w:numId w:val="20"/>
        </w:numPr>
        <w:spacing w:after="0" w:line="240" w:lineRule="auto"/>
        <w:ind w:left="0" w:firstLine="284"/>
        <w:jc w:val="both"/>
        <w:rPr>
          <w:rFonts w:ascii="Garamond" w:hAnsi="Garamond"/>
          <w:bCs/>
          <w:spacing w:val="-4"/>
          <w:sz w:val="24"/>
          <w:szCs w:val="24"/>
          <w:lang w:val="sq-AL"/>
        </w:rPr>
      </w:pPr>
      <w:r w:rsidRPr="003E1FCC">
        <w:rPr>
          <w:rFonts w:ascii="Garamond" w:hAnsi="Garamond"/>
          <w:spacing w:val="-4"/>
          <w:sz w:val="24"/>
          <w:szCs w:val="24"/>
          <w:lang w:val="sq-AL"/>
        </w:rPr>
        <w:t xml:space="preserve"> Fjalia e tretë e pikës 45.2.2 ndryshon me këtë përmbajtje:</w:t>
      </w:r>
    </w:p>
    <w:p w:rsidR="00A06349" w:rsidRPr="003E1FCC" w:rsidRDefault="00A06349" w:rsidP="00A06349">
      <w:pPr>
        <w:spacing w:after="0" w:line="240" w:lineRule="auto"/>
        <w:rPr>
          <w:rFonts w:ascii="Garamond" w:eastAsia="Times New Roman" w:hAnsi="Garamond"/>
          <w:bCs/>
          <w:i/>
          <w:iCs/>
          <w:spacing w:val="-4"/>
          <w:sz w:val="24"/>
          <w:szCs w:val="24"/>
          <w:lang w:val="sq-AL"/>
        </w:rPr>
      </w:pPr>
      <w:r w:rsidRPr="003E1FCC">
        <w:rPr>
          <w:rFonts w:ascii="Garamond" w:eastAsia="Times New Roman" w:hAnsi="Garamond"/>
          <w:i/>
          <w:iCs/>
          <w:spacing w:val="-4"/>
          <w:sz w:val="24"/>
          <w:szCs w:val="24"/>
          <w:lang w:val="sq-AL"/>
        </w:rPr>
        <w:t>“</w:t>
      </w:r>
      <w:r w:rsidRPr="003E1FCC">
        <w:rPr>
          <w:rFonts w:ascii="Garamond" w:eastAsia="Times New Roman" w:hAnsi="Garamond"/>
          <w:bCs/>
          <w:iCs/>
          <w:spacing w:val="-4"/>
          <w:sz w:val="24"/>
          <w:szCs w:val="24"/>
          <w:lang w:val="sq-AL"/>
        </w:rPr>
        <w:t>Administrata tatimore, brenda 10 ditëve pune nga data e paraqitjes së kërkesës për çregjistrim është e detyruar të verifikojë situatën tatimore të personit juridik.”;</w:t>
      </w:r>
    </w:p>
    <w:p w:rsidR="00A06349" w:rsidRPr="003E1FCC" w:rsidRDefault="00A06349" w:rsidP="00A06349">
      <w:pPr>
        <w:pStyle w:val="ListParagraph"/>
        <w:numPr>
          <w:ilvl w:val="0"/>
          <w:numId w:val="20"/>
        </w:numPr>
        <w:spacing w:after="0" w:line="240" w:lineRule="auto"/>
        <w:ind w:left="0" w:firstLine="284"/>
        <w:jc w:val="both"/>
        <w:rPr>
          <w:rFonts w:ascii="Garamond" w:hAnsi="Garamond"/>
          <w:bCs/>
          <w:spacing w:val="-4"/>
          <w:sz w:val="24"/>
          <w:szCs w:val="24"/>
          <w:lang w:val="sq-AL"/>
        </w:rPr>
      </w:pPr>
      <w:r w:rsidRPr="003E1FCC">
        <w:rPr>
          <w:rFonts w:ascii="Garamond" w:hAnsi="Garamond"/>
          <w:bCs/>
          <w:spacing w:val="-4"/>
          <w:sz w:val="24"/>
          <w:szCs w:val="24"/>
          <w:lang w:val="sq-AL"/>
        </w:rPr>
        <w:t xml:space="preserve"> Fjalia e fundit e pikës 45.2.2 ndryshon me këtë përmbajtje:</w:t>
      </w:r>
    </w:p>
    <w:p w:rsidR="00A06349" w:rsidRPr="003E1FCC" w:rsidRDefault="00A06349" w:rsidP="00A06349">
      <w:pPr>
        <w:spacing w:after="0" w:line="240" w:lineRule="auto"/>
        <w:rPr>
          <w:rFonts w:ascii="Garamond" w:eastAsia="Times New Roman" w:hAnsi="Garamond"/>
          <w:bCs/>
          <w:iCs/>
          <w:spacing w:val="-4"/>
          <w:sz w:val="24"/>
          <w:szCs w:val="24"/>
          <w:lang w:val="sq-AL"/>
        </w:rPr>
      </w:pPr>
      <w:r w:rsidRPr="003E1FCC">
        <w:rPr>
          <w:rFonts w:ascii="Garamond" w:eastAsia="Times New Roman" w:hAnsi="Garamond"/>
          <w:bCs/>
          <w:iCs/>
          <w:spacing w:val="-4"/>
          <w:sz w:val="24"/>
          <w:szCs w:val="24"/>
          <w:lang w:val="sq-AL"/>
        </w:rPr>
        <w:t>“Kur organi tatimor, sipas analizës së riskut, gjykon se është e nevojshme të ushtrojë kontroll në mjedisin ku ushtron veprimtarinë subjekti, atëherë ky afat nuk mund të jetë më shumë se 30 ditë pune, përfshirë kryerjen e kontrollit.”</w:t>
      </w:r>
    </w:p>
    <w:p w:rsidR="00A06349" w:rsidRPr="003E1FCC" w:rsidRDefault="00A06349" w:rsidP="00A06349">
      <w:pPr>
        <w:pStyle w:val="ListParagraph"/>
        <w:numPr>
          <w:ilvl w:val="0"/>
          <w:numId w:val="23"/>
        </w:numPr>
        <w:spacing w:after="0" w:line="240" w:lineRule="auto"/>
        <w:ind w:left="0" w:firstLine="284"/>
        <w:jc w:val="both"/>
        <w:rPr>
          <w:rFonts w:ascii="Garamond" w:hAnsi="Garamond"/>
          <w:b/>
          <w:bCs/>
          <w:iCs/>
          <w:spacing w:val="-4"/>
          <w:sz w:val="24"/>
          <w:szCs w:val="24"/>
          <w:lang w:val="sq-AL"/>
        </w:rPr>
      </w:pPr>
      <w:r w:rsidRPr="003E1FCC">
        <w:rPr>
          <w:rFonts w:ascii="Garamond" w:hAnsi="Garamond"/>
          <w:b/>
          <w:bCs/>
          <w:iCs/>
          <w:spacing w:val="-4"/>
          <w:sz w:val="24"/>
          <w:szCs w:val="24"/>
          <w:lang w:val="sq-AL"/>
        </w:rPr>
        <w:t>Pika 45.2.3 ndryshon më këtë përmbajtje: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iCs/>
          <w:spacing w:val="-4"/>
          <w:sz w:val="24"/>
          <w:szCs w:val="24"/>
          <w:lang w:val="sq-AL"/>
        </w:rPr>
        <w:t>“45.2.3 Qendra Kombëtare e Biznesit ose gjykata nuk mund të kryejë çregjistrimin, në qoftë se brenda afatit 30-ditor, të përmendur në pikën 4, të këtij neni, administrata tatimore e kundërshton me shkrim çregjistrimin. Kundërshtimi i çregjistrimit të tatimpaguesit nga administrata tatimore tregon shumën e detyrimeve tatimore të papaguara të tatimpaguesit dhe, në rastin e personit juridik, faktin se ai nuk ka paraqitur pasqyrat financiare të mbylljes së aktivitetit deri në momentin e likuidimit, ose nuk ka dorëzuar deklaratat tatimore.</w:t>
      </w:r>
      <w:r w:rsidRPr="003E1FCC">
        <w:rPr>
          <w:rFonts w:ascii="Garamond" w:hAnsi="Garamond"/>
          <w:spacing w:val="-4"/>
          <w:sz w:val="24"/>
          <w:szCs w:val="24"/>
          <w:lang w:val="sq-AL"/>
        </w:rPr>
        <w:t xml:space="preserve"> Kundërshtimi nga administrata tatimore është i vlefshëm dhe kur dërgohet elektronikisht sipas protokollit elektronik të shkëmbimit të të dhënave midis QKB-së dhe administratës tatimore. </w:t>
      </w:r>
    </w:p>
    <w:p w:rsidR="00A06349" w:rsidRPr="003E1FCC" w:rsidRDefault="00A06349" w:rsidP="00A06349">
      <w:pPr>
        <w:shd w:val="clear" w:color="auto" w:fill="FFFFFF"/>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Nëse organi tatimor nuk i përgjigjet QKB-së ose gjykatës brenda afatit, QKB-ja ose gjykata çregjistron automatikisht subjektin dhe njofton në të njëjtën ditë organin tatimor dhe tatimpaguesin.”.</w:t>
      </w:r>
    </w:p>
    <w:p w:rsidR="00A06349" w:rsidRPr="003E1FCC" w:rsidRDefault="00A06349" w:rsidP="00A06349">
      <w:pPr>
        <w:pStyle w:val="ListParagraph"/>
        <w:numPr>
          <w:ilvl w:val="0"/>
          <w:numId w:val="23"/>
        </w:numPr>
        <w:shd w:val="clear" w:color="auto" w:fill="FFFFFF"/>
        <w:spacing w:after="0" w:line="240" w:lineRule="auto"/>
        <w:ind w:left="0" w:firstLine="284"/>
        <w:jc w:val="both"/>
        <w:rPr>
          <w:rFonts w:ascii="Garamond" w:hAnsi="Garamond"/>
          <w:b/>
          <w:iCs/>
          <w:spacing w:val="-4"/>
          <w:sz w:val="24"/>
          <w:szCs w:val="24"/>
          <w:lang w:val="sq-AL"/>
        </w:rPr>
      </w:pPr>
      <w:r w:rsidRPr="003E1FCC">
        <w:rPr>
          <w:rFonts w:ascii="Garamond" w:hAnsi="Garamond"/>
          <w:b/>
          <w:iCs/>
          <w:spacing w:val="-4"/>
          <w:sz w:val="24"/>
          <w:szCs w:val="24"/>
          <w:lang w:val="sq-AL"/>
        </w:rPr>
        <w:t xml:space="preserve"> Pika 45.2.4 ndryshon me këtë përmbajtje:</w:t>
      </w:r>
    </w:p>
    <w:p w:rsidR="00A06349" w:rsidRPr="003E1FCC" w:rsidRDefault="00A06349" w:rsidP="00A06349">
      <w:pPr>
        <w:shd w:val="clear" w:color="auto" w:fill="FFFFFF"/>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“45.2.4 Në rastin kur subjektet e regjistruara pranë Qendrës Kombëtare të Biznesit ose gjykatës rezultojnë me detyrime tatimore, ato çregjistrohen automatikisht pasi të kenë paguar të gjitha detyrimet tatimore, përfshirë detyrimet që lindin në rastin kur çregjistrimi kryhet me likuidim. Në momentin kur subjekti paguan detyrimet tatimore, organi tatimor menjëherë njofton QKB-në ose gjykatën dhe subjektin, që subjekti nuk ka detyrime tatimore të papaguara.</w:t>
      </w:r>
    </w:p>
    <w:p w:rsidR="00A06349" w:rsidRPr="003E1FCC" w:rsidRDefault="00A06349" w:rsidP="00A06349">
      <w:pPr>
        <w:pStyle w:val="ListParagraph"/>
        <w:shd w:val="clear" w:color="auto" w:fill="FFFFFF"/>
        <w:spacing w:after="0" w:line="240" w:lineRule="auto"/>
        <w:ind w:left="0" w:firstLine="284"/>
        <w:jc w:val="both"/>
        <w:rPr>
          <w:rFonts w:ascii="Garamond" w:hAnsi="Garamond"/>
          <w:iCs/>
          <w:spacing w:val="-4"/>
          <w:sz w:val="24"/>
          <w:szCs w:val="24"/>
          <w:lang w:val="sq-AL"/>
        </w:rPr>
      </w:pPr>
      <w:r w:rsidRPr="003E1FCC">
        <w:rPr>
          <w:rFonts w:ascii="Garamond" w:hAnsi="Garamond"/>
          <w:iCs/>
          <w:spacing w:val="-4"/>
          <w:sz w:val="24"/>
          <w:szCs w:val="24"/>
          <w:lang w:val="sq-AL"/>
        </w:rPr>
        <w:t xml:space="preserve">Në rastin kur kundërshtimi për çregjistrim nga organet tatimore është bërë si pasojë e mosdorëzimit të pasqyrave financiare ose deklaratave tatimore, atëherë, me paraqitjen e tyre, organi tatimor kompetent </w:t>
      </w:r>
      <w:r w:rsidRPr="003E1FCC">
        <w:rPr>
          <w:rFonts w:ascii="Garamond" w:hAnsi="Garamond"/>
          <w:iCs/>
          <w:spacing w:val="-4"/>
          <w:sz w:val="24"/>
          <w:szCs w:val="24"/>
          <w:lang w:val="sq-AL"/>
        </w:rPr>
        <w:lastRenderedPageBreak/>
        <w:t>detyrohet të tërheqë menjëherë kundërshtimin për çregjistrim dhe Qendra Kombëtare e Biznesit kryen menjëherë çregjistrimin e tatimpaguesit.”.</w:t>
      </w:r>
    </w:p>
    <w:p w:rsidR="00A06349" w:rsidRPr="003E1FCC" w:rsidRDefault="00A06349" w:rsidP="00A06349">
      <w:pPr>
        <w:pStyle w:val="ListParagraph"/>
        <w:numPr>
          <w:ilvl w:val="0"/>
          <w:numId w:val="23"/>
        </w:numPr>
        <w:spacing w:after="0" w:line="240" w:lineRule="auto"/>
        <w:ind w:left="0" w:firstLine="284"/>
        <w:jc w:val="both"/>
        <w:rPr>
          <w:rFonts w:ascii="Garamond" w:hAnsi="Garamond"/>
          <w:b/>
          <w:iCs/>
          <w:spacing w:val="-4"/>
          <w:sz w:val="24"/>
          <w:szCs w:val="24"/>
          <w:lang w:val="sq-AL"/>
        </w:rPr>
      </w:pPr>
      <w:r w:rsidRPr="003E1FCC">
        <w:rPr>
          <w:rFonts w:ascii="Garamond" w:hAnsi="Garamond"/>
          <w:b/>
          <w:iCs/>
          <w:spacing w:val="-4"/>
          <w:sz w:val="24"/>
          <w:szCs w:val="24"/>
          <w:lang w:val="sq-AL"/>
        </w:rPr>
        <w:t xml:space="preserve"> Pika 45.2.5 ndryshohet me këtë përmbajtje:</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“45.2.5 Nëse, pavarësisht nga shlyerja e detyrimit, për të cilin është kundërshtuar çregjistrimi, organi tatimor kompetent nuk ka tërhequr kundërshtimin, atëherë subjekti paraqet pranë Qendrës Kombëtare të Biznesit dokumentin që vërteton shlyerjen e këtyre detyrimeve tatimore. Në këtë rast, Qendra Kombëtare e Biznesit kryen menjëherë çregjistrimin e subjektit dhe njofton menjëherë organin tatimor kompetent dhe tatimpaguesin.</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Për çdo procedurë që organi tatimor dhe QKB-ja kryejnë, sipas ligjit dhe këtij udhëzimi, që kur fillon procedura e çregjistrimit dhe deri në çregjistrimin përfundimtar, njoftojnë në të njëjtën kohë edhe tatimpaguesin.”.</w:t>
      </w:r>
    </w:p>
    <w:p w:rsidR="00A06349" w:rsidRPr="003E1FCC" w:rsidRDefault="00A06349" w:rsidP="00A06349">
      <w:pPr>
        <w:tabs>
          <w:tab w:val="left" w:pos="684"/>
        </w:tabs>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Nëse organi tatimor nuk i përgjigjet QKB-së ose gjykatës brenda afatit, QKB-ja ose gjykata çregjistron automatikisht subjektin dhe njofton në të njëjtën ditë organin tatimor dhe tatimpaguesin. Në këtë rast, përgjegjësia është e Drejtorisë Rajonale të Tatimeve, drejtori i së cilës nxjerr përgjegjësinë personale të punonjësve të tatimeve dhe propozon masat përkatëse ligjore disiplinore apo penale ndaj tyre. Për çdo çregjistrim të personave të tatueshëm, Qendra Kombëtare e Biznesit njofton Drejtorinë Rajonale të Tatimeve të juridiksionit përkatës.</w:t>
      </w:r>
    </w:p>
    <w:p w:rsidR="00A06349"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Çregjistrimi tatimor nuk eliminon detyrimet ekzistuese tatimore dhe nuk parandalon administratën tatimore të vlerësojë ose të mbledhë detyrimet tatimore.”.</w:t>
      </w:r>
    </w:p>
    <w:p w:rsidR="00A06349" w:rsidRPr="00FD79AC" w:rsidRDefault="00A06349" w:rsidP="00A06349">
      <w:pPr>
        <w:spacing w:after="0" w:line="240" w:lineRule="auto"/>
        <w:rPr>
          <w:rFonts w:ascii="Garamond" w:hAnsi="Garamond"/>
          <w:iCs/>
          <w:spacing w:val="-4"/>
          <w:sz w:val="24"/>
          <w:szCs w:val="24"/>
          <w:lang w:val="sq-AL"/>
        </w:rPr>
      </w:pPr>
      <w:r>
        <w:rPr>
          <w:rFonts w:ascii="Garamond" w:hAnsi="Garamond"/>
          <w:iCs/>
          <w:spacing w:val="-4"/>
          <w:sz w:val="24"/>
          <w:szCs w:val="24"/>
          <w:lang w:val="sq-AL"/>
        </w:rPr>
        <w:t xml:space="preserve">- </w:t>
      </w:r>
      <w:r w:rsidRPr="003E1FCC">
        <w:rPr>
          <w:rFonts w:ascii="Garamond" w:hAnsi="Garamond"/>
          <w:iCs/>
          <w:spacing w:val="-4"/>
          <w:sz w:val="24"/>
          <w:szCs w:val="24"/>
          <w:lang w:val="sq-AL"/>
        </w:rPr>
        <w:t>Në pikën 45.2.7 paragrafi “b”, shprehja “ose nenin 50 të ligjit “Për TVSH-në”, të ndryshuar” zëvendësohet me shprehjen “ose nenin 77 të ligjit “Për TVSH-në, i ndryshuar”;</w:t>
      </w:r>
    </w:p>
    <w:p w:rsidR="00A06349" w:rsidRPr="003E1FCC" w:rsidRDefault="00A06349" w:rsidP="00A06349">
      <w:pPr>
        <w:pStyle w:val="ListParagraph"/>
        <w:numPr>
          <w:ilvl w:val="0"/>
          <w:numId w:val="23"/>
        </w:numPr>
        <w:tabs>
          <w:tab w:val="left" w:pos="364"/>
        </w:tabs>
        <w:spacing w:after="0" w:line="240" w:lineRule="auto"/>
        <w:ind w:left="0" w:firstLine="284"/>
        <w:jc w:val="both"/>
        <w:rPr>
          <w:rFonts w:ascii="Garamond" w:hAnsi="Garamond"/>
          <w:b/>
          <w:iCs/>
          <w:spacing w:val="-4"/>
          <w:sz w:val="24"/>
          <w:szCs w:val="24"/>
          <w:lang w:val="sq-AL"/>
        </w:rPr>
      </w:pPr>
      <w:r w:rsidRPr="003E1FCC">
        <w:rPr>
          <w:rFonts w:ascii="Garamond" w:hAnsi="Garamond"/>
          <w:b/>
          <w:iCs/>
          <w:spacing w:val="-4"/>
          <w:sz w:val="24"/>
          <w:szCs w:val="24"/>
          <w:lang w:val="sq-AL"/>
        </w:rPr>
        <w:t xml:space="preserve"> Pika 45.2.8 ndryshohet në përmbajtje si më poshtë:</w:t>
      </w:r>
    </w:p>
    <w:p w:rsidR="00A06349" w:rsidRPr="003E1FCC" w:rsidRDefault="00A06349" w:rsidP="00A06349">
      <w:pPr>
        <w:shd w:val="clear" w:color="auto" w:fill="FFFFFF"/>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“45.2.8 Për tatimpaguesit, persona juridikë, detyrimi për të deklaruar ndërpritet në momentin e dorëzimit të raportit përfundimtar të likuidimit/bashkimit/ndarjes në Qendrën Kombëtare të Biznesit ose gjykatë.”.</w:t>
      </w:r>
    </w:p>
    <w:p w:rsidR="00A06349" w:rsidRPr="003E1FCC" w:rsidRDefault="00A06349" w:rsidP="00A06349">
      <w:pPr>
        <w:pStyle w:val="ListParagraph"/>
        <w:numPr>
          <w:ilvl w:val="0"/>
          <w:numId w:val="23"/>
        </w:numPr>
        <w:spacing w:after="0" w:line="240" w:lineRule="auto"/>
        <w:ind w:left="0" w:firstLine="284"/>
        <w:jc w:val="both"/>
        <w:rPr>
          <w:rFonts w:ascii="Garamond" w:hAnsi="Garamond"/>
          <w:b/>
          <w:iCs/>
          <w:spacing w:val="-4"/>
          <w:sz w:val="24"/>
          <w:szCs w:val="24"/>
          <w:lang w:val="sq-AL"/>
        </w:rPr>
      </w:pPr>
      <w:r w:rsidRPr="003E1FCC">
        <w:rPr>
          <w:rFonts w:ascii="Garamond" w:hAnsi="Garamond"/>
          <w:b/>
          <w:iCs/>
          <w:spacing w:val="-4"/>
          <w:sz w:val="24"/>
          <w:szCs w:val="24"/>
          <w:lang w:val="sq-AL"/>
        </w:rPr>
        <w:t xml:space="preserve"> Në pikën 45.3.2 bëhen ndryshimet dhe shtesat e mëposhtme:</w:t>
      </w:r>
    </w:p>
    <w:p w:rsidR="00A06349" w:rsidRPr="003E1FCC" w:rsidRDefault="00A06349" w:rsidP="00A06349">
      <w:pPr>
        <w:pStyle w:val="ListParagraph"/>
        <w:numPr>
          <w:ilvl w:val="0"/>
          <w:numId w:val="27"/>
        </w:numPr>
        <w:spacing w:after="0" w:line="240" w:lineRule="auto"/>
        <w:ind w:left="0" w:firstLine="284"/>
        <w:jc w:val="both"/>
        <w:rPr>
          <w:rFonts w:ascii="Garamond" w:hAnsi="Garamond"/>
          <w:iCs/>
          <w:spacing w:val="-4"/>
          <w:sz w:val="24"/>
          <w:szCs w:val="24"/>
          <w:lang w:val="sq-AL"/>
        </w:rPr>
      </w:pPr>
      <w:r w:rsidRPr="003E1FCC">
        <w:rPr>
          <w:rFonts w:ascii="Garamond" w:hAnsi="Garamond"/>
          <w:iCs/>
          <w:spacing w:val="-4"/>
          <w:sz w:val="24"/>
          <w:szCs w:val="24"/>
          <w:lang w:val="sq-AL"/>
        </w:rPr>
        <w:t xml:space="preserve"> shprehja “brenda 30 ditëve” zëvendësohet me shprehjen “ brenda 10 ditëve pune”.</w:t>
      </w:r>
    </w:p>
    <w:p w:rsidR="00A06349" w:rsidRPr="003E1FCC" w:rsidRDefault="00A06349" w:rsidP="00A06349">
      <w:pPr>
        <w:pStyle w:val="ListParagraph"/>
        <w:numPr>
          <w:ilvl w:val="0"/>
          <w:numId w:val="27"/>
        </w:numPr>
        <w:spacing w:after="0" w:line="240" w:lineRule="auto"/>
        <w:ind w:left="0" w:firstLine="284"/>
        <w:jc w:val="both"/>
        <w:rPr>
          <w:rFonts w:ascii="Garamond" w:hAnsi="Garamond"/>
          <w:iCs/>
          <w:spacing w:val="-4"/>
          <w:sz w:val="24"/>
          <w:szCs w:val="24"/>
          <w:lang w:val="sq-AL"/>
        </w:rPr>
      </w:pPr>
      <w:r w:rsidRPr="003E1FCC">
        <w:rPr>
          <w:rFonts w:ascii="Garamond" w:hAnsi="Garamond"/>
          <w:iCs/>
          <w:spacing w:val="-4"/>
          <w:sz w:val="24"/>
          <w:szCs w:val="24"/>
          <w:lang w:val="sq-AL"/>
        </w:rPr>
        <w:t xml:space="preserve"> në fund të paragrafit, shtohet fjalia me këtë përmbajtje:</w:t>
      </w:r>
    </w:p>
    <w:p w:rsidR="00A06349" w:rsidRPr="003E1FCC" w:rsidRDefault="00A06349" w:rsidP="00A06349">
      <w:pPr>
        <w:pStyle w:val="ListParagraph"/>
        <w:spacing w:after="0" w:line="240" w:lineRule="auto"/>
        <w:ind w:left="0" w:firstLine="284"/>
        <w:jc w:val="both"/>
        <w:rPr>
          <w:rFonts w:ascii="Garamond" w:hAnsi="Garamond"/>
          <w:iCs/>
          <w:spacing w:val="-4"/>
          <w:sz w:val="24"/>
          <w:szCs w:val="24"/>
          <w:lang w:val="sq-AL"/>
        </w:rPr>
      </w:pPr>
      <w:r w:rsidRPr="003E1FCC">
        <w:rPr>
          <w:rFonts w:ascii="Garamond" w:hAnsi="Garamond"/>
          <w:iCs/>
          <w:spacing w:val="-4"/>
          <w:sz w:val="24"/>
          <w:szCs w:val="24"/>
          <w:lang w:val="sq-AL"/>
        </w:rPr>
        <w:t>“Ky kontroll nuk mund të jetë më shumë sesa 30 ditë pune”.</w:t>
      </w:r>
    </w:p>
    <w:p w:rsidR="00A06349" w:rsidRPr="003E1FCC" w:rsidRDefault="00A06349" w:rsidP="00A06349">
      <w:pPr>
        <w:pStyle w:val="ListParagraph"/>
        <w:numPr>
          <w:ilvl w:val="0"/>
          <w:numId w:val="23"/>
        </w:numPr>
        <w:spacing w:after="0" w:line="240" w:lineRule="auto"/>
        <w:ind w:left="0" w:firstLine="284"/>
        <w:jc w:val="both"/>
        <w:rPr>
          <w:rFonts w:ascii="Garamond" w:hAnsi="Garamond"/>
          <w:b/>
          <w:iCs/>
          <w:spacing w:val="-4"/>
          <w:sz w:val="24"/>
          <w:szCs w:val="24"/>
          <w:lang w:val="sq-AL"/>
        </w:rPr>
      </w:pPr>
      <w:r w:rsidRPr="003E1FCC">
        <w:rPr>
          <w:rFonts w:ascii="Garamond" w:hAnsi="Garamond"/>
          <w:b/>
          <w:iCs/>
          <w:spacing w:val="-4"/>
          <w:sz w:val="24"/>
          <w:szCs w:val="24"/>
          <w:lang w:val="sq-AL"/>
        </w:rPr>
        <w:t xml:space="preserve"> Në pikën 45.3.3 shtohet fjalia me përmbajtjen e mëposhtme: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iCs/>
          <w:spacing w:val="-4"/>
          <w:sz w:val="24"/>
          <w:szCs w:val="24"/>
          <w:lang w:val="sq-AL"/>
        </w:rPr>
        <w:t>“</w:t>
      </w:r>
      <w:r w:rsidRPr="003E1FCC">
        <w:rPr>
          <w:rFonts w:ascii="Garamond" w:hAnsi="Garamond"/>
          <w:spacing w:val="-4"/>
          <w:sz w:val="24"/>
          <w:szCs w:val="24"/>
          <w:lang w:val="sq-AL"/>
        </w:rPr>
        <w:t xml:space="preserve">Kundërshtimi nga administrata tatimore është i vlefshëm dhe kur dërgohet elektronikisht sipas protokollit elektronik të shkëmbimit të të dhënave midis QKB-së dhe administratës tatimore.”. </w:t>
      </w:r>
    </w:p>
    <w:p w:rsidR="00A06349" w:rsidRPr="003E1FCC" w:rsidRDefault="00A06349" w:rsidP="00A06349">
      <w:pPr>
        <w:pStyle w:val="ListParagraph"/>
        <w:numPr>
          <w:ilvl w:val="0"/>
          <w:numId w:val="23"/>
        </w:numPr>
        <w:spacing w:after="0" w:line="240" w:lineRule="auto"/>
        <w:ind w:left="0" w:firstLine="284"/>
        <w:jc w:val="both"/>
        <w:rPr>
          <w:rFonts w:ascii="Garamond" w:hAnsi="Garamond"/>
          <w:b/>
          <w:iCs/>
          <w:spacing w:val="-4"/>
          <w:sz w:val="24"/>
          <w:szCs w:val="24"/>
          <w:lang w:val="sq-AL"/>
        </w:rPr>
      </w:pPr>
      <w:r w:rsidRPr="003E1FCC">
        <w:rPr>
          <w:rFonts w:ascii="Garamond" w:hAnsi="Garamond"/>
          <w:b/>
          <w:iCs/>
          <w:spacing w:val="-4"/>
          <w:sz w:val="24"/>
          <w:szCs w:val="24"/>
          <w:lang w:val="sq-AL"/>
        </w:rPr>
        <w:t xml:space="preserve"> Pika 45.3.5 ndryshon në përmbajtje si më poshtë:</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eastAsia="Times New Roman" w:hAnsi="Garamond"/>
          <w:iCs/>
          <w:spacing w:val="-4"/>
          <w:sz w:val="24"/>
          <w:szCs w:val="24"/>
          <w:lang w:val="sq-AL"/>
        </w:rPr>
        <w:t>“45.3.</w:t>
      </w:r>
      <w:r w:rsidRPr="003E1FCC">
        <w:rPr>
          <w:rFonts w:ascii="Garamond" w:hAnsi="Garamond"/>
          <w:iCs/>
          <w:spacing w:val="-4"/>
          <w:sz w:val="24"/>
          <w:szCs w:val="24"/>
          <w:lang w:val="sq-AL"/>
        </w:rPr>
        <w:t xml:space="preserve">5 Për çdo procedurë që organi tatimor dhe QKB-ja kryejnë, sipas ligjit dhe këtij udhëzimi, që kur fillon procedura e çregjistrimit dhe deri në çregjistrimin përfundimtar, njofton në të njëjtën kohë edhe tatimpaguesin. Nëse organi tatimor nuk i përgjigjet QKB-së ose gjykatës brenda afatit, QKB-ja ose gjykata çregjistron automatikisht subjektin dhe njofton në të njëjtën ditë organin tatimor dhe tatimpaguesin. Në këtë rast, përgjegjësia është e Drejtorisë Rajonale të Tatimeve, drejtori i së cilës nxjerr përgjegjësinë personale të punonjësve të tatimeve dhe propozon masat përkatëse ligjore disiplinore apo penale ndaj tyre. Për çdo çregjistrim të personave të tatueshëm, Qendra Kombëtare e Biznesit njofton Drejtorinë Rajonale të Tatimeve të juridiksionit përkatës. </w:t>
      </w:r>
    </w:p>
    <w:p w:rsidR="00A06349" w:rsidRPr="003E1FCC" w:rsidRDefault="00A06349" w:rsidP="00A06349">
      <w:pPr>
        <w:spacing w:after="0" w:line="240" w:lineRule="auto"/>
        <w:rPr>
          <w:rFonts w:ascii="Garamond" w:hAnsi="Garamond"/>
          <w:iCs/>
          <w:spacing w:val="-4"/>
          <w:sz w:val="24"/>
          <w:szCs w:val="24"/>
          <w:lang w:val="sq-AL"/>
        </w:rPr>
      </w:pPr>
      <w:r w:rsidRPr="003E1FCC">
        <w:rPr>
          <w:rFonts w:ascii="Garamond" w:hAnsi="Garamond"/>
          <w:iCs/>
          <w:spacing w:val="-4"/>
          <w:sz w:val="24"/>
          <w:szCs w:val="24"/>
          <w:lang w:val="sq-AL"/>
        </w:rPr>
        <w:t>Çregjistrimi tatimor nuk eliminon detyrimet ekzistuese tatimore dhe nuk parandalon administratën tatimore të vlerësojë ose të mbledhë detyrimet tatimore</w:t>
      </w:r>
      <w:r w:rsidRPr="003E1FCC">
        <w:rPr>
          <w:rFonts w:ascii="Garamond" w:eastAsia="Times New Roman" w:hAnsi="Garamond"/>
          <w:iCs/>
          <w:spacing w:val="-4"/>
          <w:sz w:val="24"/>
          <w:szCs w:val="24"/>
          <w:lang w:val="sq-AL"/>
        </w:rPr>
        <w:t>.”.</w:t>
      </w:r>
    </w:p>
    <w:p w:rsidR="00A06349" w:rsidRPr="003E1FCC" w:rsidRDefault="00A06349" w:rsidP="00A06349">
      <w:pPr>
        <w:pStyle w:val="ListParagraph"/>
        <w:numPr>
          <w:ilvl w:val="0"/>
          <w:numId w:val="23"/>
        </w:numPr>
        <w:spacing w:after="0" w:line="240" w:lineRule="auto"/>
        <w:ind w:left="0" w:firstLine="284"/>
        <w:jc w:val="both"/>
        <w:rPr>
          <w:rFonts w:ascii="Garamond" w:hAnsi="Garamond"/>
          <w:b/>
          <w:iCs/>
          <w:spacing w:val="-4"/>
          <w:sz w:val="24"/>
          <w:szCs w:val="24"/>
          <w:lang w:val="sq-AL"/>
        </w:rPr>
      </w:pPr>
      <w:r w:rsidRPr="003E1FCC">
        <w:rPr>
          <w:rFonts w:ascii="Garamond" w:hAnsi="Garamond"/>
          <w:b/>
          <w:iCs/>
          <w:spacing w:val="-4"/>
          <w:sz w:val="24"/>
          <w:szCs w:val="24"/>
          <w:lang w:val="sq-AL"/>
        </w:rPr>
        <w:t xml:space="preserve"> Në pikën 45.4.2 bëhen ndryshimet dhe shtesat e mëposhtme:</w:t>
      </w:r>
    </w:p>
    <w:p w:rsidR="00A06349" w:rsidRPr="003E1FCC" w:rsidRDefault="00A06349" w:rsidP="00A06349">
      <w:pPr>
        <w:pStyle w:val="ListParagraph"/>
        <w:spacing w:after="0" w:line="240" w:lineRule="auto"/>
        <w:ind w:left="284"/>
        <w:jc w:val="both"/>
        <w:rPr>
          <w:rFonts w:ascii="Garamond" w:hAnsi="Garamond"/>
          <w:spacing w:val="-4"/>
          <w:sz w:val="24"/>
          <w:szCs w:val="24"/>
          <w:lang w:val="sq-AL"/>
        </w:rPr>
      </w:pPr>
      <w:r w:rsidRPr="003E1FCC">
        <w:rPr>
          <w:rFonts w:ascii="Garamond" w:hAnsi="Garamond"/>
          <w:spacing w:val="-4"/>
          <w:sz w:val="24"/>
          <w:szCs w:val="24"/>
          <w:lang w:val="sq-AL"/>
        </w:rPr>
        <w:t xml:space="preserve">a) shprehja “ brenda 30 ditëve “zëvendësohet me shprehjen “ brenda 10 ditëve pune” </w:t>
      </w:r>
    </w:p>
    <w:p w:rsidR="00A06349" w:rsidRPr="003E1FCC" w:rsidRDefault="00A06349" w:rsidP="00A06349">
      <w:pPr>
        <w:pStyle w:val="ListParagraph"/>
        <w:spacing w:after="0" w:line="240" w:lineRule="auto"/>
        <w:ind w:left="284"/>
        <w:jc w:val="both"/>
        <w:rPr>
          <w:rFonts w:ascii="Garamond" w:hAnsi="Garamond"/>
          <w:spacing w:val="-4"/>
          <w:sz w:val="24"/>
          <w:szCs w:val="24"/>
          <w:lang w:val="sq-AL"/>
        </w:rPr>
      </w:pPr>
      <w:r w:rsidRPr="003E1FCC">
        <w:rPr>
          <w:rFonts w:ascii="Garamond" w:hAnsi="Garamond"/>
          <w:spacing w:val="-4"/>
          <w:sz w:val="24"/>
          <w:szCs w:val="24"/>
          <w:lang w:val="sq-AL"/>
        </w:rPr>
        <w:t>b) në fund të paragrafit, shtohet fjalia me këtë përmbajtje:</w:t>
      </w:r>
    </w:p>
    <w:p w:rsidR="00A06349" w:rsidRPr="003E1FCC" w:rsidRDefault="00A06349" w:rsidP="00A06349">
      <w:pPr>
        <w:pStyle w:val="ListParagraph"/>
        <w:spacing w:after="0" w:line="240" w:lineRule="auto"/>
        <w:ind w:left="0" w:firstLine="284"/>
        <w:jc w:val="both"/>
        <w:rPr>
          <w:rFonts w:ascii="Garamond" w:hAnsi="Garamond"/>
          <w:bCs/>
          <w:iCs/>
          <w:spacing w:val="-4"/>
          <w:sz w:val="24"/>
          <w:szCs w:val="24"/>
          <w:lang w:val="sq-AL"/>
        </w:rPr>
      </w:pPr>
      <w:r w:rsidRPr="003E1FCC">
        <w:rPr>
          <w:rFonts w:ascii="Garamond" w:hAnsi="Garamond"/>
          <w:iCs/>
          <w:spacing w:val="-4"/>
          <w:sz w:val="24"/>
          <w:szCs w:val="24"/>
          <w:lang w:val="sq-AL"/>
        </w:rPr>
        <w:t>“</w:t>
      </w:r>
      <w:r w:rsidRPr="003E1FCC">
        <w:rPr>
          <w:rFonts w:ascii="Garamond" w:hAnsi="Garamond"/>
          <w:bCs/>
          <w:iCs/>
          <w:spacing w:val="-4"/>
          <w:sz w:val="24"/>
          <w:szCs w:val="24"/>
          <w:lang w:val="sq-AL"/>
        </w:rPr>
        <w:t>Ky kontroll nuk mund të jetë më shumë sesa 30 ditë pune”.</w:t>
      </w:r>
    </w:p>
    <w:p w:rsidR="00A06349" w:rsidRPr="003E1FCC" w:rsidRDefault="00A06349" w:rsidP="00A06349">
      <w:pPr>
        <w:pStyle w:val="ListParagraph"/>
        <w:numPr>
          <w:ilvl w:val="0"/>
          <w:numId w:val="23"/>
        </w:numPr>
        <w:spacing w:after="0" w:line="240" w:lineRule="auto"/>
        <w:ind w:left="0" w:firstLine="284"/>
        <w:jc w:val="both"/>
        <w:rPr>
          <w:rFonts w:ascii="Garamond" w:hAnsi="Garamond"/>
          <w:b/>
          <w:bCs/>
          <w:iCs/>
          <w:spacing w:val="-4"/>
          <w:sz w:val="24"/>
          <w:szCs w:val="24"/>
          <w:lang w:val="sq-AL"/>
        </w:rPr>
      </w:pPr>
      <w:r w:rsidRPr="003E1FCC">
        <w:rPr>
          <w:rFonts w:ascii="Garamond" w:hAnsi="Garamond"/>
          <w:b/>
          <w:bCs/>
          <w:iCs/>
          <w:spacing w:val="-4"/>
          <w:sz w:val="24"/>
          <w:szCs w:val="24"/>
          <w:lang w:val="sq-AL"/>
        </w:rPr>
        <w:t xml:space="preserve"> Pika 45.4.5 ndryshon në përmbajtje si më poshtë: </w:t>
      </w:r>
    </w:p>
    <w:p w:rsidR="00A06349" w:rsidRPr="003E1FCC" w:rsidRDefault="00A06349" w:rsidP="00A06349">
      <w:pPr>
        <w:spacing w:after="0" w:line="240" w:lineRule="auto"/>
        <w:rPr>
          <w:rFonts w:ascii="Garamond" w:eastAsia="Times New Roman" w:hAnsi="Garamond"/>
          <w:iCs/>
          <w:spacing w:val="-4"/>
          <w:sz w:val="24"/>
          <w:szCs w:val="24"/>
          <w:lang w:val="sq-AL"/>
        </w:rPr>
      </w:pPr>
      <w:r w:rsidRPr="003E1FCC">
        <w:rPr>
          <w:rFonts w:ascii="Garamond" w:eastAsia="Times New Roman" w:hAnsi="Garamond"/>
          <w:iCs/>
          <w:spacing w:val="-4"/>
          <w:sz w:val="24"/>
          <w:szCs w:val="24"/>
          <w:lang w:val="sq-AL"/>
        </w:rPr>
        <w:t xml:space="preserve">“45.4.5 Për çdo procedurë që organi tatimor kryen, sipas ligjit dhe këtij udhëzimi, që kur fillon procedura e çregjistrimit dhe deri në çregjistrimin përfundimtar, njoftohet në të njëjtën kohë edhe organizata jofitimprurëse. Nëse organi tatimor nuk i përgjigjet gjykatës brenda afatit, gjykata çregjistron automatikisht subjektin dhe njofton në të njëjtën ditë organin tatimor dhe tatimpaguesin. Në këtë rast, përgjegjësia është e Drejtorisë Rajonale të Tatimeve, drejtori i së cilës nxjerr përgjegjësinë personale të punonjësve të tatimeve dhe propozon masat përkatëse ligjore disiplinore apo penale ndaj tyre. Për çdo çregjistrim të personave të tatueshëm, gjykata njofton Drejtorinë Rajonale të Tatimeve të juridiksionit përkatës ku ka qenë e regjistruar OJF-ja. </w:t>
      </w:r>
    </w:p>
    <w:p w:rsidR="00A06349" w:rsidRPr="003E1FCC" w:rsidRDefault="00A06349" w:rsidP="00A06349">
      <w:pPr>
        <w:spacing w:after="0" w:line="240" w:lineRule="auto"/>
        <w:rPr>
          <w:rFonts w:ascii="Garamond" w:eastAsia="Times New Roman" w:hAnsi="Garamond"/>
          <w:iCs/>
          <w:spacing w:val="-4"/>
          <w:sz w:val="24"/>
          <w:szCs w:val="24"/>
          <w:lang w:val="sq-AL"/>
        </w:rPr>
      </w:pPr>
      <w:r w:rsidRPr="003E1FCC">
        <w:rPr>
          <w:rFonts w:ascii="Garamond" w:eastAsia="Times New Roman" w:hAnsi="Garamond"/>
          <w:iCs/>
          <w:spacing w:val="-4"/>
          <w:sz w:val="24"/>
          <w:szCs w:val="24"/>
          <w:lang w:val="sq-AL"/>
        </w:rPr>
        <w:lastRenderedPageBreak/>
        <w:t>Çregjistrimi tatimor nuk eliminon detyrimet ekzistuese tatimore dhe nuk parandalon administratën tatimore të vlerësojë ose të mbledhë detyrimet tatimore.”.</w:t>
      </w:r>
    </w:p>
    <w:p w:rsidR="00A06349" w:rsidRPr="003E1FCC" w:rsidRDefault="00A06349" w:rsidP="00A06349">
      <w:pPr>
        <w:pStyle w:val="ListParagraph"/>
        <w:numPr>
          <w:ilvl w:val="0"/>
          <w:numId w:val="23"/>
        </w:numPr>
        <w:spacing w:after="0" w:line="240" w:lineRule="auto"/>
        <w:ind w:left="0" w:firstLine="284"/>
        <w:jc w:val="both"/>
        <w:rPr>
          <w:rFonts w:ascii="Garamond" w:hAnsi="Garamond"/>
          <w:b/>
          <w:iCs/>
          <w:spacing w:val="-4"/>
          <w:sz w:val="24"/>
          <w:szCs w:val="24"/>
          <w:lang w:val="sq-AL"/>
        </w:rPr>
      </w:pPr>
      <w:r w:rsidRPr="003E1FCC">
        <w:rPr>
          <w:rFonts w:ascii="Garamond" w:hAnsi="Garamond"/>
          <w:b/>
          <w:iCs/>
          <w:spacing w:val="-4"/>
          <w:sz w:val="24"/>
          <w:szCs w:val="24"/>
          <w:lang w:val="sq-AL"/>
        </w:rPr>
        <w:t xml:space="preserve"> Në pikën 45.5.2 bëhen ndryshimet dhe shtesa e mëposhtme:</w:t>
      </w:r>
    </w:p>
    <w:p w:rsidR="00A06349" w:rsidRPr="003E1FCC" w:rsidRDefault="00A06349" w:rsidP="00A06349">
      <w:pPr>
        <w:pStyle w:val="ListParagraph"/>
        <w:spacing w:after="0" w:line="240" w:lineRule="auto"/>
        <w:ind w:left="284"/>
        <w:jc w:val="both"/>
        <w:rPr>
          <w:rFonts w:ascii="Garamond" w:hAnsi="Garamond"/>
          <w:spacing w:val="-4"/>
          <w:sz w:val="24"/>
          <w:szCs w:val="24"/>
          <w:lang w:val="sq-AL"/>
        </w:rPr>
      </w:pPr>
      <w:r w:rsidRPr="003E1FCC">
        <w:rPr>
          <w:rFonts w:ascii="Garamond" w:hAnsi="Garamond"/>
          <w:bCs/>
          <w:spacing w:val="-4"/>
          <w:sz w:val="24"/>
          <w:szCs w:val="24"/>
          <w:lang w:val="sq-AL"/>
        </w:rPr>
        <w:t>a) shprehja “ brenda 30 ditëve” zëvendësohet me shprehjen “ brenda 10 ditëve pune”.</w:t>
      </w:r>
      <w:r w:rsidRPr="003E1FCC">
        <w:rPr>
          <w:rFonts w:ascii="Garamond" w:hAnsi="Garamond"/>
          <w:spacing w:val="-4"/>
          <w:sz w:val="24"/>
          <w:szCs w:val="24"/>
          <w:lang w:val="sq-AL"/>
        </w:rPr>
        <w:t xml:space="preserve"> </w:t>
      </w:r>
    </w:p>
    <w:p w:rsidR="00A06349" w:rsidRPr="003E1FCC" w:rsidRDefault="00A06349" w:rsidP="00A06349">
      <w:pPr>
        <w:pStyle w:val="ListParagraph"/>
        <w:spacing w:after="0" w:line="240" w:lineRule="auto"/>
        <w:ind w:left="284"/>
        <w:jc w:val="both"/>
        <w:rPr>
          <w:rFonts w:ascii="Garamond" w:hAnsi="Garamond"/>
          <w:spacing w:val="-4"/>
          <w:sz w:val="24"/>
          <w:szCs w:val="24"/>
          <w:lang w:val="sq-AL"/>
        </w:rPr>
      </w:pPr>
      <w:r w:rsidRPr="003E1FCC">
        <w:rPr>
          <w:rFonts w:ascii="Garamond" w:hAnsi="Garamond"/>
          <w:spacing w:val="-4"/>
          <w:sz w:val="24"/>
          <w:szCs w:val="24"/>
          <w:lang w:val="sq-AL"/>
        </w:rPr>
        <w:t>b) në fund të paragrafit, shtohet fjalia me këtë përmbajtje:</w:t>
      </w:r>
    </w:p>
    <w:p w:rsidR="00A06349" w:rsidRDefault="00A06349" w:rsidP="00A06349">
      <w:pPr>
        <w:pStyle w:val="ListParagraph"/>
        <w:spacing w:after="0" w:line="240" w:lineRule="auto"/>
        <w:ind w:left="0" w:firstLine="284"/>
        <w:jc w:val="both"/>
        <w:rPr>
          <w:rFonts w:ascii="Garamond" w:hAnsi="Garamond"/>
          <w:bCs/>
          <w:iCs/>
          <w:spacing w:val="-4"/>
          <w:sz w:val="24"/>
          <w:szCs w:val="24"/>
          <w:lang w:val="sq-AL"/>
        </w:rPr>
      </w:pPr>
      <w:r w:rsidRPr="003E1FCC">
        <w:rPr>
          <w:rFonts w:ascii="Garamond" w:hAnsi="Garamond"/>
          <w:iCs/>
          <w:spacing w:val="-4"/>
          <w:sz w:val="24"/>
          <w:szCs w:val="24"/>
          <w:lang w:val="sq-AL"/>
        </w:rPr>
        <w:t>“</w:t>
      </w:r>
      <w:r w:rsidRPr="003E1FCC">
        <w:rPr>
          <w:rFonts w:ascii="Garamond" w:hAnsi="Garamond"/>
          <w:bCs/>
          <w:iCs/>
          <w:spacing w:val="-4"/>
          <w:sz w:val="24"/>
          <w:szCs w:val="24"/>
          <w:lang w:val="sq-AL"/>
        </w:rPr>
        <w:t>Ky kontroll nuk mund të jetë më shumë sesa 30 ditë pune”.</w:t>
      </w:r>
    </w:p>
    <w:p w:rsidR="00A06349" w:rsidRPr="002A6536" w:rsidRDefault="00A06349" w:rsidP="00A06349">
      <w:pPr>
        <w:pStyle w:val="ListParagraph"/>
        <w:spacing w:after="0" w:line="240" w:lineRule="auto"/>
        <w:ind w:left="0" w:firstLine="284"/>
        <w:jc w:val="both"/>
        <w:rPr>
          <w:rFonts w:ascii="Garamond" w:hAnsi="Garamond"/>
          <w:bCs/>
          <w:iCs/>
          <w:spacing w:val="-4"/>
          <w:sz w:val="24"/>
          <w:szCs w:val="24"/>
          <w:lang w:val="sq-AL"/>
        </w:rPr>
      </w:pPr>
      <w:r>
        <w:rPr>
          <w:rFonts w:ascii="Garamond" w:hAnsi="Garamond"/>
          <w:b/>
          <w:bCs/>
          <w:spacing w:val="-4"/>
          <w:sz w:val="24"/>
          <w:szCs w:val="24"/>
          <w:lang w:val="sq-AL"/>
        </w:rPr>
        <w:t xml:space="preserve">20. </w:t>
      </w:r>
      <w:r w:rsidRPr="002A6536">
        <w:rPr>
          <w:rFonts w:ascii="Garamond" w:hAnsi="Garamond"/>
          <w:b/>
          <w:bCs/>
          <w:spacing w:val="-4"/>
          <w:sz w:val="24"/>
          <w:szCs w:val="24"/>
          <w:lang w:val="sq-AL"/>
        </w:rPr>
        <w:t xml:space="preserve"> Pas pikës 46.1.9 shtohet pika 46.1.9.1 me përmbajtjen e mëposhtme:</w:t>
      </w:r>
    </w:p>
    <w:p w:rsidR="00A06349" w:rsidRPr="003E1FCC" w:rsidRDefault="00A06349" w:rsidP="00A06349">
      <w:pPr>
        <w:spacing w:after="0" w:line="240" w:lineRule="auto"/>
        <w:rPr>
          <w:rFonts w:ascii="Garamond" w:eastAsia="Times New Roman" w:hAnsi="Garamond"/>
          <w:bCs/>
          <w:spacing w:val="-4"/>
          <w:sz w:val="24"/>
          <w:szCs w:val="24"/>
          <w:lang w:val="sq-AL"/>
        </w:rPr>
      </w:pPr>
      <w:r w:rsidRPr="003E1FCC">
        <w:rPr>
          <w:rFonts w:ascii="Garamond" w:eastAsia="Times New Roman" w:hAnsi="Garamond"/>
          <w:bCs/>
          <w:spacing w:val="-4"/>
          <w:sz w:val="24"/>
          <w:szCs w:val="24"/>
          <w:lang w:val="sq-AL"/>
        </w:rPr>
        <w:t>“46.1.9.1 Në rastin kur një person i tatueshëm (shitësi) furnizon (shet) mallrat për një person tjetër të tatueshëm (blerës), por lëvizja e mallrave nëpërmjet transportit nuk kryhet në drejtim të personit të tatueshëm blerës-rishitës, por në drejtim të një personi të tretë (pritësi/blerësi i tretë), sipas kontratës së shitjes/porosisë së personit të tatueshëm blerës (rishitës), veprohet si më poshtë:</w:t>
      </w:r>
    </w:p>
    <w:p w:rsidR="00A06349" w:rsidRPr="003E1FCC" w:rsidRDefault="00A06349" w:rsidP="00A06349">
      <w:pPr>
        <w:spacing w:after="0" w:line="240" w:lineRule="auto"/>
        <w:rPr>
          <w:rFonts w:ascii="Garamond" w:eastAsia="Times New Roman" w:hAnsi="Garamond"/>
          <w:bCs/>
          <w:spacing w:val="-4"/>
          <w:sz w:val="24"/>
          <w:szCs w:val="24"/>
          <w:lang w:val="sq-AL"/>
        </w:rPr>
      </w:pPr>
      <w:r w:rsidRPr="003E1FCC">
        <w:rPr>
          <w:rFonts w:ascii="Garamond" w:eastAsia="Times New Roman" w:hAnsi="Garamond"/>
          <w:bCs/>
          <w:spacing w:val="-4"/>
          <w:sz w:val="24"/>
          <w:szCs w:val="24"/>
          <w:lang w:val="sq-AL"/>
        </w:rPr>
        <w:t xml:space="preserve">Personi i tatueshëm blerës është rishitësi i mallrave për personin e tretë (ose pritësin/blerësin e tretë). Në këtë rast personi i tatueshëm shitës në momentin që mallrat transportohen me destinacion personin e tretë lëshon fletën e shoqërimit të mallrave sipas formatit bashkangjitur këtij udhëzimi, në të cilën identifikon personin e tatueshëm blerës të mallrave dhe të dhënat identifikuese të tij, si dhe të dhënat e pritësit të mallrave, NIPT-in dhe adresën ku mallrat janë destinuar të transportohen. Kjo fletë shoqërimi e mallit duhet të shoqërojë mallrat gjatë transportit. </w:t>
      </w:r>
    </w:p>
    <w:p w:rsidR="00A06349" w:rsidRPr="003E1FCC" w:rsidRDefault="00A06349" w:rsidP="00A06349">
      <w:pPr>
        <w:spacing w:after="0" w:line="240" w:lineRule="auto"/>
        <w:rPr>
          <w:rFonts w:ascii="Garamond" w:eastAsia="Times New Roman" w:hAnsi="Garamond"/>
          <w:bCs/>
          <w:spacing w:val="-4"/>
          <w:sz w:val="24"/>
          <w:szCs w:val="24"/>
          <w:lang w:val="sq-AL"/>
        </w:rPr>
      </w:pPr>
      <w:r w:rsidRPr="003E1FCC">
        <w:rPr>
          <w:rFonts w:ascii="Garamond" w:eastAsia="Times New Roman" w:hAnsi="Garamond"/>
          <w:bCs/>
          <w:spacing w:val="-4"/>
          <w:sz w:val="24"/>
          <w:szCs w:val="24"/>
          <w:lang w:val="sq-AL"/>
        </w:rPr>
        <w:t xml:space="preserve">Fatura e shitjes së mallit lëshohet nga personi i tatueshëm furnizues (që shet) për personin e tatueshëm blerës (rishitës). Ky i fundit lëshon menjëherë faturën tatimore të shitjes dhe ia vë atë në dispozicion personit të tretë, i cili është blerësi përfundimtar, si dhe njëkohësisht pritësi i mallit, personi për të cilin mallrat janë destinuar. Fatura tatimore e shitjes e lëshuar nga blerësi- rishitës për pritësin e mallit, nga ky i fundit i bashkëngjitet fletës së shoqërimit, me anë të së cilës është transportuar dhe është bërë i disponueshëm malli. Në çdo rast transaksionet e kryera në mënyrën e mësipërme dokumentohen me kontratat përkatëse në të cilën evidentohet qartë se cili është shitësi, blerësi dhe pritësi i mallit. </w:t>
      </w:r>
    </w:p>
    <w:p w:rsidR="00A06349" w:rsidRPr="003E1FCC" w:rsidRDefault="00A06349" w:rsidP="00A06349">
      <w:pPr>
        <w:spacing w:after="0" w:line="240" w:lineRule="auto"/>
        <w:rPr>
          <w:rFonts w:ascii="Garamond" w:eastAsia="Times New Roman" w:hAnsi="Garamond"/>
          <w:bCs/>
          <w:spacing w:val="-4"/>
          <w:sz w:val="24"/>
          <w:szCs w:val="24"/>
          <w:lang w:val="sq-AL"/>
        </w:rPr>
      </w:pPr>
      <w:r w:rsidRPr="003E1FCC">
        <w:rPr>
          <w:rFonts w:ascii="Garamond" w:eastAsia="Times New Roman" w:hAnsi="Garamond"/>
          <w:bCs/>
          <w:spacing w:val="-4"/>
          <w:sz w:val="24"/>
          <w:szCs w:val="24"/>
          <w:lang w:val="sq-AL"/>
        </w:rPr>
        <w:t>Kjo procedurë zbatohet vetëm në rastet kur destinacioni i mallit është për një person të tatueshëm i tretë, pritësi i mallit, i ndryshëm ky nga personi i tatueshëm blerës – rishitës, të cilit shitësi i ka lëshuar faturën tatimore të shitjes, pavarësisht se cili është personi i tatueshëm që kryen transportin. Transportuesi mund të jetë vetë shitësi, rishitësi, blerësi ose një person i tretë transportues. Vetëm për qëllime të zbatimit të kësaj procedure lejohet të përdoret fleta e shoqërimit të mallit. Në çdo rast tjetër të parashikuar në këtë udhëzim përdoret fatura e shoqërimit sipas modelit standard. Fleta e shoqërimit të mallit hartohet në tre kopje, një prej të cilave e mban shitësi dhe dy kopje i merr transportuesi, i cili ia dorëzon pritësit të mallit. Ky i fundit një kopje e mban vetë dhe kopjen e tretë pasi e nënshkruan ia kthen transportuesit i cili ia dorëzon blerësit (rishitës).”.</w:t>
      </w:r>
    </w:p>
    <w:p w:rsidR="00A06349" w:rsidRPr="003E1FCC" w:rsidRDefault="00A06349" w:rsidP="00A06349">
      <w:pPr>
        <w:spacing w:after="0" w:line="240" w:lineRule="auto"/>
        <w:rPr>
          <w:rFonts w:ascii="Garamond" w:eastAsia="Times New Roman" w:hAnsi="Garamond"/>
          <w:bCs/>
          <w:i/>
          <w:spacing w:val="-4"/>
          <w:sz w:val="24"/>
          <w:szCs w:val="24"/>
          <w:lang w:val="sq-AL"/>
        </w:rPr>
      </w:pPr>
      <w:r w:rsidRPr="003E1FCC">
        <w:rPr>
          <w:rFonts w:ascii="Garamond" w:eastAsia="Times New Roman" w:hAnsi="Garamond"/>
          <w:bCs/>
          <w:i/>
          <w:spacing w:val="-4"/>
          <w:sz w:val="24"/>
          <w:szCs w:val="24"/>
          <w:lang w:val="sq-AL"/>
        </w:rPr>
        <w:t xml:space="preserve">Shembull: Shoqëria “Alba” me adresë të ushtrimit të veprimtarisë në Tiranë ka një kontratë shitblerje malli me shoqërinë “Agimi” me adresë të ushtrimit të veprimtarisë në Fier. Në kontratën e shitjes së mallit shoqëritë kanë rënë dakord që shoqëria “Alba” të lëshojë faturën e shitjes së mallit me TVSH për shoqërinë “Agimi” me adresë në Fier, por ndërkohë malli të transportohet me destinacion shoqërinë “Liqeni” me adresë në Pogradec. Transportuesi i mallit është , shoqëria “Trans”, shoqëri transporti mallrash, e cila është kontraktuar nga shoqëria “Agimi”, Fier për të lëvruar mallin nga adresa e shoqërisë “Alba” në Tiranë në adresën e shoqërisë “Liqeni” në Pogradec. </w:t>
      </w:r>
    </w:p>
    <w:p w:rsidR="00A06349" w:rsidRPr="003E1FCC" w:rsidRDefault="00A06349" w:rsidP="00A06349">
      <w:pPr>
        <w:spacing w:after="0" w:line="240" w:lineRule="auto"/>
        <w:rPr>
          <w:rFonts w:ascii="Garamond" w:eastAsia="Times New Roman" w:hAnsi="Garamond"/>
          <w:bCs/>
          <w:i/>
          <w:spacing w:val="-4"/>
          <w:sz w:val="24"/>
          <w:szCs w:val="24"/>
          <w:lang w:val="sq-AL"/>
        </w:rPr>
      </w:pPr>
      <w:r w:rsidRPr="003E1FCC">
        <w:rPr>
          <w:rFonts w:ascii="Garamond" w:eastAsia="Times New Roman" w:hAnsi="Garamond"/>
          <w:bCs/>
          <w:i/>
          <w:spacing w:val="-4"/>
          <w:sz w:val="24"/>
          <w:szCs w:val="24"/>
          <w:lang w:val="sq-AL"/>
        </w:rPr>
        <w:t>Shoqëria “Alba” në momentin që lëvron mallin nga magazina e saj lëshon fletën e shoqërimit të mallit në të cilën plotëson të dhënat identifikuese të saj si shitës, të dhënat e blerësit “Agimi” sh.p.k., të dhënat e pritësit të mallit shoqëria “Liqeni” sh.p.k., si dhe të dhënat e shoqërisë transportuese. Kjo fletë shoqërimi mbahet në tre kopje, njërën e mban shoqëria “Alba”, dy kopjet i merr transportuesi i cili njërën nga kopjet pasi e nënshkruan pritësi ose blerësi i tretë ia kthen të nënshkruar nga ky i fundit shoqërisë “Agimi” sh.p.k., në rolin e rishitësit.</w:t>
      </w:r>
    </w:p>
    <w:p w:rsidR="00A06349" w:rsidRPr="003E1FCC" w:rsidRDefault="00A06349" w:rsidP="00A06349">
      <w:pPr>
        <w:spacing w:after="0" w:line="240" w:lineRule="auto"/>
        <w:rPr>
          <w:rFonts w:ascii="Garamond" w:eastAsia="Times New Roman" w:hAnsi="Garamond"/>
          <w:bCs/>
          <w:i/>
          <w:spacing w:val="-4"/>
          <w:sz w:val="24"/>
          <w:szCs w:val="24"/>
          <w:lang w:val="sq-AL"/>
        </w:rPr>
      </w:pPr>
      <w:r w:rsidRPr="003E1FCC">
        <w:rPr>
          <w:rFonts w:ascii="Garamond" w:eastAsia="Times New Roman" w:hAnsi="Garamond"/>
          <w:bCs/>
          <w:i/>
          <w:spacing w:val="-4"/>
          <w:sz w:val="24"/>
          <w:szCs w:val="24"/>
          <w:lang w:val="sq-AL"/>
        </w:rPr>
        <w:t>Nga ana tjetër shoqëria “Alba” në të njëjtën kohë që malli lëvrohet nga magazina e saj lëshon edhe faturën tatimore për blerësin – rishitës të mallit shoqërinë “Agimi” sh.p.k. Nga ana e saj shoqëria “Agimi” sh.p.k., i cili bazuar në kontratën përkatëse të shitjes me shoqërinë “Alba”, si dhe në momentin që malli është lëvruar nga magazinat e “Alba” sh.p.k. ka përgjegjësinë dhe riskun mbi mallin lëshon faturën tatimore të shitjes për shoqërinë “Liqeni” sh.p.k. Shoqëria “Liqeni” sh.p.k. fletën e shoqërimit të mallit e ruan dhe kopjen e saj ia bashkëngjit faturës së shitjes së mallit, për të dokumentuar në çdo rast që ky transaksion është kryer dhe dokumentuar në kushtet e përcaktuara në pikën 46.1.9.1 të këtij udhëzimi.</w:t>
      </w:r>
    </w:p>
    <w:p w:rsidR="00A06349" w:rsidRPr="002A6536" w:rsidRDefault="00A06349" w:rsidP="00A06349">
      <w:pPr>
        <w:pStyle w:val="Paragrafi"/>
        <w:rPr>
          <w:b/>
          <w:lang w:val="sq-AL"/>
        </w:rPr>
      </w:pPr>
      <w:r>
        <w:rPr>
          <w:b/>
          <w:lang w:val="sq-AL"/>
        </w:rPr>
        <w:t xml:space="preserve">21. </w:t>
      </w:r>
      <w:r w:rsidRPr="002A6536">
        <w:rPr>
          <w:b/>
          <w:lang w:val="sq-AL"/>
        </w:rPr>
        <w:t>Në pikën 50 bëhen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hAnsi="Garamond"/>
          <w:bCs/>
          <w:spacing w:val="-4"/>
          <w:sz w:val="24"/>
          <w:szCs w:val="24"/>
          <w:lang w:val="sq-AL"/>
        </w:rPr>
      </w:pPr>
      <w:r w:rsidRPr="003E1FCC">
        <w:rPr>
          <w:rFonts w:ascii="Garamond" w:hAnsi="Garamond"/>
          <w:bCs/>
          <w:spacing w:val="-4"/>
          <w:sz w:val="24"/>
          <w:szCs w:val="24"/>
          <w:lang w:val="sq-AL"/>
        </w:rPr>
        <w:t xml:space="preserve"> Në pikën 50.1 fjalët “në përputhje me ligjin nr. 7928, datë 27.4.1998, “Për TVSH-në”, zëvendësohen me fjalët “në përputhje me ligjin nr. 92/2014, “Për tatimin mbi vlerën e shtuar në Republikën e Shqipërisë”, i ndryshuar.</w:t>
      </w:r>
    </w:p>
    <w:p w:rsidR="00A06349" w:rsidRPr="003E1FCC" w:rsidRDefault="00A06349" w:rsidP="00A06349">
      <w:pPr>
        <w:pStyle w:val="ListParagraph"/>
        <w:numPr>
          <w:ilvl w:val="0"/>
          <w:numId w:val="23"/>
        </w:numPr>
        <w:spacing w:after="0" w:line="240" w:lineRule="auto"/>
        <w:ind w:left="0" w:firstLine="284"/>
        <w:jc w:val="both"/>
        <w:rPr>
          <w:rFonts w:ascii="Garamond" w:hAnsi="Garamond"/>
          <w:bCs/>
          <w:spacing w:val="-4"/>
          <w:sz w:val="24"/>
          <w:szCs w:val="24"/>
          <w:lang w:val="sq-AL"/>
        </w:rPr>
      </w:pPr>
      <w:r w:rsidRPr="003E1FCC">
        <w:rPr>
          <w:rFonts w:ascii="Garamond" w:hAnsi="Garamond"/>
          <w:bCs/>
          <w:spacing w:val="-4"/>
          <w:sz w:val="24"/>
          <w:szCs w:val="24"/>
          <w:lang w:val="sq-AL"/>
        </w:rPr>
        <w:t xml:space="preserve"> Në pikën 50.4 shtohet fjalia me përmbajtjen: “Në rastin e shitjes së mallrave me destinacion një person të tatueshëm të ndryshëm nga vendndodhja e blerësit -rishitës siç përcaktohet në pikën 46.1.9.1 të </w:t>
      </w:r>
      <w:r w:rsidRPr="003E1FCC">
        <w:rPr>
          <w:rFonts w:ascii="Garamond" w:hAnsi="Garamond"/>
          <w:bCs/>
          <w:spacing w:val="-4"/>
          <w:sz w:val="24"/>
          <w:szCs w:val="24"/>
          <w:lang w:val="sq-AL"/>
        </w:rPr>
        <w:lastRenderedPageBreak/>
        <w:t>këtij udhëzimi lëvizja e mallit gjatë transportit shoqërohet me dokumentin e emërtuar “Fletë shoqërimi malli”, sipas formatit të miratuar me këtë udhëzim.</w:t>
      </w:r>
    </w:p>
    <w:p w:rsidR="00A06349" w:rsidRPr="003E1FCC" w:rsidRDefault="00A06349" w:rsidP="00A06349">
      <w:pPr>
        <w:pStyle w:val="ListParagraph"/>
        <w:spacing w:after="0" w:line="240" w:lineRule="auto"/>
        <w:ind w:left="0" w:firstLine="284"/>
        <w:jc w:val="both"/>
        <w:rPr>
          <w:rFonts w:ascii="Garamond" w:hAnsi="Garamond"/>
          <w:bCs/>
          <w:i/>
          <w:spacing w:val="-4"/>
          <w:sz w:val="24"/>
          <w:szCs w:val="24"/>
          <w:lang w:val="sq-AL"/>
        </w:rPr>
      </w:pPr>
      <w:r w:rsidRPr="003E1FCC">
        <w:rPr>
          <w:rFonts w:ascii="Garamond" w:hAnsi="Garamond"/>
          <w:bCs/>
          <w:i/>
          <w:spacing w:val="-4"/>
          <w:sz w:val="24"/>
          <w:szCs w:val="24"/>
          <w:lang w:val="sq-AL"/>
        </w:rPr>
        <w:t xml:space="preserve">Shembull: Një shoqëri e vendosur në Tiranë ka fituar tenderin për rikonstruksionin e një spitali në Durrës. Për rikonstruksionin e spitalit shoqërisë i nevojiten materiale dhe pajisje që përdoren për rikonstruksionin. Sipas kontratës shoqëria do t’i faturojë çdo muaj spitalit për shërbimin e rikonstruksionit të kryer sipas situacioneve përkatëse. Në këtë rast në zbatim të pikës 50.4 të udhëzimit lëvizja e mallit gjatë transportit shoqërohet me faturë shoqërimi malli, pasi në këtë rast lëvizja e materialeve dhe pajisjeve nga Tirana në Durrës në adresën të spitalit kryhet për qëllime të kryerjes së shërbimit të rikonstruksionit. Malli ose materialet të cilat përdoren për rikonstruksionin situacionohen dhe faturohen sipas punimeve të kryera. </w:t>
      </w:r>
    </w:p>
    <w:p w:rsidR="00A06349" w:rsidRPr="002A6536" w:rsidRDefault="00A06349" w:rsidP="00A06349">
      <w:pPr>
        <w:pStyle w:val="Paragrafi"/>
        <w:rPr>
          <w:b/>
          <w:lang w:val="sq-AL"/>
        </w:rPr>
      </w:pPr>
      <w:r w:rsidRPr="002A6536">
        <w:rPr>
          <w:b/>
          <w:lang w:val="sq-AL"/>
        </w:rPr>
        <w:t>2</w:t>
      </w:r>
      <w:r>
        <w:rPr>
          <w:b/>
          <w:lang w:val="sq-AL"/>
        </w:rPr>
        <w:t>2</w:t>
      </w:r>
      <w:r w:rsidRPr="002A6536">
        <w:rPr>
          <w:b/>
          <w:lang w:val="sq-AL"/>
        </w:rPr>
        <w:t>. Në pikën 51 bëhen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hAnsi="Garamond"/>
          <w:bCs/>
          <w:spacing w:val="-4"/>
          <w:sz w:val="24"/>
          <w:szCs w:val="24"/>
          <w:lang w:val="sq-AL"/>
        </w:rPr>
      </w:pPr>
      <w:r w:rsidRPr="003E1FCC">
        <w:rPr>
          <w:rFonts w:ascii="Garamond" w:hAnsi="Garamond"/>
          <w:bCs/>
          <w:spacing w:val="-4"/>
          <w:sz w:val="24"/>
          <w:szCs w:val="24"/>
          <w:lang w:val="sq-AL"/>
        </w:rPr>
        <w:t xml:space="preserve"> Pika 51.2 ndryshon në përmbajtje si më poshtë: </w:t>
      </w:r>
    </w:p>
    <w:p w:rsidR="00A06349" w:rsidRPr="003E1FCC" w:rsidRDefault="00A06349" w:rsidP="00A06349">
      <w:pPr>
        <w:spacing w:after="0" w:line="240" w:lineRule="auto"/>
        <w:rPr>
          <w:rFonts w:ascii="Garamond" w:eastAsia="Times New Roman" w:hAnsi="Garamond"/>
          <w:bCs/>
          <w:spacing w:val="-4"/>
          <w:sz w:val="24"/>
          <w:szCs w:val="24"/>
          <w:lang w:val="sq-AL"/>
        </w:rPr>
      </w:pPr>
      <w:r w:rsidRPr="003E1FCC">
        <w:rPr>
          <w:rFonts w:ascii="Garamond" w:eastAsia="Times New Roman" w:hAnsi="Garamond"/>
          <w:bCs/>
          <w:spacing w:val="-4"/>
          <w:sz w:val="24"/>
          <w:szCs w:val="24"/>
          <w:lang w:val="sq-AL"/>
        </w:rPr>
        <w:t xml:space="preserve">“51.2 Mallrat e shitura, transportuara, apo blera pa dokument tatimor (faturë tatimore ose faturë shoqërimi ose fletë shoqërimi) i nënshtrohen parashikimeve në përputhje me nenin 121 të ligjit dhe pikës 121 të këtij udhëzimi.”. </w:t>
      </w:r>
    </w:p>
    <w:p w:rsidR="00A06349" w:rsidRDefault="00A06349" w:rsidP="00A06349">
      <w:pPr>
        <w:pStyle w:val="ListParagraph"/>
        <w:numPr>
          <w:ilvl w:val="0"/>
          <w:numId w:val="23"/>
        </w:numPr>
        <w:spacing w:after="0" w:line="240" w:lineRule="auto"/>
        <w:ind w:left="0" w:firstLine="284"/>
        <w:jc w:val="both"/>
        <w:rPr>
          <w:rFonts w:ascii="Garamond" w:hAnsi="Garamond"/>
          <w:bCs/>
          <w:spacing w:val="-4"/>
          <w:sz w:val="24"/>
          <w:szCs w:val="24"/>
          <w:lang w:val="sq-AL"/>
        </w:rPr>
      </w:pPr>
      <w:r w:rsidRPr="003E1FCC">
        <w:rPr>
          <w:rFonts w:ascii="Garamond" w:hAnsi="Garamond"/>
          <w:bCs/>
          <w:spacing w:val="-4"/>
          <w:sz w:val="24"/>
          <w:szCs w:val="24"/>
          <w:lang w:val="sq-AL"/>
        </w:rPr>
        <w:t xml:space="preserve"> Në pikën 51.3 fjala “konfiskuara” zëvendësohet me shprehjen “konstatuara pa dokument tatimor” </w:t>
      </w:r>
    </w:p>
    <w:p w:rsidR="00A06349" w:rsidRPr="002A6536" w:rsidRDefault="00A06349" w:rsidP="00A06349">
      <w:pPr>
        <w:pStyle w:val="Paragrafi"/>
        <w:rPr>
          <w:b/>
        </w:rPr>
      </w:pPr>
      <w:r w:rsidRPr="002A6536">
        <w:rPr>
          <w:b/>
        </w:rPr>
        <w:t>2</w:t>
      </w:r>
      <w:r>
        <w:rPr>
          <w:b/>
        </w:rPr>
        <w:t>3</w:t>
      </w:r>
      <w:r w:rsidRPr="002A6536">
        <w:rPr>
          <w:b/>
        </w:rPr>
        <w:t>. Pika 52.4 ndryshon në përmbajtje si më poshtë:</w:t>
      </w:r>
    </w:p>
    <w:p w:rsidR="00A06349" w:rsidRPr="003E1FCC" w:rsidRDefault="00A06349" w:rsidP="00A06349">
      <w:pPr>
        <w:tabs>
          <w:tab w:val="left" w:pos="497"/>
        </w:tabs>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“52.4 Drejtori i Përgjithshëm i Tatimeve, me kërkesë të tatimpaguesit, pavarësisht nga numri i transaksioneve të kryera, lejon mospërdorimin e faturave tatimore të TVSH-së me numër serial të parashtypur, kur tatimpaguesi është i aftë të lëshojë fatura tatimore kompjuterike për çdo transaksion të tatueshëm, me numër serial unik dhe të papërsëritshëm, të printuara nga sistemi i tij i regjistrimeve.</w:t>
      </w:r>
    </w:p>
    <w:p w:rsidR="00A06349" w:rsidRPr="003E1FCC" w:rsidRDefault="00A06349" w:rsidP="00A06349">
      <w:pPr>
        <w:tabs>
          <w:tab w:val="left" w:pos="497"/>
        </w:tabs>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Për të ushtruar këtë të drejtë tatimpaguesi paraprakisht duhet të disponojë miratimin e drejtorit të Përgjithshëm të Tatimeve dhe të jetë pajisur me diapazonin e numrave serial përkatës. </w:t>
      </w:r>
    </w:p>
    <w:p w:rsidR="00A06349" w:rsidRDefault="00A06349" w:rsidP="00A06349">
      <w:pPr>
        <w:tabs>
          <w:tab w:val="left" w:pos="497"/>
        </w:tabs>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52.4.1 Për këtë qëllim tatimpaguesi paraqet në Drejtorinë e Përgjithshme të Tatimeve: </w:t>
      </w:r>
    </w:p>
    <w:p w:rsidR="00A06349" w:rsidRDefault="00A06349" w:rsidP="00A06349">
      <w:pPr>
        <w:tabs>
          <w:tab w:val="left" w:pos="497"/>
        </w:tabs>
        <w:spacing w:after="0" w:line="240" w:lineRule="auto"/>
        <w:rPr>
          <w:rFonts w:ascii="Garamond" w:eastAsia="Times New Roman" w:hAnsi="Garamond"/>
          <w:spacing w:val="-4"/>
          <w:sz w:val="24"/>
          <w:szCs w:val="24"/>
          <w:lang w:val="sq-AL"/>
        </w:rPr>
      </w:pPr>
      <w:r>
        <w:rPr>
          <w:rFonts w:ascii="Garamond" w:hAnsi="Garamond"/>
          <w:spacing w:val="-4"/>
          <w:sz w:val="24"/>
          <w:szCs w:val="24"/>
          <w:lang w:val="sq-AL"/>
        </w:rPr>
        <w:t xml:space="preserve">a) </w:t>
      </w:r>
      <w:r w:rsidRPr="003E1FCC">
        <w:rPr>
          <w:rFonts w:ascii="Garamond" w:hAnsi="Garamond"/>
          <w:spacing w:val="-4"/>
          <w:sz w:val="24"/>
          <w:szCs w:val="24"/>
          <w:lang w:val="sq-AL"/>
        </w:rPr>
        <w:t xml:space="preserve">Një kërkesë me shkrim të shoqëruar me deklaratën ose vërtetimin përkatës, në të cilin tregohet se sistemi i tij i regjistrimeve është i kompjuterizuar dhe i aftë të prodhojë fatura tatimore me numër serial unik dhe të papërsëritshëm për çdo transaksion. </w:t>
      </w:r>
    </w:p>
    <w:p w:rsidR="00A06349" w:rsidRPr="002A6536" w:rsidRDefault="00A06349" w:rsidP="00A06349">
      <w:pPr>
        <w:tabs>
          <w:tab w:val="left" w:pos="497"/>
        </w:tabs>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 xml:space="preserve">b) </w:t>
      </w:r>
      <w:r w:rsidRPr="003E1FCC">
        <w:rPr>
          <w:rFonts w:ascii="Garamond" w:hAnsi="Garamond"/>
          <w:spacing w:val="-4"/>
          <w:sz w:val="24"/>
          <w:szCs w:val="24"/>
          <w:lang w:val="sq-AL"/>
        </w:rPr>
        <w:t xml:space="preserve">Modelin e faturës kompjuterike që kërkon të përdorë, e cila duhet të përmbajë elementët dhe të dhënat e përcaktuara në ligjin për TVSH-në;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Tatimpaguesi tregon në kërkesën e paraqitur numrin e transaksioneve që parashikon të kryejë në një periudhë tatimore. Kjo e dhënë është e rëndësishme për të gjykuar në lidhje me planifikimin nga ana e organit tatimor të numrave serial që do t’i akordohen një tatimpaguesi.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52.4.2 Drejtoria e Përgjithshme e Tatimeve brenda 15 ditëve, pas verifikimit nëse fatura tatimore kompjuterike që personi i tatueshëm kërkon të përdorë, përmban të gjithë të dhënat, elementet e nevojshme të kërkuara nga ligji në përputhje me veprimtarinë që kryen, pavarësisht numrit të transaksioneve të kryera nga tatimpaguesi, shprehet për miratimin e përdorimit të modelit të faturës tatimore kompjuterike, duke lëshuar miratimin përkatës për tatimpaguesin dhe njoftuar në të njëjtën kohë me shkrim tatimpaguesin dhe Drejtorinë Rajonale Tatimore.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Pas miratimit të përdorimit të faturës tatimore kompjuterike të shitjes, tatimpaguesi menjëherë paraqitet dhe tërheq numrat serial në dispozicion pranë Drejtorisë Rajonale Tatimore ku është i regjistruar.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Në çdo rast procedura sipas këtij udhëzimi që nga data e paraqitjes së kërkesës deri në pajisjen më numër serial nga Drejtoria Rajonale Tatimore nuk duhet të zgjasë më shumë se 30 ditë kalendarike.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52.4.3 Drejtoria e Përgjithshme e Tatimeve dhe drejtoritë rajonale tatimore evidentojnë në një regjistër të posaçëm tatimpaguesit që kanë miratimin e përdorimit të faturës kompjuterike dhe numrat serial përkatës të akorduar.</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Çdo faturë e lëshuar sipas modelit të miratuar duhet të përmbajë detyrimisht shënimin “Përdorimi i kësaj fature është miratuar nga drejtori i Përgjithshëm i Tatimeve me shkresën nr………, datë…………”.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Për çdo ndryshim në modelin, përmbajtjen, formatin e faturës për të cilën është miratuar e drejta e përdorimit, personi i tatueshëm duhet të njoftojë Drejtorinë e Përgjithshme të Tatimeve, pasi modeli i faturës së miratuar ruhet dhe bëhet pjesë e dosjes së tatimpaguesit. Nuk konsiderohet ndryshim përfshirja në sfondin e faturës ose në një sipërfaqe të caktuar të saj, e elementeve të reklamave, nëse ato nuk ndryshojnë formatin e faturës.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Në asnjë rast miratimi i faturës tatimore kompjuterike nuk u akordohet tatimpaguesve që janë në regjistrin pasiv të tatimpaguesve.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52.4.4 Kur konstatohet se personi i tatueshëm për transaksionet e kryera lëshon faturë tatimore kompjuterike jo sipas modelit që i është miratuar nga drejtori i Përgjithshëm i Tatimeve, ose ka bërë ndryshime në faturë për të cilat nuk ka njoftuar ndryshimet, ose nëse faturat e lëshuara nuk përmbajnë </w:t>
      </w:r>
      <w:r w:rsidRPr="003E1FCC">
        <w:rPr>
          <w:rFonts w:ascii="Garamond" w:hAnsi="Garamond"/>
          <w:spacing w:val="-4"/>
          <w:sz w:val="24"/>
          <w:szCs w:val="24"/>
          <w:lang w:val="sq-AL"/>
        </w:rPr>
        <w:lastRenderedPageBreak/>
        <w:t xml:space="preserve">numër serial të miratuar, apo nuk përmbajnë shënimin që tregon aktin referues të drejtorit të Përgjithshëm të Tatimeve me të cilin është miratuar fatura, dënohen sipas dispozitave të ligjit dhe të këtij udhëzimi.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Nëse konstatohet se personi i tatueshëm ka keqpërdorur miratimin për përdorim të faturës tatimore kompjuterike, me qëllim shmangien e detyrimeve tatimore, Drejtori i Përgjithshëm i Tatimeve ka të drejtë të rishqyrtojë miratimin e dhënë për një periudhe të paktën 2 vjeçare.”.</w:t>
      </w:r>
    </w:p>
    <w:p w:rsidR="00A06349" w:rsidRPr="002F6176" w:rsidRDefault="00A06349" w:rsidP="00A06349">
      <w:pPr>
        <w:pStyle w:val="Paragrafi"/>
        <w:rPr>
          <w:i/>
          <w:lang w:val="sq-AL"/>
        </w:rPr>
      </w:pPr>
      <w:r>
        <w:rPr>
          <w:b/>
          <w:lang w:val="sq-AL"/>
        </w:rPr>
        <w:t xml:space="preserve">24. </w:t>
      </w:r>
      <w:r w:rsidRPr="003E1FCC">
        <w:rPr>
          <w:b/>
          <w:lang w:val="sq-AL"/>
        </w:rPr>
        <w:t>Në pikën 55.1, pas fjalëve</w:t>
      </w:r>
      <w:r w:rsidRPr="003E1FCC">
        <w:rPr>
          <w:lang w:val="sq-AL"/>
        </w:rPr>
        <w:t xml:space="preserve"> </w:t>
      </w:r>
      <w:r w:rsidRPr="002F6176">
        <w:rPr>
          <w:i/>
          <w:lang w:val="sq-AL"/>
        </w:rPr>
        <w:t xml:space="preserve">“për të cilat pagesat nuk kryhen nëpërmjet bankës”, shtohen fjalët “ose institucioneve financiare të parasë elektronike, të licencuara nga Banka e Shqipërisë”. </w:t>
      </w:r>
    </w:p>
    <w:p w:rsidR="00A06349" w:rsidRPr="002F6176" w:rsidRDefault="00A06349" w:rsidP="00A06349">
      <w:pPr>
        <w:pStyle w:val="Paragrafi"/>
        <w:rPr>
          <w:b/>
          <w:lang w:val="sq-AL"/>
        </w:rPr>
      </w:pPr>
      <w:r w:rsidRPr="002F6176">
        <w:rPr>
          <w:b/>
          <w:lang w:val="sq-AL"/>
        </w:rPr>
        <w:t>25. Në pikën 58 bëhen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eastAsia="Calibri" w:hAnsi="Garamond"/>
          <w:spacing w:val="-4"/>
          <w:sz w:val="24"/>
          <w:szCs w:val="24"/>
          <w:lang w:val="sq-AL"/>
        </w:rPr>
      </w:pPr>
      <w:r w:rsidRPr="003E1FCC">
        <w:rPr>
          <w:rFonts w:ascii="Garamond" w:eastAsia="Calibri" w:hAnsi="Garamond"/>
          <w:b/>
          <w:spacing w:val="-4"/>
          <w:sz w:val="24"/>
          <w:szCs w:val="24"/>
          <w:lang w:val="sq-AL"/>
        </w:rPr>
        <w:t xml:space="preserve"> Në fund të pikës 58.1 shtohet fjalia e mëposhtme</w:t>
      </w:r>
      <w:r w:rsidRPr="003E1FCC">
        <w:rPr>
          <w:rFonts w:ascii="Garamond" w:eastAsia="Calibri" w:hAnsi="Garamond"/>
          <w:spacing w:val="-4"/>
          <w:sz w:val="24"/>
          <w:szCs w:val="24"/>
          <w:lang w:val="sq-AL"/>
        </w:rPr>
        <w:t xml:space="preserve">: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“Fleta e shoqërimit të mallit përdoret për të shoqëruar mallin gjatë transportit, vetëm në rastin kur transaksioni është kryer në kushtet e parashikuara në pikën 46.1.9.1 të këtij udhëzimi.</w:t>
      </w:r>
    </w:p>
    <w:p w:rsidR="00A06349" w:rsidRPr="003E1FCC" w:rsidRDefault="00A06349" w:rsidP="00A06349">
      <w:pPr>
        <w:pStyle w:val="ListParagraph"/>
        <w:numPr>
          <w:ilvl w:val="0"/>
          <w:numId w:val="23"/>
        </w:numPr>
        <w:spacing w:after="0" w:line="240" w:lineRule="auto"/>
        <w:ind w:left="0" w:firstLine="284"/>
        <w:jc w:val="both"/>
        <w:rPr>
          <w:rFonts w:ascii="Garamond" w:eastAsia="Calibri" w:hAnsi="Garamond"/>
          <w:b/>
          <w:spacing w:val="-4"/>
          <w:sz w:val="24"/>
          <w:szCs w:val="24"/>
          <w:lang w:val="sq-AL"/>
        </w:rPr>
      </w:pPr>
      <w:r w:rsidRPr="003E1FCC">
        <w:rPr>
          <w:rFonts w:ascii="Garamond" w:eastAsia="Calibri" w:hAnsi="Garamond"/>
          <w:b/>
          <w:spacing w:val="-4"/>
          <w:sz w:val="24"/>
          <w:szCs w:val="24"/>
          <w:lang w:val="sq-AL"/>
        </w:rPr>
        <w:t xml:space="preserve">Pika 58.2 ndryshon në përmbajtje si më poshtë: </w:t>
      </w:r>
    </w:p>
    <w:p w:rsidR="00A06349" w:rsidRPr="003E1FCC" w:rsidRDefault="00A06349" w:rsidP="00A06349">
      <w:pPr>
        <w:tabs>
          <w:tab w:val="left" w:pos="480"/>
        </w:tabs>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“58.2 Kur gjatë kontrolleve që ushtrohen nga strukturat e administratës tatimore, konstatohet se mungon dokumentacioni i kërkuar ligjor për dokumentimin e mallit, zbatohen dispozitat e parashikuara në nenin 121 të ligjit dhe pikës 121 të këtij udhëzimi. Kjo procedurë shoqërohet me procesverbalet përkatës. Mallrat e padokumentuara inventarizohen dhe me qëllim dokumentimin e tyre tatimpaguesi detyrohet të lëshojë një faturë si faturë nga blerësi sipas nenit 53 të ligjit. Tatimpaguesi i cili në këtë rast konsiderohet se ka kryer shkelje për sa nuk ka dokumentuar mallin me faturë në rolin e shitësit ose nuk ka marrë faturë në rolin e blerësit dhe për pasojë nuk ka paguar TVSH-në përkatëse në blerje, ose nuk ka llogaritur TVSH-në në shitje, dënohet sipas nenit 121 të ligjit.”.</w:t>
      </w:r>
    </w:p>
    <w:p w:rsidR="00A06349" w:rsidRPr="003E1FCC" w:rsidRDefault="00A06349" w:rsidP="00A06349">
      <w:pPr>
        <w:pStyle w:val="ListParagraph"/>
        <w:numPr>
          <w:ilvl w:val="0"/>
          <w:numId w:val="23"/>
        </w:numPr>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Pikat 58.3 dhe 58.4 shfuqizohen; </w:t>
      </w:r>
    </w:p>
    <w:p w:rsidR="00A06349" w:rsidRPr="00784513" w:rsidRDefault="00A06349" w:rsidP="00A06349">
      <w:pPr>
        <w:pStyle w:val="Paragrafi"/>
        <w:rPr>
          <w:b/>
          <w:lang w:val="sq-AL"/>
        </w:rPr>
      </w:pPr>
      <w:r w:rsidRPr="00784513">
        <w:rPr>
          <w:b/>
          <w:lang w:val="sq-AL"/>
        </w:rPr>
        <w:t>26. Në pikën 59 bëhen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Në fund të pikës 59.1.1 shtohet paragrafi me përmbajtjen:</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“Kufizimi i parashikuar në nenin 59 të ligjit dhe në këtë pikë të udhëzimit jepet për transaksionet mbi vlerën 150 mijë lekë që kryhen me para në dorë ndërmjet dy personave të tatueshëm, fizikë ose juridik tregtarë. Mosrespektimi i tij konsiderohet shkelje dhe aplikohet dënimi i përcaktuar në përputhje me përcaktimet e nenit 120 të ligjit. Ky kufizim nuk aplikohet kur pagesa kryhet për një transaksion midis një personi tregtar dhe një individi, pavarësisht se vlera e transaksionit është mbi 150 mijë lekë. </w:t>
      </w:r>
    </w:p>
    <w:p w:rsidR="00A06349" w:rsidRPr="003E1FCC" w:rsidRDefault="00A06349" w:rsidP="00A06349">
      <w:pPr>
        <w:spacing w:after="0" w:line="240" w:lineRule="auto"/>
        <w:rPr>
          <w:rFonts w:ascii="Garamond" w:eastAsia="Times New Roman" w:hAnsi="Garamond"/>
          <w:i/>
          <w:spacing w:val="-4"/>
          <w:sz w:val="24"/>
          <w:szCs w:val="24"/>
          <w:lang w:val="sq-AL"/>
        </w:rPr>
      </w:pPr>
      <w:r w:rsidRPr="003E1FCC">
        <w:rPr>
          <w:rFonts w:ascii="Garamond" w:eastAsia="Times New Roman" w:hAnsi="Garamond"/>
          <w:i/>
          <w:spacing w:val="-4"/>
          <w:sz w:val="24"/>
          <w:szCs w:val="24"/>
          <w:lang w:val="sq-AL"/>
        </w:rPr>
        <w:t xml:space="preserve">Shembull: Një individ, ditën e shtunë shtrohet me urgjencë në një spital privat i regjistruar si tatimpagues dhe i nënshtrohet një ndërhyrje kirurgjikale në zemër. Spitali kërkon kryerjen e një pagese prej 200.000 lekë paradhënie për hospitalizimin. Individi ose të afërm të tij kryejnë pagesën në arkën e spitalit dhe pajisen me kuponin tatimor si pagesë e kryer me para në dorë, si dhe me faturën përkatëse tatimore, pasi vlera e transaksionit është mbi 40.000 lekë. Kjo pagesë e kryer me para në dorë nuk është objekt i kufizimit të përcaktuar në nenin 59 dhe në këtë pikë të udhëzimit dhe si e tillë nuk është e detyrueshme të kryhet nga llogaria bankare e blerësit në llogarinë bankare të shitësit.  </w:t>
      </w:r>
    </w:p>
    <w:p w:rsidR="00A06349" w:rsidRPr="003E1FCC" w:rsidRDefault="00A06349" w:rsidP="00A06349">
      <w:pPr>
        <w:pStyle w:val="ListParagraph"/>
        <w:numPr>
          <w:ilvl w:val="0"/>
          <w:numId w:val="23"/>
        </w:numPr>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 xml:space="preserve"> Pas pikës 59.1.2 shtohet pika 59.1.3 me përmbajtjen e mëposhtme:</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“59.1.3 Për qëllime të zbatimit të kësaj dispozite, nuk konsiderohet si transaksion i kryer me para në dorë, pagesa për transaksionet, e cila kryhet nëpërmjet institucioneve financiare të parasë elektronike të licencuara nga Banka e Shqipërisë, ose pagesat e kryera me kartë krediti. Një tatimpagues i cili likuidon një faturë nëpërmjet institucioneve financiare të parasë elektronike edhe kur vlera e transaksionit është më shumë se 150.000 lekë, atëherë për qëllime të zbatimit të kufizimit për transaksionet mbi 150.000 lekë, ky transaksion nuk konsiderohet i kryer me para në dorë. Gjithashtu edhe pagesat e kryera me kartë krediti, për transaksione të ndryshme midis dy personave të tatueshëm nuk konsiderohen të kryera me para në dorë. Kështu kur një agjenci turistike e cila likuidon restorantin ose kryen pagesën e një muzeu për vizitën në muze të turistëve për qëllime të paketave turistike nëpërmjet kartës së kreditit të agjencisë, nuk konsiderohet se e ka kryer transaksionin me para në dorë.</w:t>
      </w:r>
    </w:p>
    <w:p w:rsidR="00A06349" w:rsidRPr="003517E5" w:rsidRDefault="00A06349" w:rsidP="00A06349">
      <w:pPr>
        <w:pStyle w:val="Paragrafi"/>
        <w:rPr>
          <w:b/>
          <w:lang w:val="sq-AL"/>
        </w:rPr>
      </w:pPr>
      <w:r w:rsidRPr="003517E5">
        <w:rPr>
          <w:b/>
          <w:lang w:val="sq-AL"/>
        </w:rPr>
        <w:t>27. Në pikën 65.7.2 bëhen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Fjalia e parë ndryshon në përmbajtje si më poshtë:</w:t>
      </w:r>
    </w:p>
    <w:p w:rsidR="00A06349" w:rsidRPr="003E1FCC" w:rsidRDefault="00A06349" w:rsidP="00A06349">
      <w:pPr>
        <w:shd w:val="clear" w:color="auto" w:fill="FFFFFF"/>
        <w:spacing w:after="0" w:line="240" w:lineRule="auto"/>
        <w:rPr>
          <w:rFonts w:ascii="Garamond" w:hAnsi="Garamond"/>
          <w:spacing w:val="-4"/>
          <w:sz w:val="24"/>
          <w:szCs w:val="24"/>
          <w:lang w:val="sq-AL"/>
        </w:rPr>
      </w:pPr>
      <w:r w:rsidRPr="003E1FCC">
        <w:rPr>
          <w:rFonts w:ascii="Garamond" w:eastAsia="Times New Roman" w:hAnsi="Garamond"/>
          <w:spacing w:val="-4"/>
          <w:sz w:val="24"/>
          <w:szCs w:val="24"/>
          <w:lang w:val="sq-AL"/>
        </w:rPr>
        <w:t xml:space="preserve">“Në rastin e tatimpaguesve persona juridikë, </w:t>
      </w:r>
      <w:r w:rsidRPr="003E1FCC">
        <w:rPr>
          <w:rFonts w:ascii="Garamond" w:hAnsi="Garamond"/>
          <w:spacing w:val="-4"/>
          <w:sz w:val="24"/>
          <w:szCs w:val="24"/>
          <w:lang w:val="sq-AL"/>
        </w:rPr>
        <w:t>detyrimi për të deklaruar ndërpritet në momentin e dorëzimit të raportit përfundimtar të likuidimit /bashkimit/ndarjes në Qendrën Kombëtare të Biznesit ose gjykatë.”.</w:t>
      </w:r>
    </w:p>
    <w:p w:rsidR="00A06349" w:rsidRPr="003E1FCC" w:rsidRDefault="00A06349" w:rsidP="00A06349">
      <w:pPr>
        <w:pStyle w:val="ListParagraph"/>
        <w:numPr>
          <w:ilvl w:val="0"/>
          <w:numId w:val="2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fjalinë e tretë shprehja ”muajin e çregjistrimit” zëvendësohet me shprehjen “muajin e dorëzimit të raportit përfundimtar të likuidimit/bashkimit/ndarjes në QKB”;</w:t>
      </w:r>
    </w:p>
    <w:p w:rsidR="00A06349" w:rsidRPr="003E1FCC" w:rsidRDefault="00A06349" w:rsidP="00A06349">
      <w:pPr>
        <w:pStyle w:val="ListParagraph"/>
        <w:numPr>
          <w:ilvl w:val="0"/>
          <w:numId w:val="2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fjalinë e fundit të kësaj pike shprehja ”vendimit të gjykatës” zëvendësohet me shprehjen “raportit përfundimtar të likuidimit</w:t>
      </w:r>
      <w:r>
        <w:rPr>
          <w:rFonts w:ascii="Garamond" w:hAnsi="Garamond"/>
          <w:spacing w:val="-4"/>
          <w:sz w:val="24"/>
          <w:szCs w:val="24"/>
          <w:lang w:val="sq-AL"/>
        </w:rPr>
        <w:t xml:space="preserve"> </w:t>
      </w:r>
      <w:r w:rsidRPr="003E1FCC">
        <w:rPr>
          <w:rFonts w:ascii="Garamond" w:hAnsi="Garamond"/>
          <w:spacing w:val="-4"/>
          <w:sz w:val="24"/>
          <w:szCs w:val="24"/>
          <w:lang w:val="sq-AL"/>
        </w:rPr>
        <w:t>/bashkimit</w:t>
      </w:r>
      <w:r>
        <w:rPr>
          <w:rFonts w:ascii="Garamond" w:hAnsi="Garamond"/>
          <w:spacing w:val="-4"/>
          <w:sz w:val="24"/>
          <w:szCs w:val="24"/>
          <w:lang w:val="sq-AL"/>
        </w:rPr>
        <w:t xml:space="preserve"> </w:t>
      </w:r>
      <w:r w:rsidRPr="003E1FCC">
        <w:rPr>
          <w:rFonts w:ascii="Garamond" w:hAnsi="Garamond"/>
          <w:spacing w:val="-4"/>
          <w:sz w:val="24"/>
          <w:szCs w:val="24"/>
          <w:lang w:val="sq-AL"/>
        </w:rPr>
        <w:t xml:space="preserve">/ndarjes”. </w:t>
      </w:r>
    </w:p>
    <w:p w:rsidR="00A06349" w:rsidRPr="003517E5" w:rsidRDefault="00A06349" w:rsidP="00A06349">
      <w:pPr>
        <w:pStyle w:val="Paragrafi"/>
        <w:rPr>
          <w:b/>
        </w:rPr>
      </w:pPr>
      <w:r w:rsidRPr="003517E5">
        <w:rPr>
          <w:b/>
        </w:rPr>
        <w:t>28. Në pikën 67.2 bëhen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hAnsi="Garamond" w:cstheme="majorBidi"/>
          <w:spacing w:val="-4"/>
          <w:sz w:val="24"/>
          <w:szCs w:val="24"/>
          <w:lang w:val="sq-AL"/>
        </w:rPr>
      </w:pPr>
      <w:r w:rsidRPr="003E1FCC">
        <w:rPr>
          <w:rFonts w:ascii="Garamond" w:hAnsi="Garamond" w:cstheme="majorBidi"/>
          <w:spacing w:val="-4"/>
          <w:sz w:val="24"/>
          <w:szCs w:val="24"/>
          <w:lang w:val="sq-AL"/>
        </w:rPr>
        <w:t xml:space="preserve"> Në fjalinë e parë shprehja “brenda një periudhe 12-mujore zëvendësohet me shprehjen “ brenda 36 muajve </w:t>
      </w:r>
      <w:r w:rsidRPr="003E1FCC">
        <w:rPr>
          <w:rFonts w:ascii="Garamond" w:hAnsi="Garamond"/>
          <w:spacing w:val="-4"/>
          <w:sz w:val="24"/>
          <w:szCs w:val="24"/>
          <w:lang w:val="sq-AL"/>
        </w:rPr>
        <w:t>nga afati i dorëzimit të deklaratës fillestare</w:t>
      </w:r>
      <w:r w:rsidRPr="003E1FCC">
        <w:rPr>
          <w:rFonts w:ascii="Garamond" w:hAnsi="Garamond" w:cstheme="majorBidi"/>
          <w:spacing w:val="-4"/>
          <w:sz w:val="24"/>
          <w:szCs w:val="24"/>
          <w:lang w:val="sq-AL"/>
        </w:rPr>
        <w:t>”;</w:t>
      </w:r>
    </w:p>
    <w:p w:rsidR="00A06349" w:rsidRPr="003E1FCC" w:rsidRDefault="00A06349" w:rsidP="00A06349">
      <w:pPr>
        <w:pStyle w:val="ListParagraph"/>
        <w:numPr>
          <w:ilvl w:val="0"/>
          <w:numId w:val="23"/>
        </w:numPr>
        <w:spacing w:after="0" w:line="240" w:lineRule="auto"/>
        <w:ind w:left="0" w:firstLine="284"/>
        <w:jc w:val="both"/>
        <w:rPr>
          <w:rFonts w:ascii="Garamond" w:hAnsi="Garamond" w:cstheme="majorBidi"/>
          <w:spacing w:val="-4"/>
          <w:sz w:val="24"/>
          <w:szCs w:val="24"/>
          <w:lang w:val="sq-AL"/>
        </w:rPr>
      </w:pPr>
      <w:r w:rsidRPr="003E1FCC">
        <w:rPr>
          <w:rFonts w:ascii="Garamond" w:hAnsi="Garamond" w:cstheme="majorBidi"/>
          <w:spacing w:val="-4"/>
          <w:sz w:val="24"/>
          <w:szCs w:val="24"/>
          <w:lang w:val="sq-AL"/>
        </w:rPr>
        <w:lastRenderedPageBreak/>
        <w:t xml:space="preserve"> Në fund të pikës 67.2 shtohet paragrafi i mëposhtëm:</w:t>
      </w:r>
    </w:p>
    <w:p w:rsidR="00A06349" w:rsidRPr="003E1FCC" w:rsidRDefault="00A06349" w:rsidP="00A06349">
      <w:pPr>
        <w:spacing w:after="0" w:line="240" w:lineRule="auto"/>
        <w:rPr>
          <w:rFonts w:ascii="Garamond" w:eastAsia="Times New Roman" w:hAnsi="Garamond" w:cstheme="majorBidi"/>
          <w:spacing w:val="-4"/>
          <w:sz w:val="24"/>
          <w:szCs w:val="24"/>
          <w:lang w:val="sq-AL"/>
        </w:rPr>
      </w:pPr>
      <w:r w:rsidRPr="003E1FCC">
        <w:rPr>
          <w:rFonts w:ascii="Garamond" w:eastAsia="Times New Roman" w:hAnsi="Garamond"/>
          <w:spacing w:val="-4"/>
          <w:sz w:val="24"/>
          <w:szCs w:val="24"/>
          <w:lang w:val="sq-AL"/>
        </w:rPr>
        <w:t>“Ai mund të ndryshojë një deklaratë të kontrolluar më parë, vetëm nëse ai ka për të deklaruar një detyrim tatimor më të madh se detyrimi që ka rezultuar nga kontrolli.”</w:t>
      </w:r>
      <w:r w:rsidRPr="003E1FCC">
        <w:rPr>
          <w:rFonts w:ascii="Garamond" w:eastAsia="Times New Roman" w:hAnsi="Garamond" w:cstheme="majorBidi"/>
          <w:spacing w:val="-4"/>
          <w:sz w:val="24"/>
          <w:szCs w:val="24"/>
          <w:lang w:val="sq-AL"/>
        </w:rPr>
        <w:t xml:space="preserve"> </w:t>
      </w:r>
    </w:p>
    <w:p w:rsidR="00A06349" w:rsidRPr="003E1FCC" w:rsidRDefault="00A06349" w:rsidP="00A06349">
      <w:pPr>
        <w:spacing w:after="0" w:line="240" w:lineRule="auto"/>
        <w:rPr>
          <w:rFonts w:ascii="Garamond" w:eastAsia="Times New Roman" w:hAnsi="Garamond" w:cstheme="majorBidi"/>
          <w:i/>
          <w:spacing w:val="-4"/>
          <w:sz w:val="24"/>
          <w:szCs w:val="24"/>
          <w:lang w:val="sq-AL"/>
        </w:rPr>
      </w:pPr>
      <w:r w:rsidRPr="003E1FCC">
        <w:rPr>
          <w:rFonts w:ascii="Garamond" w:eastAsia="Times New Roman" w:hAnsi="Garamond" w:cstheme="majorBidi"/>
          <w:i/>
          <w:spacing w:val="-4"/>
          <w:sz w:val="24"/>
          <w:szCs w:val="24"/>
          <w:lang w:val="sq-AL"/>
        </w:rPr>
        <w:t>Shembull. Një tatimpagues konstaton se në librin e blerjeve të periudhës tatimore dhjetor 2015 nuk ka përfshirë një faturë blerje të kësaj periudhe. Për pasojë vlerën e kësaj fature ky tatimpagues nuk e ka deklaruar as në deklaratën e TVSH-së së muajit dhjetor 2015. Në përputhje me nenin 67 të ligjit, tatimpaguesi ka të drejtë të ndryshojë këtë deklaratë brenda 36 muajve nga data 14 janar 2016 (afati i përcaktuar i dorëzimit të deklaratës së muajit dhjetor 2015), por me kusht që kjo deklaratë të mos jetë kontrolluar më parë nga administrata tatimore. Ndërkohë që për qëllime të zbritjes së TVSH-së, tatimpaguesi ka të drejtë të deklarojë faturën e blerjes dhe të zbresë TVSH-në në përputhje me përcaktimet e legjislacionit për TVSH-në, jo më vonë se 12 periudha tatimore përfshirë dhe periudhën dhjetor 2015”.</w:t>
      </w:r>
    </w:p>
    <w:p w:rsidR="00A06349" w:rsidRPr="003E1FCC" w:rsidRDefault="00A06349" w:rsidP="00A06349">
      <w:pPr>
        <w:spacing w:after="0" w:line="240" w:lineRule="auto"/>
        <w:rPr>
          <w:rFonts w:ascii="Garamond" w:eastAsia="Times New Roman" w:hAnsi="Garamond" w:cstheme="majorBidi"/>
          <w:i/>
          <w:spacing w:val="-4"/>
          <w:sz w:val="24"/>
          <w:szCs w:val="24"/>
          <w:lang w:val="sq-AL"/>
        </w:rPr>
      </w:pPr>
      <w:r w:rsidRPr="003E1FCC">
        <w:rPr>
          <w:rFonts w:ascii="Garamond" w:eastAsia="Times New Roman" w:hAnsi="Garamond" w:cstheme="majorBidi"/>
          <w:i/>
          <w:spacing w:val="-4"/>
          <w:sz w:val="24"/>
          <w:szCs w:val="24"/>
          <w:lang w:val="sq-AL"/>
        </w:rPr>
        <w:t>Nëse për periudhën tatimore, mars 2014, periudhë kjo e kontrolluar më parë tatimpaguesi konstaton se ka tatim shtesë për të deklaruar dhe paguar (p.sh., një shitje e padeklaruar), atëherë ai ka të drejtë të ndryshojë deklaratën e muajit mars 2014 brenda datës 14 prill 2017.</w:t>
      </w:r>
    </w:p>
    <w:p w:rsidR="00A06349" w:rsidRPr="002670D4" w:rsidRDefault="00A06349" w:rsidP="00A06349">
      <w:pPr>
        <w:pStyle w:val="Paragrafi"/>
        <w:rPr>
          <w:b/>
          <w:lang w:val="sq-AL"/>
        </w:rPr>
      </w:pPr>
      <w:r w:rsidRPr="002670D4">
        <w:rPr>
          <w:b/>
          <w:lang w:val="sq-AL"/>
        </w:rPr>
        <w:t>29. Në pikën 68.3.1 paragrafi “b”, fjalia e parë ndryshohet si më poshtë:</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“Kur administrata tatimore konstaton se detyrimi tatimor, i dhënë në deklaratën tatimore, është i pasaktë”;</w:t>
      </w:r>
    </w:p>
    <w:p w:rsidR="00A06349" w:rsidRPr="002670D4" w:rsidRDefault="00A06349" w:rsidP="00A06349">
      <w:pPr>
        <w:pStyle w:val="Paragrafi"/>
        <w:rPr>
          <w:b/>
          <w:lang w:val="sq-AL"/>
        </w:rPr>
      </w:pPr>
      <w:r w:rsidRPr="002670D4">
        <w:rPr>
          <w:b/>
          <w:lang w:val="sq-AL"/>
        </w:rPr>
        <w:t>30. Në pikën 69 bëhen ndryshimet e mëposhtme:</w:t>
      </w:r>
    </w:p>
    <w:p w:rsidR="00A06349" w:rsidRPr="003E1FCC" w:rsidRDefault="00A06349" w:rsidP="00A06349">
      <w:pPr>
        <w:pStyle w:val="ListParagraph"/>
        <w:numPr>
          <w:ilvl w:val="0"/>
          <w:numId w:val="2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pikën 69.1, fjalia e dytë lidhëza “ose” zëvendësohet me lidhëzën “dhe”;</w:t>
      </w:r>
    </w:p>
    <w:p w:rsidR="00A06349" w:rsidRPr="003E1FCC" w:rsidRDefault="00A06349" w:rsidP="00A06349">
      <w:pPr>
        <w:pStyle w:val="ListParagraph"/>
        <w:numPr>
          <w:ilvl w:val="0"/>
          <w:numId w:val="2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pikën 69.2, shkronja “d” ndryshon në përmbajtje: “shumën e tatimit të vlerësuar apo, sipas rastit, edhe uljen e humbjes tatimore, uljen e kredisë tatimore, kamatëvonesën, gjobat.”</w:t>
      </w:r>
    </w:p>
    <w:p w:rsidR="00A06349" w:rsidRPr="00A16FAA" w:rsidRDefault="00A06349" w:rsidP="00A06349">
      <w:pPr>
        <w:pStyle w:val="Paragrafi"/>
        <w:rPr>
          <w:b/>
          <w:lang w:val="sq-AL"/>
        </w:rPr>
      </w:pPr>
      <w:r w:rsidRPr="00A16FAA">
        <w:rPr>
          <w:b/>
          <w:lang w:val="sq-AL"/>
        </w:rPr>
        <w:t>31. Në pikën 73 bëhen ndryshimet e mëposhtme:</w:t>
      </w:r>
    </w:p>
    <w:p w:rsidR="00A06349" w:rsidRPr="003E1FCC" w:rsidRDefault="00A06349" w:rsidP="00A06349">
      <w:pPr>
        <w:pStyle w:val="ListParagraph"/>
        <w:numPr>
          <w:ilvl w:val="0"/>
          <w:numId w:val="23"/>
        </w:numPr>
        <w:tabs>
          <w:tab w:val="left" w:pos="180"/>
        </w:tabs>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pikën 73.1 pas fjalëve “deklaratës tatimore” shtohen fjalët “fillestare ose e ndryshuar”;</w:t>
      </w:r>
    </w:p>
    <w:p w:rsidR="00A06349" w:rsidRPr="003E1FCC" w:rsidRDefault="00A06349" w:rsidP="00A06349">
      <w:pPr>
        <w:pStyle w:val="ListParagraph"/>
        <w:numPr>
          <w:ilvl w:val="0"/>
          <w:numId w:val="23"/>
        </w:numPr>
        <w:tabs>
          <w:tab w:val="left" w:pos="180"/>
        </w:tabs>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pikën 73.4 në fund të fjalisë shtohen fjalët: “fillestare ose e ndryshuar”.</w:t>
      </w:r>
    </w:p>
    <w:p w:rsidR="00A06349" w:rsidRPr="001B288E" w:rsidRDefault="00A06349" w:rsidP="00A06349">
      <w:pPr>
        <w:pStyle w:val="Paragrafi"/>
        <w:rPr>
          <w:b/>
          <w:lang w:val="sq-AL"/>
        </w:rPr>
      </w:pPr>
      <w:r w:rsidRPr="001B288E">
        <w:rPr>
          <w:b/>
          <w:lang w:val="sq-AL"/>
        </w:rPr>
        <w:t>32. Në pikën 75/1, në fund të paragrafit 2.5.2 shtohet paragrafi me përmbajtjen e mëposhtme:</w:t>
      </w:r>
    </w:p>
    <w:p w:rsidR="00A06349" w:rsidRPr="003E1FCC" w:rsidRDefault="00A06349" w:rsidP="00A06349">
      <w:pPr>
        <w:tabs>
          <w:tab w:val="left" w:pos="696"/>
        </w:tabs>
        <w:spacing w:after="0" w:line="240" w:lineRule="auto"/>
        <w:rPr>
          <w:rFonts w:ascii="Garamond" w:hAnsi="Garamond"/>
          <w:spacing w:val="-4"/>
          <w:sz w:val="24"/>
          <w:szCs w:val="24"/>
          <w:lang w:val="sq-AL"/>
        </w:rPr>
      </w:pPr>
      <w:r w:rsidRPr="003E1FCC">
        <w:rPr>
          <w:rFonts w:ascii="Garamond" w:hAnsi="Garamond"/>
          <w:spacing w:val="-4"/>
          <w:sz w:val="24"/>
          <w:szCs w:val="24"/>
          <w:lang w:val="sq-AL"/>
        </w:rPr>
        <w:t>“Me qëllim respektimin e afateve të rimbursimit të TVSH-së, në rastet kur tatimpaguesi i nënshtrohet kontrollit tatimor, afati për përfundimin e Raportit të Kontrollit nga inspektori/inspektorët është, jo më shumë se 5 ditë kalendarike pas përfundimit të tij. Gjithashtu, edhe afati për kundërshtimin e rezultateve të kontrollit tatimor nga tatimpaguesi është jo më shumë se 5 ditë kalendarike pas datës kur vlerësohet se është marrë. I njëjti afat prej 5 ditësh kalendarike zbatohet dhe për plotësimin dhe nënshkrimin e Raportit Përfundimtar të Kontrollit nga të gjithë pjesëtarët e grupit të kontrollit”.</w:t>
      </w:r>
    </w:p>
    <w:p w:rsidR="00A06349" w:rsidRPr="001B288E" w:rsidRDefault="00A06349" w:rsidP="00A06349">
      <w:pPr>
        <w:pStyle w:val="Paragrafi"/>
        <w:rPr>
          <w:b/>
          <w:lang w:val="sq-AL"/>
        </w:rPr>
      </w:pPr>
      <w:r w:rsidRPr="001B288E">
        <w:rPr>
          <w:b/>
          <w:lang w:val="sq-AL"/>
        </w:rPr>
        <w:t>33. Në pikën 76 bëhen ndryshimet e mëposhtme:</w:t>
      </w:r>
    </w:p>
    <w:p w:rsidR="00A06349" w:rsidRPr="003E1FCC" w:rsidRDefault="00A06349" w:rsidP="00A06349">
      <w:pPr>
        <w:pStyle w:val="ListParagraph"/>
        <w:numPr>
          <w:ilvl w:val="0"/>
          <w:numId w:val="23"/>
        </w:numPr>
        <w:tabs>
          <w:tab w:val="left" w:pos="580"/>
        </w:tabs>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Në pikën 76.2, pas përcaktimit “ sipas nenit 75” shtohet përcaktimi “dhe 75/1”;</w:t>
      </w:r>
    </w:p>
    <w:p w:rsidR="00A06349" w:rsidRPr="003E1FCC" w:rsidRDefault="00A06349" w:rsidP="00A06349">
      <w:pPr>
        <w:pStyle w:val="ListParagraph"/>
        <w:numPr>
          <w:ilvl w:val="0"/>
          <w:numId w:val="23"/>
        </w:numPr>
        <w:tabs>
          <w:tab w:val="left" w:pos="580"/>
        </w:tabs>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Në pikën 76.3, në fund shtohet paragrafi me përmbajtjen:</w:t>
      </w:r>
    </w:p>
    <w:p w:rsidR="00A06349" w:rsidRDefault="00A06349" w:rsidP="00A06349">
      <w:pPr>
        <w:tabs>
          <w:tab w:val="left" w:pos="580"/>
        </w:tabs>
        <w:spacing w:after="0" w:line="240" w:lineRule="auto"/>
        <w:rPr>
          <w:rFonts w:ascii="Garamond" w:hAnsi="Garamond"/>
          <w:spacing w:val="-4"/>
          <w:sz w:val="24"/>
          <w:szCs w:val="24"/>
          <w:lang w:val="sq-AL"/>
        </w:rPr>
      </w:pPr>
      <w:r w:rsidRPr="003E1FCC">
        <w:rPr>
          <w:rFonts w:ascii="Garamond" w:hAnsi="Garamond"/>
          <w:spacing w:val="-4"/>
          <w:sz w:val="24"/>
          <w:szCs w:val="24"/>
          <w:lang w:val="sq-AL"/>
        </w:rPr>
        <w:t>“Për qëllime të transparencës dhe të informimit të tatimpaguesve, Drejtoria e Përgjithshme e Tatimeve publikon dhe përditëson në faqen zyrtare të internetit, normën e interesit që aplikon për llogaritjen e kamatëvonesës, në përputhje me këtë udhëzim sa herë që kjo normë ndryshon.”.</w:t>
      </w:r>
    </w:p>
    <w:p w:rsidR="00A06349" w:rsidRPr="00CE74C5" w:rsidRDefault="00A06349" w:rsidP="00A06349">
      <w:pPr>
        <w:pStyle w:val="Paragrafi"/>
        <w:rPr>
          <w:b/>
          <w:lang w:val="sq-AL"/>
        </w:rPr>
      </w:pPr>
      <w:r w:rsidRPr="00CE74C5">
        <w:rPr>
          <w:b/>
          <w:lang w:val="sq-AL"/>
        </w:rPr>
        <w:t>34. Në pikën 77 bëhen shtesat dhe ndryshimet e mëposhtme:</w:t>
      </w:r>
    </w:p>
    <w:p w:rsidR="00A06349" w:rsidRPr="003E1FCC" w:rsidRDefault="00A06349" w:rsidP="00A06349">
      <w:pPr>
        <w:pStyle w:val="ListParagraph"/>
        <w:numPr>
          <w:ilvl w:val="0"/>
          <w:numId w:val="23"/>
        </w:numPr>
        <w:tabs>
          <w:tab w:val="left" w:pos="270"/>
        </w:tabs>
        <w:spacing w:after="0" w:line="240" w:lineRule="auto"/>
        <w:ind w:left="0" w:firstLine="284"/>
        <w:jc w:val="both"/>
        <w:rPr>
          <w:rFonts w:ascii="Garamond" w:eastAsia="Batang" w:hAnsi="Garamond"/>
          <w:b/>
          <w:spacing w:val="-4"/>
          <w:sz w:val="24"/>
          <w:szCs w:val="24"/>
          <w:lang w:val="sq-AL"/>
        </w:rPr>
      </w:pPr>
      <w:r w:rsidRPr="003E1FCC">
        <w:rPr>
          <w:rFonts w:ascii="Garamond" w:eastAsia="Batang" w:hAnsi="Garamond"/>
          <w:b/>
          <w:spacing w:val="-4"/>
          <w:sz w:val="24"/>
          <w:szCs w:val="24"/>
          <w:lang w:val="sq-AL"/>
        </w:rPr>
        <w:t xml:space="preserve"> Në fund të pikës 77.1, shtohet fjalia me këtë përmbajtje: </w:t>
      </w:r>
    </w:p>
    <w:p w:rsidR="00A06349" w:rsidRPr="003E1FCC" w:rsidRDefault="00A06349" w:rsidP="00A06349">
      <w:pPr>
        <w:tabs>
          <w:tab w:val="left" w:pos="513"/>
        </w:tabs>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“Tatimpaguesi mund të lejohet në çdo kohë dhe sa herë që është e nevojshme të lidhë marrëveshje të pagesës me këste, por, në të njëjtën kohë ai duhet të vërtetojë pamundësinë aktuale financiare, si dhe të tregojë që pavarësisht rrethanës financiare të vështirë, është në gjendje të zbatojë kushtet e marrëveshjes”. Për të gjykuar në lidhje me pamundësinë financiare mund të shërbejnë pasqyrat financiare të shoqërisë, gjendja e detyrimeve, kapitaleve të shoqërisë, aftësia qarkulluese e inventarit, likuiditetet etj.”. </w:t>
      </w:r>
    </w:p>
    <w:p w:rsidR="00A06349" w:rsidRPr="003E1FCC" w:rsidRDefault="00A06349" w:rsidP="00A06349">
      <w:pPr>
        <w:pStyle w:val="ListParagraph"/>
        <w:numPr>
          <w:ilvl w:val="0"/>
          <w:numId w:val="29"/>
        </w:numPr>
        <w:spacing w:after="0" w:line="240" w:lineRule="auto"/>
        <w:ind w:left="0" w:firstLine="284"/>
        <w:jc w:val="both"/>
        <w:rPr>
          <w:rFonts w:ascii="Garamond" w:eastAsia="Batang" w:hAnsi="Garamond"/>
          <w:b/>
          <w:spacing w:val="-4"/>
          <w:sz w:val="24"/>
          <w:szCs w:val="24"/>
          <w:lang w:val="sq-AL"/>
        </w:rPr>
      </w:pPr>
      <w:r w:rsidRPr="003E1FCC">
        <w:rPr>
          <w:rFonts w:ascii="Garamond" w:eastAsia="Batang" w:hAnsi="Garamond"/>
          <w:b/>
          <w:spacing w:val="-4"/>
          <w:sz w:val="24"/>
          <w:szCs w:val="24"/>
          <w:lang w:val="sq-AL"/>
        </w:rPr>
        <w:t xml:space="preserve"> Në pikën 77.2, pas fjalisë së dytë, shtohet fjalia me këtë përmbajtje: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“Në kërkesë duhet të paraqiten argumentet për pamundësinë aktuale financiare, si dhe argumentet mbi aftësinë paguese të tatimpaguesit në të ardhmen.”. </w:t>
      </w:r>
    </w:p>
    <w:p w:rsidR="00A06349" w:rsidRPr="003E1FCC" w:rsidRDefault="00A06349" w:rsidP="00A06349">
      <w:pPr>
        <w:pStyle w:val="ListParagraph"/>
        <w:numPr>
          <w:ilvl w:val="0"/>
          <w:numId w:val="29"/>
        </w:numPr>
        <w:spacing w:after="0" w:line="240" w:lineRule="auto"/>
        <w:ind w:left="0" w:firstLine="284"/>
        <w:jc w:val="both"/>
        <w:rPr>
          <w:rFonts w:ascii="Garamond" w:eastAsia="Batang" w:hAnsi="Garamond"/>
          <w:b/>
          <w:spacing w:val="-4"/>
          <w:sz w:val="24"/>
          <w:szCs w:val="24"/>
          <w:lang w:val="sq-AL"/>
        </w:rPr>
      </w:pPr>
      <w:r w:rsidRPr="003E1FCC">
        <w:rPr>
          <w:rFonts w:ascii="Garamond" w:eastAsia="Batang" w:hAnsi="Garamond"/>
          <w:b/>
          <w:spacing w:val="-4"/>
          <w:sz w:val="24"/>
          <w:szCs w:val="24"/>
          <w:lang w:val="sq-AL"/>
        </w:rPr>
        <w:t xml:space="preserve"> Në pikën 77.2, hiqet fjalia e fundit me përmbajtjen:</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“Kërkesa duhet të bëhet brenda 15 ditëve nga data kur njoftimi i vlerësimit konsiderohet të jetë marrë.”.</w:t>
      </w:r>
    </w:p>
    <w:p w:rsidR="00A06349" w:rsidRPr="003E1FCC" w:rsidRDefault="00A06349" w:rsidP="00A06349">
      <w:pPr>
        <w:pStyle w:val="ListParagraph"/>
        <w:numPr>
          <w:ilvl w:val="0"/>
          <w:numId w:val="29"/>
        </w:numPr>
        <w:spacing w:after="0" w:line="240" w:lineRule="auto"/>
        <w:ind w:left="0" w:firstLine="284"/>
        <w:jc w:val="both"/>
        <w:rPr>
          <w:rFonts w:ascii="Garamond" w:eastAsia="Batang" w:hAnsi="Garamond"/>
          <w:b/>
          <w:spacing w:val="-4"/>
          <w:sz w:val="24"/>
          <w:szCs w:val="24"/>
          <w:lang w:val="sq-AL"/>
        </w:rPr>
      </w:pPr>
      <w:r w:rsidRPr="003E1FCC">
        <w:rPr>
          <w:rFonts w:ascii="Garamond" w:eastAsia="Batang" w:hAnsi="Garamond"/>
          <w:b/>
          <w:spacing w:val="-4"/>
          <w:sz w:val="24"/>
          <w:szCs w:val="24"/>
          <w:lang w:val="sq-AL"/>
        </w:rPr>
        <w:t xml:space="preserve"> Përmbajtja e pikës 77.3.1, ndryshon si më poshtë: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“77.3.1 Marrëveshja e pagesës me këste bëhet me shkrim, brenda një afati prej 10 ditë pune nga data e paraqitjes së kërkesës. Kjo marrëveshje nënshkruhet nga tatimpaguesi dhe nga drejtori i drejtorisë rajonale të tatimeve ose drejtuesi i njësisë së ngjashme me të vetëm nëse tatimpaguesi paguan menjëherë 20% të vlerës së detyrimit, për të cilin lidhet marrëveshja e pagesës me këste.”.</w:t>
      </w:r>
    </w:p>
    <w:p w:rsidR="00A06349" w:rsidRPr="003E1FCC" w:rsidRDefault="00A06349" w:rsidP="00A06349">
      <w:pPr>
        <w:pStyle w:val="ListParagraph"/>
        <w:numPr>
          <w:ilvl w:val="0"/>
          <w:numId w:val="29"/>
        </w:numPr>
        <w:tabs>
          <w:tab w:val="left" w:pos="492"/>
        </w:tabs>
        <w:spacing w:after="0" w:line="240" w:lineRule="auto"/>
        <w:ind w:left="0" w:firstLine="284"/>
        <w:jc w:val="both"/>
        <w:rPr>
          <w:rFonts w:ascii="Garamond" w:eastAsia="Batang" w:hAnsi="Garamond"/>
          <w:b/>
          <w:spacing w:val="-4"/>
          <w:sz w:val="24"/>
          <w:szCs w:val="24"/>
          <w:lang w:val="sq-AL"/>
        </w:rPr>
      </w:pPr>
      <w:r w:rsidRPr="003E1FCC">
        <w:rPr>
          <w:rFonts w:ascii="Garamond" w:eastAsia="Batang" w:hAnsi="Garamond"/>
          <w:b/>
          <w:spacing w:val="-4"/>
          <w:sz w:val="24"/>
          <w:szCs w:val="24"/>
          <w:lang w:val="sq-AL"/>
        </w:rPr>
        <w:t xml:space="preserve">Në pikën 77.4, fjalia e dytë hiqet. </w:t>
      </w:r>
    </w:p>
    <w:p w:rsidR="00A06349" w:rsidRPr="003E1FCC" w:rsidRDefault="00A06349" w:rsidP="00A06349">
      <w:pPr>
        <w:pStyle w:val="ListParagraph"/>
        <w:numPr>
          <w:ilvl w:val="0"/>
          <w:numId w:val="29"/>
        </w:numPr>
        <w:tabs>
          <w:tab w:val="left" w:pos="492"/>
        </w:tabs>
        <w:spacing w:after="0" w:line="240" w:lineRule="auto"/>
        <w:ind w:left="0" w:firstLine="284"/>
        <w:jc w:val="both"/>
        <w:rPr>
          <w:rFonts w:ascii="Garamond" w:hAnsi="Garamond"/>
          <w:b/>
          <w:spacing w:val="-4"/>
          <w:sz w:val="24"/>
          <w:szCs w:val="24"/>
          <w:lang w:val="sq-AL"/>
        </w:rPr>
      </w:pPr>
      <w:r w:rsidRPr="003E1FCC">
        <w:rPr>
          <w:rFonts w:ascii="Garamond" w:hAnsi="Garamond"/>
          <w:b/>
          <w:spacing w:val="-4"/>
          <w:sz w:val="24"/>
          <w:szCs w:val="24"/>
          <w:lang w:val="sq-AL"/>
        </w:rPr>
        <w:t>Pas pikës 77.5, shtohen pikat 77.6, 77.7 dhe 77.8 me përmbajtjen e mëposhtme:</w:t>
      </w:r>
    </w:p>
    <w:p w:rsidR="00A06349" w:rsidRPr="003E1FCC" w:rsidRDefault="00A06349" w:rsidP="00A06349">
      <w:pPr>
        <w:tabs>
          <w:tab w:val="left" w:pos="492"/>
        </w:tabs>
        <w:spacing w:after="0" w:line="240" w:lineRule="auto"/>
        <w:rPr>
          <w:rFonts w:ascii="Garamond" w:hAnsi="Garamond"/>
          <w:spacing w:val="-4"/>
          <w:sz w:val="24"/>
          <w:szCs w:val="24"/>
          <w:lang w:val="sq-AL"/>
        </w:rPr>
      </w:pPr>
      <w:r w:rsidRPr="003E1FCC">
        <w:rPr>
          <w:rFonts w:ascii="Garamond" w:hAnsi="Garamond"/>
          <w:spacing w:val="-4"/>
          <w:sz w:val="24"/>
          <w:szCs w:val="24"/>
          <w:lang w:val="sq-AL"/>
        </w:rPr>
        <w:lastRenderedPageBreak/>
        <w:t>“77.6 Në rastet e marrëveshjeve për pagesë me këste, duke filluar nga muaji që pason muajin në të cilin është nënshkruar marrëveshja deri në përfundimin e afatit të marrëveshjes sipas pikës 4 të nenit 77 të ligjit, me kushtin që marrëveshja të jetë përmbushur tërësisht, tatimpaguesi paguan kamatëvonesat, por nuk llogaritet gjobe për pagesë të vonuar.</w:t>
      </w:r>
    </w:p>
    <w:p w:rsidR="00A06349" w:rsidRPr="003E1FCC" w:rsidRDefault="00A06349" w:rsidP="00A06349">
      <w:pPr>
        <w:tabs>
          <w:tab w:val="left" w:pos="492"/>
        </w:tabs>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77.7 Marrëveshja për pagesë me këste mund të lidhet për detyrime tatimore si rezultat i vetëdeklarimit (vetëvlerësimit), si dhe për detyrime tatimore si rezultat i vlerësimit tatimor të kryer nga administrata tatimore sipas nenit 68 të ligjit “Për procedurat tatimore në RSH”. </w:t>
      </w:r>
    </w:p>
    <w:p w:rsidR="00A06349" w:rsidRPr="003E1FCC" w:rsidRDefault="00A06349" w:rsidP="00A06349">
      <w:pPr>
        <w:tabs>
          <w:tab w:val="left" w:pos="492"/>
        </w:tabs>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Marrëveshja për pagesë me këste nuk mund të lidhet për detyrimin tatimor të vetëdeklaruar nga tatimpaguesi, i cili është llogaritur, ose mbledhur, ose mbajtur prej tij, përfshirë kontributet e sigurimeve shoqërore dhe shëndetësore. Tatime të një natyre të tillë, por pa u kufizuar vetëm në to përmenden, tatimi mbi vlerën e shtuar, tatimi i mbajtur në burim, sigurimet shoqërore e shëndetësore, ose ndonjë lloj takse e cila llogaritet, mblidhet e mbahet nga tatimpaguesi. Për shembull: Tatimi mbi vlerën e shtuar është një tatim i cili llogaritet dhe deklarohet sipas faturës. Për sa kërkueshmeria e TVSH-së lind me lëshimin e faturës tatimore dhe paguhet nga blerësi, atëherë tatimpaguesi që lëshon faturën është i detyruar ta paguajë. Edhe në lidhje me detyrimet e kontributeve të sigurimeve shoqërore dhe shëndetësore nuk mund të lidhet marrëveshje për pagesë me këste për sa ky detyrim i është llogaritur dhe mbajtur të punësuarit dhe si i tillë duhet paguar. </w:t>
      </w:r>
    </w:p>
    <w:p w:rsidR="00A06349" w:rsidRDefault="00A06349" w:rsidP="00A06349">
      <w:pPr>
        <w:tabs>
          <w:tab w:val="left" w:pos="492"/>
        </w:tabs>
        <w:spacing w:after="0" w:line="240" w:lineRule="auto"/>
        <w:rPr>
          <w:rFonts w:ascii="Garamond" w:hAnsi="Garamond"/>
          <w:spacing w:val="-4"/>
          <w:sz w:val="24"/>
          <w:szCs w:val="24"/>
          <w:lang w:val="sq-AL"/>
        </w:rPr>
      </w:pPr>
      <w:r w:rsidRPr="003E1FCC">
        <w:rPr>
          <w:rFonts w:ascii="Garamond" w:hAnsi="Garamond"/>
          <w:spacing w:val="-4"/>
          <w:sz w:val="24"/>
          <w:szCs w:val="24"/>
          <w:lang w:val="sq-AL"/>
        </w:rPr>
        <w:t>77.8 Marrëveshja për pagesë me këste mund të lidhet edhe në rastet kur ka filluar mbledhja me forcë e detyrimeve tatimore për tatimpaguesin. Në këto raste edhe pse hiqet urdhërbllokimi i llogarive bankare të tatimpaguesit, nuk mund të hiqet masa e sigurimit të detyrimit tatimor. Nuk mund të lidhet marrëveshje nëse për tatimpaguesin kanë filluar procedurat sipas nenit 96 të Ligjit për sekuestrimin e pasurisë.”.</w:t>
      </w:r>
    </w:p>
    <w:p w:rsidR="00A06349" w:rsidRPr="00CE74C5" w:rsidRDefault="00A06349" w:rsidP="00A06349">
      <w:pPr>
        <w:tabs>
          <w:tab w:val="left" w:pos="492"/>
        </w:tabs>
        <w:spacing w:after="0" w:line="240" w:lineRule="auto"/>
        <w:rPr>
          <w:rFonts w:ascii="Garamond" w:hAnsi="Garamond"/>
          <w:spacing w:val="-4"/>
          <w:sz w:val="24"/>
          <w:szCs w:val="24"/>
          <w:lang w:val="sq-AL"/>
        </w:rPr>
      </w:pPr>
      <w:r w:rsidRPr="003E1FCC">
        <w:rPr>
          <w:rFonts w:ascii="Garamond" w:eastAsia="Batang" w:hAnsi="Garamond"/>
          <w:spacing w:val="-4"/>
          <w:sz w:val="24"/>
          <w:szCs w:val="24"/>
          <w:lang w:val="sq-AL"/>
        </w:rPr>
        <w:t>Në pikën 80.3, pas shkronjës “c” shtohet shkronja “d’ me përmbajtjen e mëposhtme :</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hAnsi="Garamond"/>
          <w:spacing w:val="-4"/>
          <w:sz w:val="24"/>
          <w:szCs w:val="24"/>
          <w:lang w:val="sq-AL"/>
        </w:rPr>
        <w:t xml:space="preserve">d) Kontrolli që kryhet me objekt “Transferimin e çmimit” </w:t>
      </w:r>
      <w:r w:rsidRPr="003E1FCC">
        <w:rPr>
          <w:rFonts w:ascii="Garamond" w:eastAsia="Times New Roman" w:hAnsi="Garamond"/>
          <w:spacing w:val="-4"/>
          <w:sz w:val="24"/>
          <w:szCs w:val="24"/>
          <w:lang w:val="sq-AL"/>
        </w:rPr>
        <w:t xml:space="preserve">është kontroll specifik që kryhet në zbatim të neneve 36–36/7 të ligjit “Për tatimin mbi të ardhurat” dhe udhëzimit nr. 16, datë 18.6.2014 “Për transferimin e çmimit”. Nëse një tatimpagues është kontrolluar më parë për tatim fitimin, por nuk është kontrolluar për qëllime të transferimit të çmimit në zbatim të dispozitave për këtë qëllim, atëherë kontrolli për transferimin e çmimit nuk konsiderohet rikontroll tatimor në kuptim të nenit 85 të ligjit dhe pikës 85 të këtij udhëzimi. </w:t>
      </w:r>
    </w:p>
    <w:p w:rsidR="00A06349" w:rsidRPr="003E1FCC" w:rsidRDefault="00A06349" w:rsidP="00A06349">
      <w:pPr>
        <w:pStyle w:val="Paragrafi"/>
        <w:rPr>
          <w:lang w:val="sq-AL"/>
        </w:rPr>
      </w:pPr>
      <w:r>
        <w:rPr>
          <w:b/>
          <w:lang w:val="sq-AL"/>
        </w:rPr>
        <w:t xml:space="preserve">35. </w:t>
      </w:r>
      <w:r w:rsidRPr="003E1FCC">
        <w:rPr>
          <w:b/>
          <w:lang w:val="sq-AL"/>
        </w:rPr>
        <w:t>Në pikën 80.4.2, kudo në përmbajtje pas fjalëve</w:t>
      </w:r>
      <w:r w:rsidRPr="003E1FCC">
        <w:rPr>
          <w:lang w:val="sq-AL"/>
        </w:rPr>
        <w:t xml:space="preserve"> “kompani audituese” shtohen fjalët “ose kompani të klasifikuara si të tilla me ligj të veçantë”.</w:t>
      </w:r>
    </w:p>
    <w:p w:rsidR="00A06349" w:rsidRPr="003E1FCC" w:rsidRDefault="00A06349" w:rsidP="00A06349">
      <w:pPr>
        <w:pStyle w:val="ListParagraph"/>
        <w:spacing w:after="0" w:line="240" w:lineRule="auto"/>
        <w:ind w:left="284"/>
        <w:jc w:val="both"/>
        <w:rPr>
          <w:rFonts w:ascii="Garamond" w:eastAsia="Batang" w:hAnsi="Garamond"/>
          <w:spacing w:val="-4"/>
          <w:sz w:val="24"/>
          <w:szCs w:val="24"/>
          <w:lang w:val="sq-AL"/>
        </w:rPr>
      </w:pPr>
      <w:r w:rsidRPr="003E1FCC">
        <w:rPr>
          <w:rFonts w:ascii="Garamond" w:eastAsia="Batang" w:hAnsi="Garamond"/>
          <w:spacing w:val="-4"/>
          <w:sz w:val="24"/>
          <w:szCs w:val="24"/>
          <w:lang w:val="sq-AL"/>
        </w:rPr>
        <w:t>Pika 80.4.2.3 ndryshohet si më poshtë:</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eastAsia="Times New Roman" w:hAnsi="Garamond"/>
          <w:spacing w:val="-4"/>
          <w:sz w:val="24"/>
          <w:szCs w:val="24"/>
          <w:lang w:val="sq-AL"/>
        </w:rPr>
        <w:t xml:space="preserve">“80.4.2.3 </w:t>
      </w:r>
      <w:r w:rsidRPr="003E1FCC">
        <w:rPr>
          <w:rFonts w:ascii="Garamond" w:hAnsi="Garamond"/>
          <w:spacing w:val="-4"/>
          <w:sz w:val="24"/>
          <w:szCs w:val="24"/>
          <w:lang w:val="sq-AL"/>
        </w:rPr>
        <w:t>Procedura e konkurrimit për krijimin e listës së kompanive audituese/kompanive të klasifikuara si të tilla me ligj të veçantë, që do të kenë të drejtën për certifikimin e deklaratave tatimore për pajtueshmërinë e tyre me kërkesat e legjislacionit fiskal, kryhet sipas përcaktimeve të kësaj dispozite. Për t’u listuar për të fituar të drejtën për kryerjen e këtij shërbimi, kompanitë audituese/apo kompanitë e klasifikuara si të tilla me ligj të veçantë duhet të plotësojnë kushtet e mëposhtme:</w:t>
      </w:r>
    </w:p>
    <w:p w:rsidR="00A06349" w:rsidRPr="003E1FCC" w:rsidRDefault="00A06349" w:rsidP="00A06349">
      <w:pPr>
        <w:pStyle w:val="Paragrafi"/>
        <w:rPr>
          <w:lang w:val="sq-AL"/>
        </w:rPr>
      </w:pPr>
      <w:r w:rsidRPr="003E1FCC">
        <w:rPr>
          <w:lang w:val="sq-AL"/>
        </w:rPr>
        <w:t xml:space="preserve"> i) Të jenë shoqëri të auditimit ligjor të publikuara në Regjistrin publik të EKR-ve të Institutit të Ekspertëve Kontabël të Autorizuar apo kompani të klasifikuara si të tilla me ligj të veçantë të regjistruara sipas kushteve të përcaktuara në ligj;</w:t>
      </w:r>
    </w:p>
    <w:p w:rsidR="00A06349" w:rsidRPr="003E1FCC" w:rsidRDefault="00A06349" w:rsidP="00A06349">
      <w:pPr>
        <w:pStyle w:val="Paragrafi"/>
        <w:rPr>
          <w:lang w:val="sq-AL"/>
        </w:rPr>
      </w:pPr>
      <w:r w:rsidRPr="003E1FCC">
        <w:rPr>
          <w:lang w:val="sq-AL"/>
        </w:rPr>
        <w:t>ii) Të ketë përvojë në fushën e auditimit, kontabilitetit dhe këshillimeve tatimore;</w:t>
      </w:r>
    </w:p>
    <w:p w:rsidR="00A06349" w:rsidRPr="003E1FCC" w:rsidRDefault="00A06349" w:rsidP="00A06349">
      <w:pPr>
        <w:pStyle w:val="Paragrafi"/>
        <w:rPr>
          <w:lang w:val="sq-AL"/>
        </w:rPr>
      </w:pPr>
      <w:r w:rsidRPr="003E1FCC">
        <w:rPr>
          <w:lang w:val="sq-AL"/>
        </w:rPr>
        <w:t>iii) Të kenë auditues ligjor me eksperiencë në rolin e ortakut.</w:t>
      </w:r>
    </w:p>
    <w:p w:rsidR="00A06349" w:rsidRPr="003E1FCC" w:rsidRDefault="00A06349" w:rsidP="00A06349">
      <w:pPr>
        <w:tabs>
          <w:tab w:val="left" w:pos="284"/>
          <w:tab w:val="left" w:pos="567"/>
          <w:tab w:val="left" w:pos="851"/>
          <w:tab w:val="left" w:pos="1985"/>
          <w:tab w:val="left" w:pos="3119"/>
          <w:tab w:val="left" w:pos="4253"/>
          <w:tab w:val="right" w:pos="7655"/>
        </w:tabs>
        <w:spacing w:after="0" w:line="240" w:lineRule="auto"/>
        <w:rPr>
          <w:rFonts w:ascii="Garamond" w:hAnsi="Garamond"/>
          <w:spacing w:val="-4"/>
          <w:sz w:val="24"/>
          <w:szCs w:val="24"/>
          <w:lang w:val="sq-AL"/>
        </w:rPr>
      </w:pPr>
      <w:r w:rsidRPr="003E1FCC">
        <w:rPr>
          <w:rFonts w:ascii="Garamond" w:hAnsi="Garamond"/>
          <w:spacing w:val="-4"/>
          <w:sz w:val="24"/>
          <w:szCs w:val="24"/>
          <w:lang w:val="sq-AL"/>
        </w:rPr>
        <w:t>Të drejtën për të aplikuar për listim e kanë edhe bashkimet e dy shoqërive audituese/kompani të të klasifikuara si të tilla me ligj të veçantë, që të vetme nuk i plotësojnë kriteret e mësipërme, të cilat kur aplikojnë dorëzojnë edhe marrëveshjen e bashkëpunimit midis tyre, ku parashikohen të drejtat dhe detyrimet reciproke në rast përfshirje si bashkim shoqërish për kryerjen e certifikimit të deklaratave tatimore.</w:t>
      </w:r>
    </w:p>
    <w:p w:rsidR="00A06349" w:rsidRPr="003E1FCC" w:rsidRDefault="00A06349" w:rsidP="00A06349">
      <w:pPr>
        <w:pStyle w:val="ListParagraph"/>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Kompanive audituese /</w:t>
      </w:r>
      <w:r w:rsidRPr="003E1FCC">
        <w:rPr>
          <w:rFonts w:ascii="Garamond" w:hAnsi="Garamond"/>
          <w:spacing w:val="-4"/>
          <w:sz w:val="24"/>
          <w:szCs w:val="24"/>
          <w:lang w:val="sq-AL"/>
        </w:rPr>
        <w:t>kompanive të klasifikuara si të tilla me ligj të veçantë, u bëhet ftesë dhe u kërkohet të paraqesin dokumentacionin sipas kritereve të përcaktuara në këtë dispozite, pranë protokollit të Ministrisë së Financave në adresën bulevardi “Dëshmorët e Kombit”, nr. 3, Tiranë”. Dokumentet dorëzohen në një zarf të mbyllur me mbishkrimin: “Për komisionin e përzgjedhjes së shoqërive audituese, për listim”.</w:t>
      </w:r>
    </w:p>
    <w:p w:rsidR="00A06349" w:rsidRPr="003E1FCC" w:rsidRDefault="00A06349" w:rsidP="00A06349">
      <w:pPr>
        <w:pStyle w:val="ListParagraph"/>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Për të marrë pjesë në konkurrim, kompanitë audituese/</w:t>
      </w:r>
      <w:r w:rsidRPr="003E1FCC">
        <w:rPr>
          <w:rFonts w:ascii="Garamond" w:hAnsi="Garamond"/>
          <w:b/>
          <w:spacing w:val="-4"/>
          <w:sz w:val="24"/>
          <w:szCs w:val="24"/>
          <w:lang w:val="sq-AL"/>
        </w:rPr>
        <w:t xml:space="preserve"> </w:t>
      </w:r>
      <w:r w:rsidRPr="003E1FCC">
        <w:rPr>
          <w:rFonts w:ascii="Garamond" w:hAnsi="Garamond"/>
          <w:spacing w:val="-4"/>
          <w:sz w:val="24"/>
          <w:szCs w:val="24"/>
          <w:lang w:val="sq-AL"/>
        </w:rPr>
        <w:t>kompanitë e klasifikuara si të tilla me ligj të veçantë, duket të plotësojnë disa kritere:</w:t>
      </w:r>
    </w:p>
    <w:p w:rsidR="00A06349" w:rsidRPr="003E1FCC" w:rsidRDefault="00A06349" w:rsidP="00A06349">
      <w:pPr>
        <w:pStyle w:val="ListParagraph"/>
        <w:numPr>
          <w:ilvl w:val="0"/>
          <w:numId w:val="33"/>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Kriteri ligjor përfshin vërtetimin me dokumente të faktit që subjekti aplikues plotëson këto dy kushte:</w:t>
      </w:r>
    </w:p>
    <w:p w:rsidR="00A06349" w:rsidRPr="003E1FCC" w:rsidRDefault="00A06349" w:rsidP="00A06349">
      <w:pPr>
        <w:pStyle w:val="Paragrafi"/>
        <w:rPr>
          <w:spacing w:val="-4"/>
          <w:lang w:val="sq-AL"/>
        </w:rPr>
      </w:pPr>
      <w:r w:rsidRPr="003E1FCC">
        <w:rPr>
          <w:spacing w:val="-4"/>
          <w:lang w:val="sq-AL"/>
        </w:rPr>
        <w:t>a) ka 10 vite përvojë në fushën e auditimit, kontabilitetit dhe këshillimeve tatimore;</w:t>
      </w:r>
    </w:p>
    <w:p w:rsidR="00A06349" w:rsidRPr="003E1FCC" w:rsidRDefault="00A06349" w:rsidP="00A06349">
      <w:pPr>
        <w:pStyle w:val="Paragrafi"/>
        <w:rPr>
          <w:spacing w:val="-4"/>
          <w:lang w:val="sq-AL"/>
        </w:rPr>
      </w:pPr>
      <w:r w:rsidRPr="003E1FCC">
        <w:rPr>
          <w:spacing w:val="-4"/>
          <w:lang w:val="sq-AL"/>
        </w:rPr>
        <w:t>b) ka të paktën një auditues ligjor në rolin e ortakut të angazhimit me përvojë pune jo më pak se 5 vjet;</w:t>
      </w:r>
    </w:p>
    <w:p w:rsidR="00A06349" w:rsidRPr="003E1FCC" w:rsidRDefault="00A06349" w:rsidP="00A06349">
      <w:pPr>
        <w:pStyle w:val="Default"/>
        <w:tabs>
          <w:tab w:val="left" w:pos="1170"/>
        </w:tabs>
        <w:ind w:firstLine="284"/>
        <w:jc w:val="both"/>
        <w:rPr>
          <w:rFonts w:ascii="Garamond" w:hAnsi="Garamond"/>
          <w:color w:val="auto"/>
          <w:spacing w:val="-4"/>
          <w:lang w:val="sq-AL"/>
        </w:rPr>
      </w:pPr>
      <w:r w:rsidRPr="003E1FCC">
        <w:rPr>
          <w:rFonts w:ascii="Garamond" w:hAnsi="Garamond"/>
          <w:bCs/>
          <w:color w:val="auto"/>
          <w:spacing w:val="-4"/>
          <w:lang w:val="sq-AL"/>
        </w:rPr>
        <w:lastRenderedPageBreak/>
        <w:t>Për të vërtetuar kushtet si më sipër, dhe kërkesat e tjera të konkurrimit, kompanitë audituese/</w:t>
      </w:r>
      <w:r w:rsidRPr="003E1FCC">
        <w:rPr>
          <w:rFonts w:ascii="Garamond" w:hAnsi="Garamond"/>
          <w:color w:val="auto"/>
          <w:spacing w:val="-4"/>
          <w:lang w:val="sq-AL"/>
        </w:rPr>
        <w:t xml:space="preserve"> kompanitë e klasifikuara si të tilla me ligj të veçantë</w:t>
      </w:r>
      <w:r w:rsidRPr="003E1FCC">
        <w:rPr>
          <w:rFonts w:ascii="Garamond" w:hAnsi="Garamond"/>
          <w:bCs/>
          <w:color w:val="auto"/>
          <w:spacing w:val="-4"/>
          <w:lang w:val="sq-AL"/>
        </w:rPr>
        <w:t xml:space="preserve"> dorëzojnë:</w:t>
      </w:r>
    </w:p>
    <w:p w:rsidR="00A06349" w:rsidRPr="003E1FCC" w:rsidRDefault="00A06349" w:rsidP="00A06349">
      <w:pPr>
        <w:pStyle w:val="Default"/>
        <w:tabs>
          <w:tab w:val="left" w:pos="1170"/>
        </w:tabs>
        <w:ind w:firstLine="284"/>
        <w:jc w:val="both"/>
        <w:rPr>
          <w:rFonts w:ascii="Garamond" w:hAnsi="Garamond"/>
          <w:color w:val="auto"/>
          <w:spacing w:val="-4"/>
          <w:lang w:val="sq-AL"/>
        </w:rPr>
      </w:pPr>
      <w:r w:rsidRPr="003E1FCC">
        <w:rPr>
          <w:rFonts w:ascii="Garamond" w:hAnsi="Garamond"/>
          <w:color w:val="auto"/>
          <w:spacing w:val="-4"/>
          <w:lang w:val="sq-AL"/>
        </w:rPr>
        <w:t xml:space="preserve">- </w:t>
      </w:r>
      <w:r w:rsidRPr="003E1FCC">
        <w:rPr>
          <w:rFonts w:ascii="Garamond" w:hAnsi="Garamond"/>
          <w:bCs/>
          <w:color w:val="auto"/>
          <w:spacing w:val="-4"/>
          <w:lang w:val="sq-AL"/>
        </w:rPr>
        <w:t>ekstraktin e QKB-së;</w:t>
      </w:r>
    </w:p>
    <w:p w:rsidR="00A06349" w:rsidRPr="003E1FCC" w:rsidRDefault="00A06349" w:rsidP="00A06349">
      <w:pPr>
        <w:pStyle w:val="Default"/>
        <w:tabs>
          <w:tab w:val="left" w:pos="1170"/>
        </w:tabs>
        <w:ind w:firstLine="284"/>
        <w:jc w:val="both"/>
        <w:rPr>
          <w:rFonts w:ascii="Garamond" w:hAnsi="Garamond"/>
          <w:color w:val="auto"/>
          <w:spacing w:val="-4"/>
          <w:lang w:val="sq-AL"/>
        </w:rPr>
      </w:pPr>
      <w:r w:rsidRPr="003E1FCC">
        <w:rPr>
          <w:rFonts w:ascii="Garamond" w:hAnsi="Garamond"/>
          <w:color w:val="auto"/>
          <w:spacing w:val="-4"/>
          <w:lang w:val="sq-AL"/>
        </w:rPr>
        <w:t>- vërtetim nga IEKA-ja që është e regjistruar në Regjistrin Publik të EKR-së/vërtetim për regjistrim sipas ligjit të veçantë;</w:t>
      </w:r>
    </w:p>
    <w:p w:rsidR="00A06349" w:rsidRPr="003E1FCC" w:rsidRDefault="00A06349" w:rsidP="00A06349">
      <w:pPr>
        <w:pStyle w:val="Default"/>
        <w:tabs>
          <w:tab w:val="left" w:pos="360"/>
          <w:tab w:val="left" w:pos="1170"/>
        </w:tabs>
        <w:ind w:firstLine="284"/>
        <w:jc w:val="both"/>
        <w:rPr>
          <w:rFonts w:ascii="Garamond" w:hAnsi="Garamond"/>
          <w:color w:val="auto"/>
          <w:spacing w:val="-4"/>
          <w:lang w:val="sq-AL"/>
        </w:rPr>
      </w:pPr>
      <w:r w:rsidRPr="003E1FCC">
        <w:rPr>
          <w:rFonts w:ascii="Garamond" w:hAnsi="Garamond"/>
          <w:color w:val="auto"/>
          <w:spacing w:val="-4"/>
          <w:lang w:val="sq-AL"/>
        </w:rPr>
        <w:t>- një listë të klientëve të cilëve ju ka ofruar shërbimet e auditimit, kontabilitetit dhe këshillimet tatimore, me të cilët ka lidhur kontratat e shërbimit.</w:t>
      </w:r>
    </w:p>
    <w:p w:rsidR="00A06349" w:rsidRPr="003E1FCC" w:rsidRDefault="00A06349" w:rsidP="00A06349">
      <w:pPr>
        <w:pStyle w:val="Default"/>
        <w:tabs>
          <w:tab w:val="left" w:pos="360"/>
          <w:tab w:val="left" w:pos="1170"/>
        </w:tabs>
        <w:ind w:firstLine="284"/>
        <w:jc w:val="both"/>
        <w:rPr>
          <w:rFonts w:ascii="Garamond" w:hAnsi="Garamond"/>
          <w:color w:val="auto"/>
          <w:spacing w:val="-4"/>
          <w:lang w:val="sq-AL"/>
        </w:rPr>
      </w:pPr>
      <w:r w:rsidRPr="003E1FCC">
        <w:rPr>
          <w:rFonts w:ascii="Garamond" w:hAnsi="Garamond"/>
          <w:color w:val="auto"/>
          <w:spacing w:val="-4"/>
          <w:lang w:val="sq-AL"/>
        </w:rPr>
        <w:t>- listëpagesat e punonjësve;</w:t>
      </w:r>
    </w:p>
    <w:p w:rsidR="00A06349" w:rsidRPr="003E1FCC" w:rsidRDefault="00A06349" w:rsidP="00A06349">
      <w:pPr>
        <w:pStyle w:val="Default"/>
        <w:tabs>
          <w:tab w:val="left" w:pos="360"/>
          <w:tab w:val="left" w:pos="1170"/>
        </w:tabs>
        <w:ind w:firstLine="284"/>
        <w:jc w:val="both"/>
        <w:rPr>
          <w:rFonts w:ascii="Garamond" w:hAnsi="Garamond"/>
          <w:color w:val="auto"/>
          <w:spacing w:val="-4"/>
          <w:lang w:val="sq-AL"/>
        </w:rPr>
      </w:pPr>
      <w:r w:rsidRPr="003E1FCC">
        <w:rPr>
          <w:rFonts w:ascii="Garamond" w:hAnsi="Garamond"/>
          <w:color w:val="auto"/>
          <w:spacing w:val="-4"/>
          <w:lang w:val="sq-AL"/>
        </w:rPr>
        <w:t xml:space="preserve">- CV të audituesit ligjor në rolin e ortakut të angazhimit; </w:t>
      </w:r>
    </w:p>
    <w:p w:rsidR="00A06349" w:rsidRPr="003E1FCC" w:rsidRDefault="00A06349" w:rsidP="00A06349">
      <w:pPr>
        <w:tabs>
          <w:tab w:val="left" w:pos="360"/>
          <w:tab w:val="left" w:pos="1170"/>
          <w:tab w:val="left" w:pos="1440"/>
          <w:tab w:val="left" w:pos="1620"/>
        </w:tabs>
        <w:spacing w:after="0" w:line="240" w:lineRule="auto"/>
        <w:rPr>
          <w:rFonts w:ascii="Garamond" w:hAnsi="Garamond"/>
          <w:bCs/>
          <w:spacing w:val="-4"/>
          <w:sz w:val="24"/>
          <w:szCs w:val="24"/>
          <w:lang w:val="sq-AL"/>
        </w:rPr>
      </w:pPr>
      <w:r w:rsidRPr="003E1FCC">
        <w:rPr>
          <w:rFonts w:ascii="Garamond" w:hAnsi="Garamond"/>
          <w:bCs/>
          <w:spacing w:val="-4"/>
          <w:sz w:val="24"/>
          <w:szCs w:val="24"/>
          <w:lang w:val="sq-AL"/>
        </w:rPr>
        <w:t xml:space="preserve">- vërtetim që shoqëria nuk është në proces falimentimi; </w:t>
      </w:r>
    </w:p>
    <w:p w:rsidR="00A06349" w:rsidRPr="003E1FCC" w:rsidRDefault="00A06349" w:rsidP="00A06349">
      <w:pPr>
        <w:tabs>
          <w:tab w:val="left" w:pos="360"/>
          <w:tab w:val="left" w:pos="1170"/>
          <w:tab w:val="left" w:pos="1440"/>
        </w:tabs>
        <w:spacing w:after="0" w:line="240" w:lineRule="auto"/>
        <w:rPr>
          <w:rFonts w:ascii="Garamond" w:hAnsi="Garamond"/>
          <w:bCs/>
          <w:spacing w:val="-4"/>
          <w:sz w:val="24"/>
          <w:szCs w:val="24"/>
          <w:lang w:val="sq-AL"/>
        </w:rPr>
      </w:pPr>
      <w:r w:rsidRPr="003E1FCC">
        <w:rPr>
          <w:rFonts w:ascii="Garamond" w:hAnsi="Garamond"/>
          <w:bCs/>
          <w:spacing w:val="-4"/>
          <w:sz w:val="24"/>
          <w:szCs w:val="24"/>
          <w:lang w:val="sq-AL"/>
        </w:rPr>
        <w:t>- vërtetim që administratorët dhe ortakët nuk janë dënuar për shkelje penale;</w:t>
      </w:r>
    </w:p>
    <w:p w:rsidR="00A06349" w:rsidRPr="003E1FCC" w:rsidRDefault="00A06349" w:rsidP="00A06349">
      <w:pPr>
        <w:tabs>
          <w:tab w:val="left" w:pos="360"/>
          <w:tab w:val="left" w:pos="1170"/>
          <w:tab w:val="left" w:pos="1440"/>
        </w:tabs>
        <w:spacing w:after="0" w:line="240" w:lineRule="auto"/>
        <w:rPr>
          <w:rFonts w:ascii="Garamond" w:hAnsi="Garamond"/>
          <w:spacing w:val="-4"/>
          <w:sz w:val="24"/>
          <w:szCs w:val="24"/>
          <w:lang w:val="sq-AL"/>
        </w:rPr>
      </w:pPr>
      <w:r w:rsidRPr="003E1FCC">
        <w:rPr>
          <w:rFonts w:ascii="Garamond" w:hAnsi="Garamond"/>
          <w:bCs/>
          <w:spacing w:val="-4"/>
          <w:sz w:val="24"/>
          <w:szCs w:val="24"/>
          <w:lang w:val="sq-AL"/>
        </w:rPr>
        <w:t>- vërtetim që nuk ka detyrimet tatimore të papaguara</w:t>
      </w:r>
      <w:r w:rsidRPr="003E1FCC">
        <w:rPr>
          <w:rFonts w:ascii="Garamond" w:hAnsi="Garamond"/>
          <w:spacing w:val="-4"/>
          <w:sz w:val="24"/>
          <w:szCs w:val="24"/>
          <w:lang w:val="sq-AL"/>
        </w:rPr>
        <w:t xml:space="preserve">; </w:t>
      </w:r>
    </w:p>
    <w:p w:rsidR="00A06349" w:rsidRPr="003E1FCC" w:rsidRDefault="00A06349" w:rsidP="00A06349">
      <w:pPr>
        <w:tabs>
          <w:tab w:val="left" w:pos="360"/>
          <w:tab w:val="left" w:pos="1134"/>
          <w:tab w:val="left" w:pos="1170"/>
          <w:tab w:val="left" w:pos="1276"/>
          <w:tab w:val="left" w:pos="1440"/>
        </w:tabs>
        <w:spacing w:after="0" w:line="240" w:lineRule="auto"/>
        <w:rPr>
          <w:rFonts w:ascii="Garamond" w:hAnsi="Garamond"/>
          <w:spacing w:val="-4"/>
          <w:sz w:val="24"/>
          <w:szCs w:val="24"/>
          <w:lang w:val="sq-AL"/>
        </w:rPr>
      </w:pPr>
      <w:r w:rsidRPr="003E1FCC">
        <w:rPr>
          <w:rFonts w:ascii="Garamond" w:hAnsi="Garamond"/>
          <w:bCs/>
          <w:spacing w:val="-4"/>
          <w:sz w:val="24"/>
          <w:szCs w:val="24"/>
          <w:lang w:val="sq-AL"/>
        </w:rPr>
        <w:t>- vërtetim që nuk ka detyrime për kontributet e sigurimeve shoqërore dhe shëndet</w:t>
      </w:r>
      <w:r w:rsidRPr="003E1FCC">
        <w:rPr>
          <w:rFonts w:ascii="Garamond" w:hAnsi="Garamond"/>
          <w:spacing w:val="-4"/>
          <w:sz w:val="24"/>
          <w:szCs w:val="24"/>
          <w:lang w:val="sq-AL"/>
        </w:rPr>
        <w:t>ë</w:t>
      </w:r>
      <w:r w:rsidRPr="003E1FCC">
        <w:rPr>
          <w:rFonts w:ascii="Garamond" w:hAnsi="Garamond"/>
          <w:bCs/>
          <w:spacing w:val="-4"/>
          <w:sz w:val="24"/>
          <w:szCs w:val="24"/>
          <w:lang w:val="sq-AL"/>
        </w:rPr>
        <w:t>sore</w:t>
      </w:r>
      <w:r w:rsidRPr="003E1FCC">
        <w:rPr>
          <w:rFonts w:ascii="Garamond" w:hAnsi="Garamond"/>
          <w:spacing w:val="-4"/>
          <w:sz w:val="24"/>
          <w:szCs w:val="24"/>
          <w:lang w:val="sq-AL"/>
        </w:rPr>
        <w:t>, të papaguara.</w:t>
      </w:r>
    </w:p>
    <w:p w:rsidR="00A06349" w:rsidRPr="003E1FCC" w:rsidRDefault="00A06349" w:rsidP="00A06349">
      <w:pPr>
        <w:pStyle w:val="ListParagraph"/>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Kompania Audituese duhet të jetë e regjistruar në Regjistrin Publik të EKR-së të Institutit të Ekspertëve Kontabël të Autorizuar. Kompanitë e klasifikuara si të tilla me ligj të veçantë duhet të jenë të regjistruara sipas kushteve të përcaktuara në ligj.</w:t>
      </w:r>
    </w:p>
    <w:p w:rsidR="00A06349" w:rsidRPr="003E1FCC" w:rsidRDefault="00A06349" w:rsidP="00A06349">
      <w:pPr>
        <w:pStyle w:val="ListParagraph"/>
        <w:spacing w:after="0" w:line="240" w:lineRule="auto"/>
        <w:ind w:left="0" w:firstLine="284"/>
        <w:jc w:val="both"/>
        <w:rPr>
          <w:rFonts w:ascii="Garamond" w:hAnsi="Garamond"/>
          <w:spacing w:val="-4"/>
          <w:sz w:val="24"/>
          <w:szCs w:val="24"/>
          <w:lang w:val="sq-AL"/>
        </w:rPr>
      </w:pPr>
      <w:r w:rsidRPr="003E1FCC">
        <w:rPr>
          <w:rFonts w:ascii="Garamond" w:hAnsi="Garamond"/>
          <w:bCs/>
          <w:spacing w:val="-4"/>
          <w:sz w:val="24"/>
          <w:szCs w:val="24"/>
          <w:lang w:val="sq-AL"/>
        </w:rPr>
        <w:t>Në rastet e bashkimit të kompanive audituese</w:t>
      </w:r>
      <w:r w:rsidRPr="003E1FCC">
        <w:rPr>
          <w:rFonts w:ascii="Garamond" w:hAnsi="Garamond"/>
          <w:spacing w:val="-4"/>
          <w:sz w:val="24"/>
          <w:szCs w:val="24"/>
          <w:lang w:val="sq-AL"/>
        </w:rPr>
        <w:t>/kompanive të klasifikuara si të tilla me ligj të veçantë,</w:t>
      </w:r>
      <w:r w:rsidRPr="003E1FCC">
        <w:rPr>
          <w:rFonts w:ascii="Garamond" w:hAnsi="Garamond"/>
          <w:bCs/>
          <w:spacing w:val="-4"/>
          <w:sz w:val="24"/>
          <w:szCs w:val="24"/>
          <w:lang w:val="sq-AL"/>
        </w:rPr>
        <w:t xml:space="preserve"> çdo anëtar i bashkimit duhet të dorëzojë dokumentet e lart</w:t>
      </w:r>
      <w:r w:rsidRPr="003E1FCC">
        <w:rPr>
          <w:rFonts w:ascii="Garamond" w:hAnsi="Garamond"/>
          <w:spacing w:val="-4"/>
          <w:sz w:val="24"/>
          <w:szCs w:val="24"/>
          <w:lang w:val="sq-AL"/>
        </w:rPr>
        <w:t>ë</w:t>
      </w:r>
      <w:r w:rsidRPr="003E1FCC">
        <w:rPr>
          <w:rFonts w:ascii="Garamond" w:hAnsi="Garamond"/>
          <w:bCs/>
          <w:spacing w:val="-4"/>
          <w:sz w:val="24"/>
          <w:szCs w:val="24"/>
          <w:lang w:val="sq-AL"/>
        </w:rPr>
        <w:t>përmendura</w:t>
      </w:r>
      <w:r w:rsidRPr="003E1FCC">
        <w:rPr>
          <w:rFonts w:ascii="Garamond" w:hAnsi="Garamond"/>
          <w:spacing w:val="-4"/>
          <w:sz w:val="24"/>
          <w:szCs w:val="24"/>
          <w:lang w:val="sq-AL"/>
        </w:rPr>
        <w:t>. Bashkimi i kompanive audituese/kompanive të klasifikuara si të tilla me ligj të veçantë duhet të dorëzojë edhe marrëveshjen e bashkëpunimit midis tyre, ku parashikohen të drejtat dhe detyrimet reciproke.</w:t>
      </w:r>
    </w:p>
    <w:p w:rsidR="00A06349" w:rsidRPr="003E1FCC" w:rsidRDefault="00A06349" w:rsidP="00A06349">
      <w:pPr>
        <w:pStyle w:val="ListParagraph"/>
        <w:numPr>
          <w:ilvl w:val="0"/>
          <w:numId w:val="33"/>
        </w:numPr>
        <w:spacing w:after="0" w:line="240" w:lineRule="auto"/>
        <w:ind w:left="0" w:firstLine="284"/>
        <w:jc w:val="both"/>
        <w:rPr>
          <w:rFonts w:ascii="Garamond" w:hAnsi="Garamond"/>
          <w:bCs/>
          <w:spacing w:val="-4"/>
          <w:sz w:val="24"/>
          <w:szCs w:val="24"/>
          <w:lang w:val="sq-AL"/>
        </w:rPr>
      </w:pPr>
      <w:r w:rsidRPr="003E1FCC">
        <w:rPr>
          <w:rFonts w:ascii="Garamond" w:hAnsi="Garamond"/>
          <w:bCs/>
          <w:spacing w:val="-4"/>
          <w:sz w:val="24"/>
          <w:szCs w:val="24"/>
          <w:lang w:val="sq-AL"/>
        </w:rPr>
        <w:t xml:space="preserve"> Kriteri teknik: Për të vërtetuar kapacitetin teknik aplikuesi duhet të paraqesë: </w:t>
      </w:r>
    </w:p>
    <w:p w:rsidR="00A06349" w:rsidRPr="003E1FCC" w:rsidRDefault="00A06349" w:rsidP="00A06349">
      <w:pPr>
        <w:spacing w:after="0" w:line="240" w:lineRule="auto"/>
        <w:rPr>
          <w:rFonts w:ascii="Garamond" w:hAnsi="Garamond"/>
          <w:bCs/>
          <w:spacing w:val="-4"/>
          <w:sz w:val="24"/>
          <w:szCs w:val="24"/>
          <w:lang w:val="sq-AL"/>
        </w:rPr>
      </w:pPr>
      <w:r w:rsidRPr="003E1FCC">
        <w:rPr>
          <w:rFonts w:ascii="Garamond" w:hAnsi="Garamond"/>
          <w:spacing w:val="-4"/>
          <w:sz w:val="24"/>
          <w:szCs w:val="24"/>
          <w:lang w:val="sq-AL"/>
        </w:rPr>
        <w:t>Historik i shkurtër dhe përshkrim i kompanisë audituese/ kompanisë të klasifikuar si të tillë me ligj të veçantë përfshirë një prezantim të stafit dhe kualifikimeve të tyre (CV);</w:t>
      </w:r>
    </w:p>
    <w:p w:rsidR="00A06349" w:rsidRPr="003E1FCC" w:rsidRDefault="00A06349" w:rsidP="00A06349">
      <w:pPr>
        <w:pStyle w:val="ListParagraph"/>
        <w:numPr>
          <w:ilvl w:val="0"/>
          <w:numId w:val="33"/>
        </w:numPr>
        <w:spacing w:after="0" w:line="240" w:lineRule="auto"/>
        <w:ind w:left="0" w:firstLine="284"/>
        <w:jc w:val="both"/>
        <w:rPr>
          <w:rFonts w:ascii="Garamond" w:hAnsi="Garamond"/>
          <w:bCs/>
          <w:spacing w:val="-4"/>
          <w:sz w:val="24"/>
          <w:szCs w:val="24"/>
          <w:lang w:val="sq-AL"/>
        </w:rPr>
      </w:pPr>
      <w:r w:rsidRPr="003E1FCC">
        <w:rPr>
          <w:rFonts w:ascii="Garamond" w:hAnsi="Garamond"/>
          <w:bCs/>
          <w:spacing w:val="-4"/>
          <w:sz w:val="24"/>
          <w:szCs w:val="24"/>
          <w:lang w:val="sq-AL"/>
        </w:rPr>
        <w:t xml:space="preserve"> Kritere të tjera: Deklaratë e Administratorit të shoqërisë se Shoqëria nuk do të kryejnë shërbimin e verifikimit dhe certifikimit të deklaratave tatimore të një tatimpaguesi, në rastet kur ato, të punësuarit e tyre apo palët e lidhura me to, siç përcaktohet në Kodin e Etikës të IEKA-s/ligjin e veçantë, i kanë dhënë tatimpaguesit shërbime të kontabilitetit, të konsulencës fiskale apo shërbime të tjera të ngjashme, në lidhje me përgatitjen e deklaratave tatimore.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bCs/>
          <w:spacing w:val="-4"/>
          <w:sz w:val="24"/>
          <w:szCs w:val="24"/>
          <w:lang w:val="sq-AL"/>
        </w:rPr>
        <w:t>Këto kritere duhet të vërtetohen përmes dokumenteve të lëshuara jo më parë se tre muaj nga dita e dorëzimit të dokumentacionit.</w:t>
      </w:r>
    </w:p>
    <w:p w:rsidR="00A06349" w:rsidRPr="003E1FCC" w:rsidRDefault="00A06349" w:rsidP="00A06349">
      <w:pPr>
        <w:tabs>
          <w:tab w:val="left" w:pos="0"/>
        </w:tabs>
        <w:spacing w:after="0" w:line="240" w:lineRule="auto"/>
        <w:rPr>
          <w:rFonts w:ascii="Garamond" w:hAnsi="Garamond"/>
          <w:spacing w:val="-4"/>
          <w:sz w:val="24"/>
          <w:szCs w:val="24"/>
          <w:lang w:val="sq-AL"/>
        </w:rPr>
      </w:pPr>
      <w:r w:rsidRPr="003E1FCC">
        <w:rPr>
          <w:rFonts w:ascii="Garamond" w:hAnsi="Garamond"/>
          <w:spacing w:val="-4"/>
          <w:sz w:val="24"/>
          <w:szCs w:val="24"/>
          <w:lang w:val="sq-AL"/>
        </w:rPr>
        <w:t>Afati i shqyrtimit të kërkesave për komisionin është 30 ditë pune nga afati i përfundimit të dorëzimit të aplikimeve.</w:t>
      </w:r>
    </w:p>
    <w:p w:rsidR="00A06349" w:rsidRPr="003E1FCC" w:rsidRDefault="00A06349" w:rsidP="00A06349">
      <w:pPr>
        <w:tabs>
          <w:tab w:val="left" w:pos="0"/>
        </w:tabs>
        <w:spacing w:after="0" w:line="240" w:lineRule="auto"/>
        <w:rPr>
          <w:rFonts w:ascii="Garamond" w:hAnsi="Garamond"/>
          <w:spacing w:val="-4"/>
          <w:sz w:val="24"/>
          <w:szCs w:val="24"/>
          <w:lang w:val="sq-AL"/>
        </w:rPr>
      </w:pPr>
      <w:r w:rsidRPr="003E1FCC">
        <w:rPr>
          <w:rFonts w:ascii="Garamond" w:hAnsi="Garamond"/>
          <w:spacing w:val="-4"/>
          <w:sz w:val="24"/>
          <w:szCs w:val="24"/>
          <w:lang w:val="sq-AL"/>
        </w:rPr>
        <w:t>Kriteret e vlerësimit të shoqërive bazohen në vlerësimin fiton/nuk fiton. Për t’u shpallur fitues shoqëria duhet të plotësoje kriteret e përgjithshme, si dhe të dorëzojë të plotë dokumentacionin e përcaktuar në kriterin ligjor, teknik dhe kriteret e tjera, si dhe çdo element tjetër të vlerësuar si të nevojshëm nga Komisioni.</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Dokumentet ligjorë dhe administrativë duhet të jenë origjinalë ose kopje të noterizuar dhe të legalizuar apo që mbajnë vulën apostile.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Pas përfundimit të afatit të dorëzimit të kërkesave nga Kompanitë Audituese/ose Kompanitë e klasifikuara sit ë tilla me ligj të veçantë, Komisioni fillon vlerësimin e tyre. Në varësi të analizave paraprake të propozimeve, Komisioni mund të kërkojë shpjegime dhe informacione shtesë lidhur me dokumentet e paraqitura duke caktuar afatin e paraqitjes së tyre.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Vlerësimi i propozimeve kryhet nga Komisioni në bazë të kritereve të shpallura në këtë procedurë.</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Ankesat e subjekteve ndaj procedurës së zhvilluar i paraqiten Komisionit brenda 5 ditëve kalendarike nga data e shpalljes së listës së fituesve. Vendimi përfundimtar jepet brenda 5 ditëve kalendarike nga paraqitja e ankesës.</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Ministri i Financave cakton me urdhër anëtarët e Komisionit të Përzgjedhjes së kompanive audituese/kompanive të klasifikuara si të tilla me ligj të veçantë, për listim. Brenda 30 ditëve nga përfundimi i afatit për dorëzimin e dokumenteve, Komisioni, dorëzon pranë ministrit të Financave një raport përmbledhës mbi procedurën e ndjekur dhe së bashku me listën e shoqërive që janë kualifikuar sipas kësaj procedure. Lista publikohet në Buletinin e Njoftimeve Zyrtare, në </w:t>
      </w:r>
      <w:r w:rsidRPr="003E1FCC">
        <w:rPr>
          <w:rFonts w:ascii="Garamond" w:hAnsi="Garamond"/>
          <w:i/>
          <w:spacing w:val="-4"/>
          <w:sz w:val="24"/>
          <w:szCs w:val="24"/>
          <w:lang w:val="sq-AL"/>
        </w:rPr>
        <w:t>website</w:t>
      </w:r>
      <w:r w:rsidRPr="003E1FCC">
        <w:rPr>
          <w:rFonts w:ascii="Garamond" w:hAnsi="Garamond"/>
          <w:spacing w:val="-4"/>
          <w:sz w:val="24"/>
          <w:szCs w:val="24"/>
          <w:lang w:val="sq-AL"/>
        </w:rPr>
        <w:t xml:space="preserve"> e Ministrisë së Financave dhe </w:t>
      </w:r>
      <w:r w:rsidRPr="003E1FCC">
        <w:rPr>
          <w:rFonts w:ascii="Garamond" w:hAnsi="Garamond"/>
          <w:i/>
          <w:spacing w:val="-4"/>
          <w:sz w:val="24"/>
          <w:szCs w:val="24"/>
          <w:lang w:val="sq-AL"/>
        </w:rPr>
        <w:t>website</w:t>
      </w:r>
      <w:r w:rsidRPr="003E1FCC">
        <w:rPr>
          <w:rFonts w:ascii="Garamond" w:hAnsi="Garamond"/>
          <w:spacing w:val="-4"/>
          <w:sz w:val="24"/>
          <w:szCs w:val="24"/>
          <w:lang w:val="sq-AL"/>
        </w:rPr>
        <w:t xml:space="preserve"> e Administratës Tatimore. Listimi do të bëhet për një periudhë 4 (katër)-vjeçare.”</w:t>
      </w:r>
    </w:p>
    <w:p w:rsidR="00A06349" w:rsidRPr="006F11D6" w:rsidRDefault="00A06349" w:rsidP="00A06349">
      <w:pPr>
        <w:pStyle w:val="Paragrafi"/>
        <w:rPr>
          <w:b/>
          <w:lang w:val="sq-AL"/>
        </w:rPr>
      </w:pPr>
      <w:r w:rsidRPr="006F11D6">
        <w:rPr>
          <w:b/>
          <w:lang w:val="sq-AL"/>
        </w:rPr>
        <w:t>4. Në pikën 81, bëhen këto shtesa dhe ndryshime: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Pas pikës 81.1 shtohet pika 81.1/1 me këtë përmbajtje: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“Njoftimi për fillimin e kontrollit tatimor i dërgohet tatimpaguesit të paktën 30 ditë kalendarike përpara datës së fillimit të kontrollit të plotë tatimor të shkruar në njoftim, ndërsa në rastin e vizitave fiskale ky njoftim i dërgohet tatimpaguesit të paktën 10 ditë kalendarike përpara datës së fillimit të vizitës fiskale. Në </w:t>
      </w:r>
      <w:r w:rsidRPr="003E1FCC">
        <w:rPr>
          <w:rFonts w:ascii="Garamond" w:hAnsi="Garamond"/>
          <w:spacing w:val="-4"/>
          <w:sz w:val="24"/>
          <w:szCs w:val="24"/>
          <w:lang w:val="sq-AL"/>
        </w:rPr>
        <w:lastRenderedPageBreak/>
        <w:t>rastet e kryerjes së kontrollit tatimor si rezultat i kërkesës së tatimpaguesit për rimbursim tatimor, nuk zbatohen afatet e mësipërme”.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Në pikën 81.2, shkronja “f” ndryshohet si më poshtë:</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“f) datën dhe orën kur fillon dhe përfundon kontrolli tatimor, sipas përcaktimit nga të dhënat e analizës së riskut”.</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 - Në pikën 81.2, pas shkronjës “h” shtohet fjalia me këtë përmbajtje: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“Afati për kryerjen e kontrollit, i përcaktuar në përputhje me shkronjën “f”, mund të zgjatet pas miratimit nga drejtori i Përgjithshëm i Tatimeve, por jo më shumë se 15 ditë pune.”</w:t>
      </w:r>
    </w:p>
    <w:p w:rsidR="00A06349" w:rsidRPr="003E1FCC" w:rsidRDefault="00A06349" w:rsidP="00A06349">
      <w:pPr>
        <w:spacing w:after="0" w:line="240" w:lineRule="auto"/>
        <w:rPr>
          <w:rFonts w:ascii="Garamond" w:hAnsi="Garamond"/>
          <w:b/>
          <w:spacing w:val="-4"/>
          <w:sz w:val="24"/>
          <w:szCs w:val="24"/>
          <w:lang w:val="sq-AL"/>
        </w:rPr>
      </w:pPr>
      <w:r w:rsidRPr="003E1FCC">
        <w:rPr>
          <w:rFonts w:ascii="Garamond" w:hAnsi="Garamond"/>
          <w:spacing w:val="-4"/>
          <w:sz w:val="24"/>
          <w:szCs w:val="24"/>
          <w:lang w:val="sq-AL"/>
        </w:rPr>
        <w:t xml:space="preserve">- </w:t>
      </w:r>
      <w:r w:rsidRPr="003E1FCC">
        <w:rPr>
          <w:rFonts w:ascii="Garamond" w:hAnsi="Garamond"/>
          <w:b/>
          <w:spacing w:val="-4"/>
          <w:sz w:val="24"/>
          <w:szCs w:val="24"/>
          <w:lang w:val="sq-AL"/>
        </w:rPr>
        <w:t>Pas pikës 81.2 shtohen pikat 81.3, 81.4 dhe 81.5 me përmbajtjen e mëposhtme:</w:t>
      </w:r>
    </w:p>
    <w:p w:rsidR="00A06349" w:rsidRPr="003E1FCC" w:rsidRDefault="00A06349" w:rsidP="00A06349">
      <w:pPr>
        <w:pStyle w:val="CommentText"/>
        <w:spacing w:after="0" w:line="240" w:lineRule="auto"/>
        <w:rPr>
          <w:rFonts w:ascii="Garamond" w:hAnsi="Garamond"/>
          <w:spacing w:val="-4"/>
          <w:sz w:val="24"/>
          <w:szCs w:val="24"/>
        </w:rPr>
      </w:pPr>
      <w:r w:rsidRPr="003E1FCC">
        <w:rPr>
          <w:rFonts w:ascii="Garamond" w:hAnsi="Garamond"/>
          <w:spacing w:val="-4"/>
          <w:sz w:val="24"/>
          <w:szCs w:val="24"/>
        </w:rPr>
        <w:t xml:space="preserve">“81.3 Nëse tatimpaguesi ka kryer transaksione të cilat nuk i ka deklaruar dhe për pasojë nuk ka paguar tatimin përkatës që detyrohet, atij i jepet mundësia të deklarojë çdo të dhënë për transaksionin e padeklaruar, nëpërmjet një “formulari-pyetësor” sipas formatit bashkëngjitur këtij udhëzimi, që i vihet në dispozicion së bashku me njoftimin për kontroll. Pas plotësimit të formularit-pyetësor dhe dorëzimit të tij në Drejtorinë Rajonale Tatimore, tatimpaguesi vetëdeklaron mbi bazën e rivlerësimit të deklaratave tatimore të periudhave përkatëse, transaksionet e padeklaruara dhe të pasqyruara në formularin-pyetësor duke paguar menjëherë tatimin ose kontributin përkatës së bashku me kamatëvonesën, të llogaritur në përputhje me nenin 76, të ligjit. </w:t>
      </w:r>
    </w:p>
    <w:p w:rsidR="00A06349" w:rsidRPr="003E1FCC" w:rsidRDefault="00A06349" w:rsidP="00A06349">
      <w:pPr>
        <w:pStyle w:val="CommentText"/>
        <w:spacing w:after="0" w:line="240" w:lineRule="auto"/>
        <w:rPr>
          <w:rFonts w:ascii="Garamond" w:hAnsi="Garamond"/>
          <w:spacing w:val="-4"/>
          <w:sz w:val="24"/>
          <w:szCs w:val="24"/>
        </w:rPr>
      </w:pPr>
      <w:r w:rsidRPr="003E1FCC">
        <w:rPr>
          <w:rFonts w:ascii="Garamond" w:hAnsi="Garamond"/>
          <w:spacing w:val="-4"/>
          <w:sz w:val="24"/>
          <w:szCs w:val="24"/>
        </w:rPr>
        <w:t>Deklarimi sipas kësaj pike është i vlefshëm vetëm nëse bëhet brenda 30 ditëve kalendarike, përpara fillimit të kontrollit të plotë tatimor.</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81.4 Për detyrimin tatimor të deklaruar përpara fillimit të kontrollit tatimor sipas pikës 81.3, nuk aplikohet gjobë për pagesë të vonuar sipas nenit 114 të ligjit, por aplikohet dënimi administrativ me gjobë në masën 50 % të tatimit ose kontributit përkatës. Ky dënim llogaritet dhe vlerësohet nga inspektori i kontrollit dhe i njoftohet tatimpaguesit nëpërmjet njoftim vlerësimit tatimor të lëshuar në përputhje me përcaktimet e nenit 69 të ligjit, në përfundim të kontrollit tatimor.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Nëse dënimi i aplikuar sipas kësaj dispozite është më i madh se dënimi që aplikohet për shkeljen sipas dispozitës përkatëse të kreut XIV “Sanksionet” të ligjit, atëherë aplikohet dënimi më i ulët.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81.5 Nëse tatimpaguesi nuk deklaron sipas pikës 81.3 përpara fillimit të kontrollit, merret i mirëqenë fakti që nuk ka detyrim tatimor për të deklaruar. Në këtë rast për çdo detyrim tatimor apo shkelje të konstatuar gjatë kontrollit vijon procedura normale e kontrollit, në përfundim të së cilës nxirren rezultatet e kontrollit duke aplikuar gjithashtu çdo dënim administrativ të parashikuar sipas ligjit “Për procedurat tatimore në RSH”, i ndryshuar.”.</w:t>
      </w:r>
    </w:p>
    <w:p w:rsidR="00A06349" w:rsidRPr="003E1FCC" w:rsidRDefault="00A06349" w:rsidP="00A06349">
      <w:pPr>
        <w:pStyle w:val="ListParagraph"/>
        <w:spacing w:after="0" w:line="240" w:lineRule="auto"/>
        <w:ind w:left="284"/>
        <w:jc w:val="both"/>
        <w:rPr>
          <w:rFonts w:ascii="Garamond" w:hAnsi="Garamond"/>
          <w:b/>
          <w:spacing w:val="-4"/>
          <w:sz w:val="24"/>
          <w:szCs w:val="24"/>
          <w:lang w:val="sq-AL"/>
        </w:rPr>
      </w:pPr>
      <w:r>
        <w:rPr>
          <w:rFonts w:ascii="Garamond" w:hAnsi="Garamond"/>
          <w:b/>
          <w:spacing w:val="-4"/>
          <w:sz w:val="24"/>
          <w:szCs w:val="24"/>
          <w:lang w:val="sq-AL"/>
        </w:rPr>
        <w:t xml:space="preserve">5. </w:t>
      </w:r>
      <w:r w:rsidRPr="003E1FCC">
        <w:rPr>
          <w:rFonts w:ascii="Garamond" w:hAnsi="Garamond"/>
          <w:b/>
          <w:spacing w:val="-4"/>
          <w:sz w:val="24"/>
          <w:szCs w:val="24"/>
          <w:lang w:val="sq-AL"/>
        </w:rPr>
        <w:t>Pika 83.3, ndryshohet si më poshtë:</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“83.3 Pas përgatitjes së raportit të kontrollit nga ana e inspektorëve të kontrollit dhe para dërgimit të tij te tatimpaguesi, raporti i kontrollit miratohet nga strukturat përkatëse të kontrollit përfshirë përgjegjësin e sektorit, drejtorin e kontrollit tatimor, si dhe drejtori i drejtorisë rajonale. Një kopje e raportit të kontrollit i dërgohet tatimpaguesit me shërbimin postar rekomande.”. </w:t>
      </w:r>
    </w:p>
    <w:p w:rsidR="00A06349" w:rsidRPr="006F11D6" w:rsidRDefault="00A06349" w:rsidP="00A06349">
      <w:pPr>
        <w:pStyle w:val="Paragrafi"/>
        <w:rPr>
          <w:b/>
          <w:lang w:val="sq-AL"/>
        </w:rPr>
      </w:pPr>
      <w:r w:rsidRPr="006F11D6">
        <w:rPr>
          <w:b/>
          <w:lang w:val="sq-AL"/>
        </w:rPr>
        <w:t>6. Pas pikës 85.2, shtohet pika 85.3 me këtë përmbajtje: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w:t>
      </w:r>
      <w:r w:rsidRPr="003E1FCC">
        <w:rPr>
          <w:rFonts w:ascii="Garamond" w:hAnsi="Garamond"/>
          <w:i/>
          <w:spacing w:val="-4"/>
          <w:sz w:val="24"/>
          <w:szCs w:val="24"/>
          <w:lang w:val="sq-AL"/>
        </w:rPr>
        <w:t xml:space="preserve">85.3 </w:t>
      </w:r>
      <w:r w:rsidRPr="003E1FCC">
        <w:rPr>
          <w:rFonts w:ascii="Garamond" w:hAnsi="Garamond"/>
          <w:spacing w:val="-4"/>
          <w:sz w:val="24"/>
          <w:szCs w:val="24"/>
          <w:lang w:val="sq-AL"/>
        </w:rPr>
        <w:t>Në rastet e kryerjes së rikontrollit tatimor, tatimpaguesit së bashku me njoftimin e kontrollit i vihet në dispozicion vendimi i miratimit të rikontrollit nga drejtori i Përgjithshëm i Tatimeve. Në këtë vendim shprehen qartë dhe në mënyrë të argumentuar, arsyet e rikontrollit, si dhe referencat ligjore mbi të cilat është bazuar ky vendim.”.</w:t>
      </w:r>
    </w:p>
    <w:p w:rsidR="00A06349" w:rsidRPr="003E1FCC" w:rsidRDefault="00A06349" w:rsidP="00A06349">
      <w:pPr>
        <w:pStyle w:val="Paragrafi"/>
        <w:rPr>
          <w:lang w:val="sq-AL"/>
        </w:rPr>
      </w:pPr>
      <w:r>
        <w:rPr>
          <w:b/>
          <w:lang w:val="sq-AL"/>
        </w:rPr>
        <w:t xml:space="preserve">7. </w:t>
      </w:r>
      <w:r w:rsidRPr="003E1FCC">
        <w:rPr>
          <w:b/>
          <w:lang w:val="sq-AL"/>
        </w:rPr>
        <w:t>Në pikën 88.1.3 pas përcaktimit</w:t>
      </w:r>
      <w:r w:rsidRPr="003E1FCC">
        <w:rPr>
          <w:lang w:val="sq-AL"/>
        </w:rPr>
        <w:t xml:space="preserve"> “Drejtorinë e Apelimit Tatimor”, shtohet përcaktimi “ose në Komisionin për Shqyrtimin e Apelimit Tatimor,”;</w:t>
      </w:r>
    </w:p>
    <w:p w:rsidR="00A06349" w:rsidRPr="003E1FCC" w:rsidRDefault="00A06349" w:rsidP="00A06349">
      <w:pPr>
        <w:pStyle w:val="Paragrafi"/>
        <w:rPr>
          <w:lang w:val="sq-AL"/>
        </w:rPr>
      </w:pPr>
      <w:r>
        <w:rPr>
          <w:b/>
          <w:lang w:val="sq-AL"/>
        </w:rPr>
        <w:t xml:space="preserve">8. </w:t>
      </w:r>
      <w:r w:rsidRPr="003E1FCC">
        <w:rPr>
          <w:b/>
          <w:lang w:val="sq-AL"/>
        </w:rPr>
        <w:t>Në pikën 88.1.5 pas përcaktimit</w:t>
      </w:r>
      <w:r w:rsidRPr="003E1FCC">
        <w:rPr>
          <w:lang w:val="sq-AL"/>
        </w:rPr>
        <w:t xml:space="preserve"> “Drejtorinë e Apelimit Tatimor” shtohet përcaktimi “ose në Komisionin për Shqyrtimin e Apelimit Tatimor,”; </w:t>
      </w:r>
    </w:p>
    <w:p w:rsidR="00A06349" w:rsidRPr="006F11D6" w:rsidRDefault="00A06349" w:rsidP="00A06349">
      <w:pPr>
        <w:pStyle w:val="Paragrafi"/>
        <w:rPr>
          <w:b/>
          <w:lang w:val="sq-AL"/>
        </w:rPr>
      </w:pPr>
      <w:r w:rsidRPr="006F11D6">
        <w:rPr>
          <w:b/>
          <w:lang w:val="sq-AL"/>
        </w:rPr>
        <w:t>9. Pas pikës 88.3 shtohet pika 88.4 me përmbajtjen:</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“88.4 Administrata tatimore, pasi ka ezauruar procedurat e mbledhjes me forcë të detyrimit tatimor të papaguar, sipas këtij kreu, mund të mbledhë detyrimin tatimor të mbetur të papaguar edhe nëpërmjet një personi juridik publik. Për këtë qëllim Drejtoria e Përgjithshme e Tatimeve për çdo rast nënshkruan një marrëveshje me personin juridik publik, i cili duhet të jetë një person i specializuar në kryerjen e procedurave për këtë qëllim, ose të ketë mundësi efektivisht të kryejë këto procedura kundrejt një komisioni në masën e përcaktuar me vendim të Këshillit të Ministrave.”</w:t>
      </w:r>
    </w:p>
    <w:p w:rsidR="00A06349" w:rsidRPr="003E1FCC" w:rsidRDefault="00A06349" w:rsidP="00A06349">
      <w:pPr>
        <w:pStyle w:val="Paragrafi"/>
        <w:rPr>
          <w:lang w:val="sq-AL"/>
        </w:rPr>
      </w:pPr>
      <w:r>
        <w:rPr>
          <w:b/>
          <w:lang w:val="sq-AL"/>
        </w:rPr>
        <w:t xml:space="preserve">10. </w:t>
      </w:r>
      <w:r w:rsidRPr="003E1FCC">
        <w:rPr>
          <w:b/>
          <w:lang w:val="sq-AL"/>
        </w:rPr>
        <w:t>Pika 104.1 paragrafët “a”, “b”, “c”, “ç”, “d” hiqen dhe pika 104.1</w:t>
      </w:r>
      <w:r w:rsidRPr="003E1FCC">
        <w:rPr>
          <w:lang w:val="sq-AL"/>
        </w:rPr>
        <w:t xml:space="preserve"> </w:t>
      </w:r>
      <w:r w:rsidRPr="003E1FCC">
        <w:rPr>
          <w:b/>
          <w:lang w:val="sq-AL"/>
        </w:rPr>
        <w:t>zëvendësohet me shprehjen</w:t>
      </w:r>
      <w:r w:rsidRPr="003E1FCC">
        <w:rPr>
          <w:lang w:val="sq-AL"/>
        </w:rPr>
        <w:t xml:space="preserve"> “Fillimi i procedurës së falimentimit në gjykatë nga administrata tatimore bëhet në përputhje me ligjin për falimentimin.”.</w:t>
      </w:r>
    </w:p>
    <w:p w:rsidR="00A06349" w:rsidRPr="006F11D6" w:rsidRDefault="00A06349" w:rsidP="00A06349">
      <w:pPr>
        <w:pStyle w:val="Paragrafi"/>
        <w:rPr>
          <w:b/>
          <w:lang w:val="sq-AL"/>
        </w:rPr>
      </w:pPr>
      <w:r w:rsidRPr="006F11D6">
        <w:rPr>
          <w:b/>
          <w:lang w:val="sq-AL"/>
        </w:rPr>
        <w:t>11. Pika 105 ndryshon në përmbajtje si më poshtë:</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 xml:space="preserve">“105. Struktura dhe funksionet e njësive të hetimit tatimor </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lastRenderedPageBreak/>
        <w:t xml:space="preserve">105.1 Strukturat e hetimit tatimor janë njësi të specializuara, hetimi dhe zbatimi në përbërje të administratës tatimore qendrore, që kanë funksion parësor mbledhjen e informacionit tatimor, hetimin e rasteve tatimore, zbatimin e masave shtrënguese, marrjen e masave administrative edhe për kundërvajtjet administrative tatimore. </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Misioni dhe objektivat e njësive të hetimit tatimor përgjatë ushtrimit të funksioneve dhe kryerjes së detyrave të tyre janë:</w:t>
      </w:r>
    </w:p>
    <w:p w:rsidR="00A06349" w:rsidRPr="003E1FCC" w:rsidRDefault="00A06349" w:rsidP="00A06349">
      <w:pPr>
        <w:pStyle w:val="Default"/>
        <w:numPr>
          <w:ilvl w:val="0"/>
          <w:numId w:val="31"/>
        </w:numPr>
        <w:ind w:left="0" w:firstLine="284"/>
        <w:jc w:val="both"/>
        <w:rPr>
          <w:rFonts w:ascii="Garamond" w:hAnsi="Garamond"/>
          <w:color w:val="auto"/>
          <w:spacing w:val="-4"/>
          <w:lang w:val="sq-AL"/>
        </w:rPr>
      </w:pPr>
      <w:r w:rsidRPr="003E1FCC">
        <w:rPr>
          <w:rFonts w:ascii="Garamond" w:hAnsi="Garamond"/>
          <w:color w:val="auto"/>
          <w:spacing w:val="-4"/>
          <w:lang w:val="sq-AL"/>
        </w:rPr>
        <w:t xml:space="preserve"> Parandalimi, zbulimi dhe hetimi i shkeljeve penale tatimore nëpërmjet kryerjes së veprime hetimore për rastet e dyshuara të shkeljes së Kodit Penal në fushën e tatimeve dhe taksave, duke kryer veprimet procedurale të parashikuara në Kodin e Procedurës Penale në përputhje me kompetencat që kanë sipas legjislacionit të fushës “Për organizimin dhe funksionimin e policisë gjyqësore”, si dhe bashkërendimin e punës me Prokurorinë për ndjekjen e hetimit;</w:t>
      </w:r>
    </w:p>
    <w:p w:rsidR="00A06349" w:rsidRPr="003E1FCC" w:rsidRDefault="00A06349" w:rsidP="00A06349">
      <w:pPr>
        <w:pStyle w:val="Default"/>
        <w:numPr>
          <w:ilvl w:val="0"/>
          <w:numId w:val="31"/>
        </w:numPr>
        <w:ind w:left="0" w:firstLine="284"/>
        <w:jc w:val="both"/>
        <w:rPr>
          <w:rFonts w:ascii="Garamond" w:hAnsi="Garamond"/>
          <w:color w:val="auto"/>
          <w:spacing w:val="-4"/>
          <w:lang w:val="sq-AL"/>
        </w:rPr>
      </w:pPr>
      <w:r w:rsidRPr="003E1FCC">
        <w:rPr>
          <w:rFonts w:ascii="Garamond" w:hAnsi="Garamond"/>
          <w:color w:val="auto"/>
          <w:spacing w:val="-4"/>
          <w:lang w:val="sq-AL"/>
        </w:rPr>
        <w:t xml:space="preserve"> Mbledhja, përpunimi dhe shkëmbimi i informacionit mbi zbatimin e legjislacionit tatimor, si dhe në përputhje me ligjin “Për procedurat tatimore në RSH” me qëllim zbulimin e shkeljeve penale në fushën e tatimeve dhe taksave, të parashikuara në Kodin Penal të Republikës së Shqipërisë; </w:t>
      </w:r>
    </w:p>
    <w:p w:rsidR="00A06349" w:rsidRPr="003E1FCC" w:rsidRDefault="00A06349" w:rsidP="00A06349">
      <w:pPr>
        <w:pStyle w:val="Default"/>
        <w:numPr>
          <w:ilvl w:val="0"/>
          <w:numId w:val="31"/>
        </w:numPr>
        <w:ind w:left="0" w:firstLine="284"/>
        <w:jc w:val="both"/>
        <w:rPr>
          <w:rFonts w:ascii="Garamond" w:hAnsi="Garamond"/>
          <w:color w:val="auto"/>
          <w:spacing w:val="-4"/>
          <w:lang w:val="sq-AL"/>
        </w:rPr>
      </w:pPr>
      <w:r w:rsidRPr="003E1FCC">
        <w:rPr>
          <w:rFonts w:ascii="Garamond" w:hAnsi="Garamond"/>
          <w:color w:val="auto"/>
          <w:spacing w:val="-4"/>
          <w:lang w:val="sq-AL"/>
        </w:rPr>
        <w:t xml:space="preserve"> Mbledhja, përpunimi dhe shkëmbimi i informacionit për sa u përket çështjeve në fushën e pastrimit të parave të lidhura me çështjet tatimore, duke bashkëpunuar me Drejtorinë e Përgjithshme të Parandalimit të Pastrimit të Parave; </w:t>
      </w:r>
    </w:p>
    <w:p w:rsidR="00A06349" w:rsidRPr="003E1FCC" w:rsidRDefault="00A06349" w:rsidP="00A06349">
      <w:pPr>
        <w:pStyle w:val="Default"/>
        <w:numPr>
          <w:ilvl w:val="0"/>
          <w:numId w:val="31"/>
        </w:numPr>
        <w:ind w:left="0" w:firstLine="284"/>
        <w:jc w:val="both"/>
        <w:rPr>
          <w:rFonts w:ascii="Garamond" w:hAnsi="Garamond"/>
          <w:color w:val="auto"/>
          <w:spacing w:val="-4"/>
          <w:lang w:val="sq-AL"/>
        </w:rPr>
      </w:pPr>
      <w:r w:rsidRPr="003E1FCC">
        <w:rPr>
          <w:rFonts w:ascii="Garamond" w:hAnsi="Garamond"/>
          <w:color w:val="auto"/>
          <w:spacing w:val="-4"/>
          <w:lang w:val="sq-AL"/>
        </w:rPr>
        <w:t xml:space="preserve"> Zbatimi i masave shtrënguese të parashikuara në legjislacionin tatimor në bashkëpunim me strukturat përkatëse të mbledhjes së borxhit tatimor, me qëllim mbledhjen e tatimeve dhe taksave të papaguara;</w:t>
      </w:r>
    </w:p>
    <w:p w:rsidR="00A06349" w:rsidRPr="003E1FCC" w:rsidRDefault="00A06349" w:rsidP="00A06349">
      <w:pPr>
        <w:pStyle w:val="Default"/>
        <w:numPr>
          <w:ilvl w:val="0"/>
          <w:numId w:val="31"/>
        </w:numPr>
        <w:ind w:left="0" w:firstLine="284"/>
        <w:jc w:val="both"/>
        <w:rPr>
          <w:rFonts w:ascii="Garamond" w:hAnsi="Garamond"/>
          <w:color w:val="auto"/>
          <w:spacing w:val="-4"/>
          <w:lang w:val="sq-AL"/>
        </w:rPr>
      </w:pPr>
      <w:r w:rsidRPr="003E1FCC">
        <w:rPr>
          <w:rFonts w:ascii="Garamond" w:hAnsi="Garamond"/>
          <w:color w:val="auto"/>
          <w:spacing w:val="-4"/>
          <w:lang w:val="sq-AL"/>
        </w:rPr>
        <w:t xml:space="preserve"> Marrjen dhe aplikimin e masave (dënimeve) administrative për kundërvajtjet administrative tatimore të konstatuara për rastet e shkeljeve të parashikuara në ligjin e procedurave tatimore dhe në këtë udhëzim, që kanë të bëjnë me verifikimin dhe konstatimin e kryerjes së veprimtarisë ekonomiko-tregtare pa u regjistruar, mbajtjen, transportimin përdorimin dhe tregtimin e mallrave pa dokumentacionin e duhur tatimor, punonjës të padeklaruar në organin tatimor etj., pa u kufizuar vetëm në to. </w:t>
      </w:r>
    </w:p>
    <w:p w:rsidR="00A06349" w:rsidRPr="003E1FCC" w:rsidRDefault="00A06349" w:rsidP="00A06349">
      <w:pPr>
        <w:pStyle w:val="Paragrafi"/>
        <w:rPr>
          <w:spacing w:val="-4"/>
          <w:lang w:val="sq-AL"/>
        </w:rPr>
      </w:pPr>
      <w:r w:rsidRPr="003E1FCC">
        <w:rPr>
          <w:spacing w:val="-4"/>
          <w:lang w:val="sq-AL"/>
        </w:rPr>
        <w:t xml:space="preserve">105.2 Punonjësit e strukturës së hetimit tatimor, gëzojnë atributet e policisë gjyqësore në përputhje me përcaktimet në ligjin “Për organizimin dhe funksionimin e Policisë Gjyqësore” dhe në përputhje me Kodin e Procedurës Penale. </w:t>
      </w:r>
    </w:p>
    <w:p w:rsidR="00A06349" w:rsidRPr="003E1FCC" w:rsidRDefault="00A06349" w:rsidP="00A06349">
      <w:pPr>
        <w:pStyle w:val="Paragrafi"/>
        <w:rPr>
          <w:spacing w:val="-4"/>
          <w:lang w:val="sq-AL"/>
        </w:rPr>
      </w:pPr>
      <w:r w:rsidRPr="003E1FCC">
        <w:rPr>
          <w:spacing w:val="-4"/>
          <w:lang w:val="sq-AL"/>
        </w:rPr>
        <w:t>105.3. Punonjësit e strukturës së hetimit tatimor pajisen me armë, në përputhje me ligjin e fushës “Për armët”. Miratimi i lejes për mbajtjen e armës jepet nga Ministria e Brendshme, pas autorizimit të ministrit të Financave.</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 xml:space="preserve">105.4 Strukturat e hetimit tatimor në përputhje me strukturën organizative të administratës tatimore qendrore dhe në zbatim të nenit 16 të ligjit dhe pikës 16 të këtij udhëzimi janë të organizuara në Drejtori të Hetimit Tatimor në nivel qendror pranë Drejtorisë së Përgjithshme të Tatimeve dhe në nivel rajonal pranë Drejtorive Rajonale Tatimore. </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Në nivel qendror, Drejtoria e Hetimit Tatimor është pjesë e strukturës së Drejtorisë së Përgjithshme të Tatimeve. Në nivel rajonal, Drejtoritë e Hetimit Tatimor janë përkatësisht tre të tilla:</w:t>
      </w:r>
    </w:p>
    <w:p w:rsidR="00A06349" w:rsidRPr="003E1FCC" w:rsidRDefault="00A06349" w:rsidP="00A06349">
      <w:pPr>
        <w:pStyle w:val="Default"/>
        <w:numPr>
          <w:ilvl w:val="0"/>
          <w:numId w:val="29"/>
        </w:numPr>
        <w:ind w:left="0" w:firstLine="284"/>
        <w:jc w:val="both"/>
        <w:rPr>
          <w:rFonts w:ascii="Garamond" w:hAnsi="Garamond"/>
          <w:color w:val="auto"/>
          <w:spacing w:val="-4"/>
          <w:lang w:val="sq-AL"/>
        </w:rPr>
      </w:pPr>
      <w:r w:rsidRPr="003E1FCC">
        <w:rPr>
          <w:rFonts w:ascii="Garamond" w:hAnsi="Garamond"/>
          <w:color w:val="auto"/>
          <w:spacing w:val="-4"/>
          <w:lang w:val="sq-AL"/>
        </w:rPr>
        <w:t xml:space="preserve"> Drejtoria e Hetimit Tatimor Rajoni Qendror që kryen funksionet e saj pranë Drejtorisë Rajonale Tatimore Tiranë;</w:t>
      </w:r>
    </w:p>
    <w:p w:rsidR="00A06349" w:rsidRPr="003E1FCC" w:rsidRDefault="00A06349" w:rsidP="00A06349">
      <w:pPr>
        <w:pStyle w:val="Default"/>
        <w:numPr>
          <w:ilvl w:val="0"/>
          <w:numId w:val="29"/>
        </w:numPr>
        <w:ind w:left="0" w:firstLine="284"/>
        <w:jc w:val="both"/>
        <w:rPr>
          <w:rFonts w:ascii="Garamond" w:hAnsi="Garamond"/>
          <w:color w:val="auto"/>
          <w:spacing w:val="-4"/>
          <w:lang w:val="sq-AL"/>
        </w:rPr>
      </w:pPr>
      <w:r w:rsidRPr="003E1FCC">
        <w:rPr>
          <w:rFonts w:ascii="Garamond" w:hAnsi="Garamond"/>
          <w:color w:val="auto"/>
          <w:spacing w:val="-4"/>
          <w:lang w:val="sq-AL"/>
        </w:rPr>
        <w:t xml:space="preserve"> Drejtoria e Hetimit Tatimor Rajoni Jugor që kryen funksionet e saj pranë Drejtorisë Rajonale Tatimore Fier;</w:t>
      </w:r>
    </w:p>
    <w:p w:rsidR="00A06349" w:rsidRPr="003E1FCC" w:rsidRDefault="00A06349" w:rsidP="00A06349">
      <w:pPr>
        <w:pStyle w:val="Default"/>
        <w:numPr>
          <w:ilvl w:val="0"/>
          <w:numId w:val="29"/>
        </w:numPr>
        <w:ind w:left="0" w:firstLine="284"/>
        <w:jc w:val="both"/>
        <w:rPr>
          <w:rFonts w:ascii="Garamond" w:hAnsi="Garamond"/>
          <w:color w:val="auto"/>
          <w:spacing w:val="-4"/>
          <w:lang w:val="sq-AL"/>
        </w:rPr>
      </w:pPr>
      <w:r w:rsidRPr="003E1FCC">
        <w:rPr>
          <w:rFonts w:ascii="Garamond" w:hAnsi="Garamond"/>
          <w:color w:val="auto"/>
          <w:spacing w:val="-4"/>
          <w:lang w:val="sq-AL"/>
        </w:rPr>
        <w:t xml:space="preserve"> Drejtoria e Hetimit Tatimor Rajoni Verior që kryen funksionet e saj pranë Drejtorisë Rajonale Tatimore Shkodër;</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 xml:space="preserve">Drejtoritë e hetimit tatimor në rajone mbulojnë pjesë të caktuara të territorit të vendit siç është përcaktuar në strukturën organizative dhe organigramën e administratës tatimore qendrore. </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Ato ushtrojnë funksionet e tyre dhe kryejnë detyrat e përcaktuara sipas vendimit të Këshillit të Ministrave, në përputhje me rregulloren e brendshme të administratës tatimore qendrore, si dhe me manualin e hetimit tatimor.</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 xml:space="preserve">105.5 Drejtori i Hetimit Tatimor në Drejtorinë e Përgjithshme të Tatimeve drejton gjithë veprimtarinë e kësaj strukture në nivel qendror dhe në rajone. Ai emërohet nga Ministri i Financave dhe për kryerjen e funksioneve dhe detyrave të strukturave të hetimit tatimor, raporton periodikisht dhe sa herë që i kërkohet </w:t>
      </w:r>
      <w:r w:rsidRPr="003E1FCC">
        <w:rPr>
          <w:rFonts w:ascii="Garamond" w:hAnsi="Garamond"/>
          <w:spacing w:val="-4"/>
          <w:lang w:val="sq-AL"/>
        </w:rPr>
        <w:t>t</w:t>
      </w:r>
      <w:r w:rsidRPr="003E1FCC">
        <w:rPr>
          <w:rFonts w:ascii="Garamond" w:hAnsi="Garamond"/>
          <w:color w:val="auto"/>
          <w:spacing w:val="-4"/>
          <w:lang w:val="sq-AL"/>
        </w:rPr>
        <w:t>e ministri i Financave.</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 xml:space="preserve">105.5.1 Drejtori i Hetimit Tatimor në Drejtorinë e Përgjithshme të Tatimeve drejton dhe organizon punën për menaxhimin e strukturave të hetimit në nivel qendror dhe rajonal. </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 xml:space="preserve">Ai harton dhe miraton te drejtori i Përgjithshëm i Tatimeve kriteret specifike që duhet të plotësojnë punonjësit e strukturave të hetimit tatimor me qëllim kryerjen e procedurave të rekrutimit, emërimit, largimit </w:t>
      </w:r>
      <w:r w:rsidRPr="003E1FCC">
        <w:rPr>
          <w:rFonts w:ascii="Garamond" w:hAnsi="Garamond"/>
          <w:color w:val="auto"/>
          <w:spacing w:val="-4"/>
          <w:lang w:val="sq-AL"/>
        </w:rPr>
        <w:lastRenderedPageBreak/>
        <w:t>dhe marrjen e masave disiplinore në përputhje me Kodin e Punës. Në zbatim të neneve 19 dhe 20 të ligjit për rekrutimin e punonjësve të hetimit tatimor në përputhje me procedurat e përcaktuara në Kodin e Punës, i propozon drejtorit të Përgjithshëm të Tatimeve kandidatura të mundshme për tu përzgjedhur për t’u punësuar në struktura të caktuara të drejtorisë së hetimit tatimor në qendër dhe rajone, në përputhje dhe në zbatim të përshkrimit të punës për këto pozicione.</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 xml:space="preserve">105.5.2 Për detyrat që lidhen me mbledhjen dhe përpunimin e informacionit, hetimin e veprave penale dhe pastrimin e parave, menaxhimi i strukturave rajonale të hetimit tatimor, sikurse edhe sistemi i raportimit, organizohen në linjë vertikale përkatësisht nga drejtoritë e hetimit tatimor në rajone në Drejtorinë e Hetimit Tatimor në DPT dhe anasjellas. </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 xml:space="preserve">105.5.3 Për kryerjen e funksioneve që lidhen me zbatimin e masave shtrënguese dhe kryerjen e verifikimeve dhe aplikimin e dënimeve për kundërvajtjet administrative, strukturat e hetimit në rajone bashkërendojnë punën me strukturat dhe funksionet e tjera operacionale rajonale. Drejtori i Përgjithshëm i Tatimeve miraton rregulloren e bashkërendimit të punës ndërmjet strukturave të zbatimit në rajone dhe strukturave të drejtorive rajonale tatimore. </w:t>
      </w:r>
    </w:p>
    <w:p w:rsidR="00A06349" w:rsidRPr="003E1FCC" w:rsidRDefault="00A06349" w:rsidP="00A06349">
      <w:pPr>
        <w:pStyle w:val="Default"/>
        <w:ind w:firstLine="284"/>
        <w:jc w:val="both"/>
        <w:rPr>
          <w:rFonts w:ascii="Garamond" w:hAnsi="Garamond"/>
          <w:color w:val="auto"/>
          <w:spacing w:val="-4"/>
          <w:lang w:val="sq-AL"/>
        </w:rPr>
      </w:pPr>
      <w:r w:rsidRPr="003E1FCC">
        <w:rPr>
          <w:rFonts w:ascii="Garamond" w:hAnsi="Garamond"/>
          <w:color w:val="auto"/>
          <w:spacing w:val="-4"/>
          <w:lang w:val="sq-AL"/>
        </w:rPr>
        <w:t>105.5.4 Qarkullimi i informacionit të klasifikuar, i raporteve, të dhënave dhe dokumentacionit që ka lidhje me hetimin e veprave penale në fushën tatimore, bëhet duke zbatuar dispozitat e legjislacionit të fushës në fuqi. Drejtoria e hetimit tatimor në DPT dhe drejtoritë e hetimit tatimor në Rajone, krijojnë arkivin e të dhënave të klasifikuara, si dhe zbatojnë protokollin e veçantë me qëllim ruajtjen e sekretit hetimor. Drejtori i Hetimit Tatimor në Drejtorinë e Përgjithshme të Tatimeve, merr masat për ngritjen e kartotekës dhe pajisjen me vulën përkatëse sipas përgjegjësisë ligjore.</w:t>
      </w:r>
    </w:p>
    <w:p w:rsidR="00A06349" w:rsidRPr="003E1FCC" w:rsidRDefault="00A06349" w:rsidP="00A06349">
      <w:pPr>
        <w:pStyle w:val="Paragrafi"/>
        <w:rPr>
          <w:spacing w:val="-4"/>
          <w:lang w:val="sq-AL"/>
        </w:rPr>
      </w:pPr>
      <w:r w:rsidRPr="003E1FCC">
        <w:rPr>
          <w:spacing w:val="-4"/>
          <w:lang w:val="sq-AL"/>
        </w:rPr>
        <w:t>105/1 Drejtoria e Investigimit të Brendshëm (Antikorrupsioni) është strukturë e specializuar zbulimi, hetimi dhe zbatimi në administratën tatimore qendrore.</w:t>
      </w:r>
    </w:p>
    <w:p w:rsidR="00A06349" w:rsidRPr="003E1FCC" w:rsidRDefault="00A06349" w:rsidP="00A06349">
      <w:pPr>
        <w:pStyle w:val="Paragrafi"/>
        <w:rPr>
          <w:spacing w:val="-4"/>
          <w:lang w:val="sq-AL"/>
        </w:rPr>
      </w:pPr>
      <w:r w:rsidRPr="003E1FCC">
        <w:rPr>
          <w:spacing w:val="-4"/>
          <w:lang w:val="sq-AL"/>
        </w:rPr>
        <w:t xml:space="preserve">Objektivi strategjik i kësaj strukture është që të mbajë të pastër figurën e punonjësit të administratës tatimore qendrore si duke parandaluar fenomenet e korrupsionit në administratën tatimore, por edhe duke hetuar edhe zbuluar rastet e tilla të konstatuara. </w:t>
      </w:r>
    </w:p>
    <w:p w:rsidR="00A06349" w:rsidRPr="003E1FCC" w:rsidRDefault="00A06349" w:rsidP="00A06349">
      <w:pPr>
        <w:pStyle w:val="Paragrafi"/>
        <w:rPr>
          <w:spacing w:val="-4"/>
          <w:lang w:val="sq-AL"/>
        </w:rPr>
      </w:pPr>
      <w:r w:rsidRPr="003E1FCC">
        <w:rPr>
          <w:spacing w:val="-4"/>
          <w:lang w:val="sq-AL"/>
        </w:rPr>
        <w:t xml:space="preserve">105/1.1 Drejtoria e Investigimit të Brendshëm (Antikorrupsion) për realizimin e detyrave dhe funsioneve të saj ka si mision dhe objektiva sa më poshtë: </w:t>
      </w:r>
    </w:p>
    <w:p w:rsidR="00A06349" w:rsidRPr="003E1FCC" w:rsidRDefault="00A06349" w:rsidP="00A06349">
      <w:pPr>
        <w:pStyle w:val="Paragrafi"/>
        <w:rPr>
          <w:spacing w:val="-4"/>
          <w:lang w:val="sq-AL"/>
        </w:rPr>
      </w:pPr>
      <w:r w:rsidRPr="003E1FCC">
        <w:rPr>
          <w:spacing w:val="-4"/>
          <w:lang w:val="sq-AL"/>
        </w:rPr>
        <w:t>a) parandalimin, zbulimin dhe hetimin e veprimeve të punonjësve të administratës tatimore, të cilat përbëjnë vepër penale;</w:t>
      </w:r>
    </w:p>
    <w:p w:rsidR="00A06349" w:rsidRPr="003E1FCC" w:rsidRDefault="00A06349" w:rsidP="00A06349">
      <w:pPr>
        <w:pStyle w:val="Paragrafi"/>
        <w:rPr>
          <w:spacing w:val="-4"/>
          <w:lang w:val="sq-AL"/>
        </w:rPr>
      </w:pPr>
      <w:r w:rsidRPr="003E1FCC">
        <w:rPr>
          <w:spacing w:val="-4"/>
          <w:lang w:val="sq-AL"/>
        </w:rPr>
        <w:t>b) mbledhjen e informacionit nga burime të ndryshme në lidhje me veprimet, mosveprimet apo veprimtaritë e punonjësve të administratës tatimore qendrore, të cilat mund të përbëjnë vepër penale;</w:t>
      </w:r>
    </w:p>
    <w:p w:rsidR="00A06349" w:rsidRDefault="00A06349" w:rsidP="00A06349">
      <w:pPr>
        <w:pStyle w:val="Paragrafi"/>
        <w:rPr>
          <w:spacing w:val="-4"/>
          <w:lang w:val="sq-AL"/>
        </w:rPr>
      </w:pPr>
      <w:r w:rsidRPr="003E1FCC">
        <w:rPr>
          <w:spacing w:val="-4"/>
          <w:lang w:val="sq-AL"/>
        </w:rPr>
        <w:t>c) bashkërendimin e punës me prokurorinë për vazhdimin e hetimeve penale për punonjësit e administratës tatimore qendrore;</w:t>
      </w:r>
    </w:p>
    <w:p w:rsidR="00A06349" w:rsidRPr="003E1FCC" w:rsidRDefault="00A06349" w:rsidP="00A06349">
      <w:pPr>
        <w:pStyle w:val="Paragrafi"/>
        <w:rPr>
          <w:spacing w:val="-4"/>
          <w:lang w:val="sq-AL"/>
        </w:rPr>
      </w:pPr>
    </w:p>
    <w:p w:rsidR="00A06349" w:rsidRPr="003E1FCC" w:rsidRDefault="00A06349" w:rsidP="00A06349">
      <w:pPr>
        <w:pStyle w:val="Paragrafi"/>
        <w:rPr>
          <w:spacing w:val="-4"/>
          <w:lang w:val="sq-AL"/>
        </w:rPr>
      </w:pPr>
      <w:r w:rsidRPr="003E1FCC">
        <w:rPr>
          <w:spacing w:val="-4"/>
          <w:lang w:val="sq-AL"/>
        </w:rPr>
        <w:t>d) bashkëpunimin me institucionet e tjera shtetërore të ngarkuara me ligj për luftën ndaj korrupsionit dhe trajtimin e rasteve në bashkëpunim.</w:t>
      </w:r>
    </w:p>
    <w:p w:rsidR="00A06349" w:rsidRPr="003E1FCC" w:rsidRDefault="00A06349" w:rsidP="00A06349">
      <w:pPr>
        <w:pStyle w:val="Paragrafi"/>
        <w:rPr>
          <w:spacing w:val="-4"/>
          <w:lang w:val="sq-AL"/>
        </w:rPr>
      </w:pPr>
      <w:r w:rsidRPr="003E1FCC">
        <w:rPr>
          <w:spacing w:val="-4"/>
          <w:lang w:val="sq-AL"/>
        </w:rPr>
        <w:t xml:space="preserve">105/1.2 Punonjësit e Investigimit të Brendshëm (Antikorrupsioni) gëzojnë atributet e Policisë Gjyqësore, në përputhje me Kodin e Procedurës Penale dhe ligjin për organizimin dhe funksionimin e Policisë Gjyqësore. </w:t>
      </w:r>
    </w:p>
    <w:p w:rsidR="00A06349" w:rsidRPr="003E1FCC" w:rsidRDefault="00A06349" w:rsidP="00A06349">
      <w:pPr>
        <w:pStyle w:val="Paragrafi"/>
        <w:rPr>
          <w:spacing w:val="-4"/>
          <w:lang w:val="sq-AL"/>
        </w:rPr>
      </w:pPr>
      <w:r w:rsidRPr="003E1FCC">
        <w:rPr>
          <w:spacing w:val="-4"/>
          <w:lang w:val="sq-AL"/>
        </w:rPr>
        <w:t>105/1.3 Punonjësit e Investigimit të Brendshëm (Antikorrupsioni) pajisen me armë, në përputhje me legjislacionin përkatës të fushës. Miratimi i lejes për mbajtjen e armës jepet nga Ministria e Brendshme, pas autorizimit të ministrit të Financave.</w:t>
      </w:r>
    </w:p>
    <w:p w:rsidR="00A06349" w:rsidRPr="003E1FCC" w:rsidRDefault="00A06349" w:rsidP="00A06349">
      <w:pPr>
        <w:pStyle w:val="Paragrafi"/>
        <w:rPr>
          <w:spacing w:val="-4"/>
          <w:lang w:val="sq-AL"/>
        </w:rPr>
      </w:pPr>
      <w:r w:rsidRPr="003E1FCC">
        <w:rPr>
          <w:spacing w:val="-4"/>
          <w:lang w:val="sq-AL"/>
        </w:rPr>
        <w:t xml:space="preserve">105/1.4 Struktura e Investigimit të Brendshëm (Antikorrupsion) është e organizuar vetëm në nivel qendror pranë Drejtorisë së Përgjithshme të Tatimeve. Drejtori i Investigimit të Brendshëm (Antikorrupsioni) drejton veprimtarinë e kësaj strukture dhe raporton direkt te drejtori i Përgjithshëm i Tatimeve. </w:t>
      </w:r>
    </w:p>
    <w:p w:rsidR="00A06349" w:rsidRPr="003E1FCC" w:rsidRDefault="00A06349" w:rsidP="00A06349">
      <w:pPr>
        <w:pStyle w:val="Paragrafi"/>
        <w:rPr>
          <w:spacing w:val="-4"/>
          <w:szCs w:val="24"/>
          <w:lang w:val="sq-AL"/>
        </w:rPr>
      </w:pPr>
      <w:r w:rsidRPr="007C6D62">
        <w:rPr>
          <w:b/>
          <w:spacing w:val="-4"/>
          <w:lang w:val="sq-AL"/>
        </w:rPr>
        <w:t>12.</w:t>
      </w:r>
      <w:r w:rsidRPr="003E1FCC">
        <w:rPr>
          <w:spacing w:val="-4"/>
          <w:lang w:val="sq-AL"/>
        </w:rPr>
        <w:t xml:space="preserve"> </w:t>
      </w:r>
      <w:r w:rsidRPr="003E1FCC">
        <w:rPr>
          <w:b/>
          <w:spacing w:val="-4"/>
          <w:szCs w:val="24"/>
          <w:lang w:val="sq-AL"/>
        </w:rPr>
        <w:t>Kudo në përmbajtje të pikave 106, 107, 108, 109 dhe 110,</w:t>
      </w:r>
      <w:r w:rsidRPr="003E1FCC">
        <w:rPr>
          <w:spacing w:val="-4"/>
          <w:szCs w:val="24"/>
          <w:lang w:val="sq-AL"/>
        </w:rPr>
        <w:t xml:space="preserve"> pas fjalës “drejtori/e” shtohet fjala “ose komisioni/t”.</w:t>
      </w:r>
    </w:p>
    <w:p w:rsidR="00A06349" w:rsidRPr="003E1FCC" w:rsidRDefault="00A06349" w:rsidP="00A06349">
      <w:pPr>
        <w:pStyle w:val="Paragrafi"/>
        <w:rPr>
          <w:spacing w:val="-4"/>
          <w:lang w:val="sq-AL"/>
        </w:rPr>
      </w:pPr>
      <w:r w:rsidRPr="007C6D62">
        <w:rPr>
          <w:b/>
          <w:spacing w:val="-4"/>
          <w:szCs w:val="24"/>
          <w:lang w:val="sq-AL"/>
        </w:rPr>
        <w:t>13.</w:t>
      </w:r>
      <w:r w:rsidRPr="003E1FCC">
        <w:rPr>
          <w:spacing w:val="-4"/>
          <w:szCs w:val="24"/>
          <w:lang w:val="sq-AL"/>
        </w:rPr>
        <w:t xml:space="preserve"> </w:t>
      </w:r>
      <w:r w:rsidRPr="003E1FCC">
        <w:rPr>
          <w:b/>
          <w:spacing w:val="-4"/>
          <w:szCs w:val="24"/>
          <w:lang w:val="sq-AL"/>
        </w:rPr>
        <w:t>Kudo në përmbajtje të pikave 106, 107, 108, 109 dhe 110,</w:t>
      </w:r>
      <w:r w:rsidRPr="003E1FCC">
        <w:rPr>
          <w:spacing w:val="-4"/>
          <w:szCs w:val="24"/>
          <w:lang w:val="sq-AL"/>
        </w:rPr>
        <w:t xml:space="preserve"> pas fjalëve “Drejtoria/në/së Apelimit Tatimor” shtohen fjalët “ose Komisioni/t/n për Shqyrtimin e Apelimeve Tatimore”.</w:t>
      </w:r>
    </w:p>
    <w:p w:rsidR="00A06349" w:rsidRPr="00CA7246" w:rsidRDefault="00A06349" w:rsidP="00A06349">
      <w:pPr>
        <w:pStyle w:val="Paragrafi"/>
        <w:rPr>
          <w:b/>
          <w:spacing w:val="-4"/>
          <w:lang w:val="sq-AL"/>
        </w:rPr>
      </w:pPr>
      <w:r w:rsidRPr="00CA7246">
        <w:rPr>
          <w:b/>
          <w:spacing w:val="-4"/>
          <w:lang w:val="sq-AL"/>
        </w:rPr>
        <w:t xml:space="preserve">14. Nënpika 106.1.9 ndryshon me përmbajtjen e mëposhtme: </w:t>
      </w:r>
    </w:p>
    <w:p w:rsidR="00A06349" w:rsidRPr="003E1FCC" w:rsidRDefault="00A06349" w:rsidP="00A06349">
      <w:pPr>
        <w:shd w:val="clear" w:color="auto" w:fill="FFFFFF"/>
        <w:spacing w:after="0" w:line="240" w:lineRule="auto"/>
        <w:rPr>
          <w:rFonts w:ascii="Garamond" w:hAnsi="Garamond"/>
          <w:spacing w:val="-4"/>
          <w:sz w:val="24"/>
          <w:szCs w:val="24"/>
          <w:lang w:val="sq-AL"/>
        </w:rPr>
      </w:pPr>
      <w:r w:rsidRPr="003E1FCC">
        <w:rPr>
          <w:rFonts w:ascii="Garamond" w:hAnsi="Garamond"/>
          <w:spacing w:val="-4"/>
          <w:sz w:val="24"/>
          <w:szCs w:val="24"/>
          <w:lang w:val="sq-AL"/>
        </w:rPr>
        <w:t>“106.1.9 Akti administrativ i konfiskimit i mbajtur sipas nenit 122 pika 4 të ligjit, që lejon konfiskimin e mallrave për prishjen e shenjave të bllokimit nuk është objekt i apelimit pranë strukturave të apelimit tatimor në Ministrisë e Financave. Në përputhje me Kodin e Procedurës Administrative ankimohet në shkallë administrative në strukturat e Drejtorisë së Përgjithshme të Tatimeve.”.</w:t>
      </w:r>
    </w:p>
    <w:p w:rsidR="00A06349" w:rsidRPr="003E1FCC" w:rsidRDefault="00A06349" w:rsidP="00A06349">
      <w:pPr>
        <w:pStyle w:val="Paragrafi"/>
        <w:rPr>
          <w:spacing w:val="-4"/>
          <w:lang w:val="sq-AL"/>
        </w:rPr>
      </w:pPr>
      <w:r w:rsidRPr="003E1FCC">
        <w:rPr>
          <w:spacing w:val="-4"/>
          <w:lang w:val="sq-AL"/>
        </w:rPr>
        <w:t>15. Në pikën 106.2.1 shprehja “data e protokollimit në Drejtorinë e Përgjithshme të Tatimeve” ndryshohet “data e protokollimit në Ministrinë e Financave”;</w:t>
      </w:r>
    </w:p>
    <w:p w:rsidR="00A06349" w:rsidRPr="003E1FCC" w:rsidRDefault="00A06349" w:rsidP="00A06349">
      <w:pPr>
        <w:pStyle w:val="Paragrafi"/>
        <w:rPr>
          <w:spacing w:val="-4"/>
          <w:lang w:val="sq-AL"/>
        </w:rPr>
      </w:pPr>
      <w:r w:rsidRPr="003E1FCC">
        <w:rPr>
          <w:spacing w:val="-4"/>
          <w:lang w:val="sq-AL"/>
        </w:rPr>
        <w:lastRenderedPageBreak/>
        <w:t>16. Në nënpikën 106.2.2, fjalët në kllapa “Ministrinë e Financave” zëvendësohen me fjalët “Drejtorinë e Përgjithshme të Tatimeve”.</w:t>
      </w:r>
    </w:p>
    <w:p w:rsidR="00A06349" w:rsidRPr="003E1FCC" w:rsidRDefault="00A06349" w:rsidP="00A06349">
      <w:pPr>
        <w:pStyle w:val="Paragrafi"/>
        <w:rPr>
          <w:spacing w:val="-4"/>
          <w:lang w:val="sq-AL"/>
        </w:rPr>
      </w:pPr>
      <w:r w:rsidRPr="003E1FCC">
        <w:rPr>
          <w:spacing w:val="-4"/>
          <w:lang w:val="sq-AL"/>
        </w:rPr>
        <w:t>17. Kudo në përmbajtje të pikave 106–110, togfjalëshi “</w:t>
      </w:r>
      <w:r w:rsidRPr="003E1FCC">
        <w:rPr>
          <w:i/>
          <w:spacing w:val="-4"/>
          <w:lang w:val="sq-AL"/>
        </w:rPr>
        <w:t xml:space="preserve">nenet 64 dhe 65 të Kodit të Procedurave Administrative” </w:t>
      </w:r>
      <w:r w:rsidRPr="003E1FCC">
        <w:rPr>
          <w:spacing w:val="-4"/>
          <w:lang w:val="sq-AL"/>
        </w:rPr>
        <w:t>zëvendësohet me togfjalëshin “</w:t>
      </w:r>
      <w:r w:rsidRPr="003E1FCC">
        <w:rPr>
          <w:i/>
          <w:spacing w:val="-4"/>
          <w:lang w:val="sq-AL"/>
        </w:rPr>
        <w:t>nenet 54 dhe 55 të Kodit të Procedurave Administrative</w:t>
      </w:r>
      <w:r w:rsidRPr="003E1FCC">
        <w:rPr>
          <w:spacing w:val="-4"/>
          <w:lang w:val="sq-AL"/>
        </w:rPr>
        <w:t>”.</w:t>
      </w:r>
    </w:p>
    <w:p w:rsidR="00A06349" w:rsidRPr="003E1FCC" w:rsidRDefault="00A06349" w:rsidP="00A06349">
      <w:pPr>
        <w:pStyle w:val="Paragrafi"/>
        <w:rPr>
          <w:spacing w:val="-4"/>
          <w:lang w:val="sq-AL"/>
        </w:rPr>
      </w:pPr>
      <w:r w:rsidRPr="003E1FCC">
        <w:rPr>
          <w:spacing w:val="-4"/>
          <w:lang w:val="sq-AL"/>
        </w:rPr>
        <w:t>18. Në nënpikën 106.2.5, në fjalinë e dytë, numri “90” zëvendësohet me numrin “60”.</w:t>
      </w:r>
    </w:p>
    <w:p w:rsidR="00A06349" w:rsidRPr="003E1FCC" w:rsidRDefault="00A06349" w:rsidP="00A06349">
      <w:pPr>
        <w:pStyle w:val="Paragrafi"/>
        <w:rPr>
          <w:spacing w:val="-4"/>
          <w:lang w:val="sq-AL"/>
        </w:rPr>
      </w:pPr>
      <w:r w:rsidRPr="003E1FCC">
        <w:rPr>
          <w:spacing w:val="-4"/>
          <w:lang w:val="sq-AL"/>
        </w:rPr>
        <w:t>19. Në nënpikën 108.3.3, pas fjalisë së parë, shtohet fjalia me këtë përmbajtje “Vendimi i Komisionit për Shqyrtimin e Apelimeve Tatimore duhet të nënshkruhet nga të gjithë anëtarët, në përputhje me përcaktimet e vendimit të Këshillit të Ministrave “Për procedurat e funksionimit të Komisionit për Shqyrtimin e Apelimeve Tatimore”.</w:t>
      </w:r>
    </w:p>
    <w:p w:rsidR="00A06349" w:rsidRPr="003E1FCC" w:rsidRDefault="00A06349" w:rsidP="00A06349">
      <w:pPr>
        <w:pStyle w:val="Paragrafi"/>
        <w:rPr>
          <w:spacing w:val="-4"/>
          <w:lang w:val="sq-AL"/>
        </w:rPr>
      </w:pPr>
      <w:r w:rsidRPr="003E1FCC">
        <w:rPr>
          <w:spacing w:val="-4"/>
          <w:lang w:val="sq-AL"/>
        </w:rPr>
        <w:t>20. Në secilën nga nënpikat 108.3.6, 108.3.7 dhe 108.3.8, në fjalinë e fundit, hiqet togfjalëshi me përmbajtjen “në qoftë se ajo nuk mendon të bëjë ankim kundër vendimit në gjykatë”;</w:t>
      </w:r>
    </w:p>
    <w:p w:rsidR="00A06349" w:rsidRPr="003E1FCC" w:rsidRDefault="00A06349" w:rsidP="00A06349">
      <w:pPr>
        <w:pStyle w:val="Paragrafi"/>
        <w:rPr>
          <w:spacing w:val="-4"/>
          <w:lang w:val="sq-AL"/>
        </w:rPr>
      </w:pPr>
      <w:r w:rsidRPr="003E1FCC">
        <w:rPr>
          <w:spacing w:val="-4"/>
          <w:lang w:val="sq-AL"/>
        </w:rPr>
        <w:t>21. Nënpika 108.5 ndryshon me këtë përmbajte:</w:t>
      </w:r>
    </w:p>
    <w:p w:rsidR="00A06349" w:rsidRPr="003E1FCC" w:rsidRDefault="00A06349" w:rsidP="00A06349">
      <w:pPr>
        <w:pStyle w:val="Paragrafi"/>
        <w:rPr>
          <w:spacing w:val="-4"/>
          <w:lang w:val="sq-AL"/>
        </w:rPr>
      </w:pPr>
      <w:r w:rsidRPr="003E1FCC">
        <w:rPr>
          <w:spacing w:val="-4"/>
          <w:lang w:val="sq-AL"/>
        </w:rPr>
        <w:t>“Në procedurën e ankimit, barra e provës për të provuar, vërtetuar se një vlerësim tatimor ose vendim është i pasaktë ushtrohet në përputhje me Kodin e Procedurave Administrative”.</w:t>
      </w:r>
    </w:p>
    <w:p w:rsidR="00A06349" w:rsidRPr="003E1FCC" w:rsidRDefault="00A06349" w:rsidP="00A06349">
      <w:pPr>
        <w:pStyle w:val="Paragrafi"/>
        <w:rPr>
          <w:spacing w:val="-4"/>
          <w:lang w:val="sq-AL"/>
        </w:rPr>
      </w:pPr>
      <w:r w:rsidRPr="003E1FCC">
        <w:rPr>
          <w:spacing w:val="-4"/>
          <w:lang w:val="sq-AL"/>
        </w:rPr>
        <w:t>22. Në nënpikën 108.6, fjalët “nenin 108 të Kodit të Procedurave Administrative” zëvendësohen me fjalët “nenin 100 të Kodit të Procedurave Administrative”.</w:t>
      </w:r>
    </w:p>
    <w:p w:rsidR="00A06349" w:rsidRPr="003E1FCC" w:rsidRDefault="00A06349" w:rsidP="00A06349">
      <w:pPr>
        <w:pStyle w:val="ListParagraph"/>
        <w:tabs>
          <w:tab w:val="left" w:pos="360"/>
        </w:tabs>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23. Në nënpikën 109.1, në fjalinë e dytë, hiqet togfjalëshi “</w:t>
      </w:r>
      <w:r w:rsidRPr="003E1FCC">
        <w:rPr>
          <w:rFonts w:ascii="Garamond" w:hAnsi="Garamond"/>
          <w:i/>
          <w:spacing w:val="-4"/>
          <w:sz w:val="24"/>
          <w:szCs w:val="24"/>
          <w:lang w:val="sq-AL"/>
        </w:rPr>
        <w:t>në website-in e Drejtorisë së Përgjithshme të Tatimeve</w:t>
      </w:r>
      <w:r w:rsidRPr="003E1FCC">
        <w:rPr>
          <w:rFonts w:ascii="Garamond" w:hAnsi="Garamond"/>
          <w:spacing w:val="-4"/>
          <w:sz w:val="24"/>
          <w:szCs w:val="24"/>
          <w:lang w:val="sq-AL"/>
        </w:rPr>
        <w:t>”.</w:t>
      </w:r>
    </w:p>
    <w:p w:rsidR="00A06349" w:rsidRPr="003E1FCC" w:rsidRDefault="00A06349" w:rsidP="00A06349">
      <w:pPr>
        <w:pStyle w:val="ListParagraph"/>
        <w:tabs>
          <w:tab w:val="left" w:pos="360"/>
        </w:tabs>
        <w:spacing w:after="0" w:line="240" w:lineRule="auto"/>
        <w:ind w:left="0" w:firstLine="284"/>
        <w:jc w:val="both"/>
        <w:rPr>
          <w:rFonts w:ascii="Garamond" w:hAnsi="Garamond"/>
          <w:spacing w:val="-4"/>
          <w:sz w:val="24"/>
          <w:szCs w:val="24"/>
          <w:lang w:val="sq-AL"/>
        </w:rPr>
      </w:pPr>
      <w:r w:rsidRPr="003E1FCC">
        <w:rPr>
          <w:rFonts w:ascii="Garamond" w:eastAsia="Calibri" w:hAnsi="Garamond"/>
          <w:spacing w:val="-4"/>
          <w:sz w:val="24"/>
          <w:szCs w:val="24"/>
          <w:lang w:val="sq-AL"/>
        </w:rPr>
        <w:t xml:space="preserve">24. </w:t>
      </w:r>
      <w:r w:rsidRPr="003E1FCC">
        <w:rPr>
          <w:rFonts w:ascii="Garamond" w:hAnsi="Garamond"/>
          <w:spacing w:val="-4"/>
          <w:sz w:val="24"/>
          <w:szCs w:val="24"/>
          <w:lang w:val="sq-AL"/>
        </w:rPr>
        <w:t xml:space="preserve">Fjala “Çdo palë” në fillim të nënpikës 109.7, </w:t>
      </w:r>
      <w:r w:rsidRPr="003E1FCC">
        <w:rPr>
          <w:rFonts w:ascii="Garamond" w:hAnsi="Garamond"/>
          <w:b/>
          <w:spacing w:val="-4"/>
          <w:sz w:val="24"/>
          <w:szCs w:val="24"/>
          <w:lang w:val="sq-AL"/>
        </w:rPr>
        <w:t>zëvendësohet me fjalën</w:t>
      </w:r>
      <w:r w:rsidRPr="003E1FCC">
        <w:rPr>
          <w:rFonts w:ascii="Garamond" w:hAnsi="Garamond"/>
          <w:spacing w:val="-4"/>
          <w:sz w:val="24"/>
          <w:szCs w:val="24"/>
          <w:lang w:val="sq-AL"/>
        </w:rPr>
        <w:t xml:space="preserve"> “Tatimpaguesi”.</w:t>
      </w:r>
    </w:p>
    <w:p w:rsidR="00A06349" w:rsidRPr="003E1FCC" w:rsidRDefault="00A06349" w:rsidP="00A06349">
      <w:pPr>
        <w:pStyle w:val="ListParagraph"/>
        <w:tabs>
          <w:tab w:val="left" w:pos="360"/>
        </w:tabs>
        <w:spacing w:after="0" w:line="240" w:lineRule="auto"/>
        <w:ind w:left="0" w:firstLine="284"/>
        <w:jc w:val="both"/>
        <w:rPr>
          <w:rFonts w:ascii="Garamond" w:hAnsi="Garamond"/>
          <w:b/>
          <w:spacing w:val="-4"/>
          <w:sz w:val="24"/>
          <w:szCs w:val="24"/>
          <w:lang w:val="sq-AL"/>
        </w:rPr>
      </w:pPr>
      <w:r w:rsidRPr="003E1FCC">
        <w:rPr>
          <w:rFonts w:ascii="Garamond" w:hAnsi="Garamond"/>
          <w:spacing w:val="-4"/>
          <w:sz w:val="24"/>
          <w:szCs w:val="24"/>
          <w:lang w:val="sq-AL"/>
        </w:rPr>
        <w:t>25. Nënpika 109.10 me përmbajtjen “</w:t>
      </w:r>
      <w:r w:rsidRPr="003E1FCC">
        <w:rPr>
          <w:rFonts w:ascii="Garamond" w:hAnsi="Garamond"/>
          <w:i/>
          <w:spacing w:val="-4"/>
          <w:sz w:val="24"/>
          <w:szCs w:val="24"/>
          <w:lang w:val="sq-AL"/>
        </w:rPr>
        <w:t>Ankimi në rrugë gjyqësore nga administrata tatimore pranohet vetëm në qoftë se administrata tatimore ka qenë pjesërisht ose plotësisht e pasuksesshme në procedurën e ankimit administrativ sipas vendimit të Drejtorisë së Apelimit Tatimor</w:t>
      </w:r>
      <w:r w:rsidRPr="003E1FCC">
        <w:rPr>
          <w:rFonts w:ascii="Garamond" w:hAnsi="Garamond"/>
          <w:spacing w:val="-4"/>
          <w:sz w:val="24"/>
          <w:szCs w:val="24"/>
          <w:lang w:val="sq-AL"/>
        </w:rPr>
        <w:t xml:space="preserve">” </w:t>
      </w:r>
      <w:r w:rsidRPr="003E1FCC">
        <w:rPr>
          <w:rFonts w:ascii="Garamond" w:hAnsi="Garamond"/>
          <w:b/>
          <w:spacing w:val="-4"/>
          <w:sz w:val="24"/>
          <w:szCs w:val="24"/>
          <w:lang w:val="sq-AL"/>
        </w:rPr>
        <w:t>hiqet</w:t>
      </w:r>
      <w:r w:rsidRPr="003E1FCC">
        <w:rPr>
          <w:rFonts w:ascii="Garamond" w:hAnsi="Garamond"/>
          <w:spacing w:val="-4"/>
          <w:sz w:val="24"/>
          <w:szCs w:val="24"/>
          <w:lang w:val="sq-AL"/>
        </w:rPr>
        <w:t xml:space="preserve"> </w:t>
      </w:r>
      <w:r w:rsidRPr="003E1FCC">
        <w:rPr>
          <w:rFonts w:ascii="Garamond" w:hAnsi="Garamond"/>
          <w:b/>
          <w:spacing w:val="-4"/>
          <w:sz w:val="24"/>
          <w:szCs w:val="24"/>
          <w:lang w:val="sq-AL"/>
        </w:rPr>
        <w:t>.</w:t>
      </w:r>
    </w:p>
    <w:p w:rsidR="00A06349" w:rsidRPr="003E1FCC" w:rsidRDefault="00A06349" w:rsidP="00A06349">
      <w:pPr>
        <w:pStyle w:val="ListParagraph"/>
        <w:tabs>
          <w:tab w:val="left" w:pos="360"/>
        </w:tabs>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26. Titulli i pikës 109 “Vendimi i Drejtorisë së Apelimit Tatimor” </w:t>
      </w:r>
      <w:r w:rsidRPr="003E1FCC">
        <w:rPr>
          <w:rFonts w:ascii="Garamond" w:hAnsi="Garamond"/>
          <w:b/>
          <w:spacing w:val="-4"/>
          <w:sz w:val="24"/>
          <w:szCs w:val="24"/>
          <w:lang w:val="sq-AL"/>
        </w:rPr>
        <w:t>ndryshon në</w:t>
      </w:r>
      <w:r w:rsidRPr="003E1FCC">
        <w:rPr>
          <w:rFonts w:ascii="Garamond" w:hAnsi="Garamond"/>
          <w:spacing w:val="-4"/>
          <w:sz w:val="24"/>
          <w:szCs w:val="24"/>
          <w:lang w:val="sq-AL"/>
        </w:rPr>
        <w:t xml:space="preserve"> “Vendimi për ankimin administrativ dhe e drejta e ankimit”.</w:t>
      </w:r>
    </w:p>
    <w:p w:rsidR="00A06349" w:rsidRPr="00C71894" w:rsidRDefault="00A06349" w:rsidP="00A06349">
      <w:pPr>
        <w:pStyle w:val="Paragrafi"/>
        <w:rPr>
          <w:b/>
          <w:spacing w:val="-4"/>
          <w:lang w:val="sq-AL"/>
        </w:rPr>
      </w:pPr>
      <w:r w:rsidRPr="00C71894">
        <w:rPr>
          <w:b/>
          <w:spacing w:val="-4"/>
          <w:lang w:val="sq-AL"/>
        </w:rPr>
        <w:t>27. Në nënpikën 110.1, bëhen këto ndryshime:</w:t>
      </w:r>
    </w:p>
    <w:p w:rsidR="00A06349" w:rsidRPr="003E1FCC" w:rsidRDefault="00A06349" w:rsidP="00A06349">
      <w:pPr>
        <w:pStyle w:val="ListParagraph"/>
        <w:numPr>
          <w:ilvl w:val="0"/>
          <w:numId w:val="30"/>
        </w:numPr>
        <w:tabs>
          <w:tab w:val="left" w:pos="360"/>
        </w:tabs>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në fjalinë e parë hiqet togfjalëshi “dhe administrata tatimore e pranon vendimin.”.</w:t>
      </w:r>
    </w:p>
    <w:p w:rsidR="00A06349" w:rsidRPr="003E1FCC" w:rsidRDefault="00A06349" w:rsidP="00A06349">
      <w:pPr>
        <w:pStyle w:val="ListParagraph"/>
        <w:numPr>
          <w:ilvl w:val="0"/>
          <w:numId w:val="30"/>
        </w:numPr>
        <w:tabs>
          <w:tab w:val="left" w:pos="360"/>
        </w:tabs>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në fjalinë e dytë, fjalët “Drejtorisë së apelimit” zëvendësohen me togfjalëshin” strukturës përkatëse të apelimit tatimor” </w:t>
      </w:r>
    </w:p>
    <w:p w:rsidR="00A06349" w:rsidRPr="007C6D62" w:rsidRDefault="00A06349" w:rsidP="00A06349">
      <w:pPr>
        <w:pStyle w:val="Paragrafi"/>
        <w:rPr>
          <w:b/>
          <w:lang w:val="sq-AL"/>
        </w:rPr>
      </w:pPr>
      <w:r w:rsidRPr="007C6D62">
        <w:rPr>
          <w:b/>
          <w:lang w:val="sq-AL"/>
        </w:rPr>
        <w:t xml:space="preserve">28. Përmbajtja e nënpikës 110.2 riformulohet si vijon: </w:t>
      </w:r>
    </w:p>
    <w:p w:rsidR="00A06349" w:rsidRPr="003E1FCC" w:rsidRDefault="00A06349" w:rsidP="00A06349">
      <w:pPr>
        <w:tabs>
          <w:tab w:val="left" w:pos="360"/>
          <w:tab w:val="left" w:pos="687"/>
        </w:tabs>
        <w:spacing w:after="0" w:line="240" w:lineRule="auto"/>
        <w:rPr>
          <w:rFonts w:ascii="Garamond" w:hAnsi="Garamond"/>
          <w:spacing w:val="-4"/>
          <w:sz w:val="24"/>
          <w:szCs w:val="24"/>
          <w:lang w:val="sq-AL"/>
        </w:rPr>
      </w:pPr>
      <w:r w:rsidRPr="003E1FCC">
        <w:rPr>
          <w:rFonts w:ascii="Garamond" w:hAnsi="Garamond"/>
          <w:spacing w:val="-4"/>
          <w:sz w:val="24"/>
          <w:szCs w:val="24"/>
          <w:lang w:val="sq-AL"/>
        </w:rPr>
        <w:t>“Nëse drejtoria e apelimit tatimor ose Komisioni për Shqyrtimin e Apelimeve Tatimore lë në fuqi vendimin e administratës tatimore dhe tatimpaguesi e pranon vendimin, çdo detyrim tatimor, që përfshin tatimin në rastin kur nuk është paguar, por është vendosur garanci, kamatëvonesën, dhe çdo gjobë e llogaritur paguhen nga tatimpaguesi, brenda 30 ditëve kalendarike nga data kur vendimi për ankimin administrativ është marrë ose vlerësohet të jetë marrë”.</w:t>
      </w:r>
    </w:p>
    <w:p w:rsidR="00A06349" w:rsidRPr="003E1FCC" w:rsidRDefault="00A06349" w:rsidP="00A06349">
      <w:pPr>
        <w:tabs>
          <w:tab w:val="left" w:pos="360"/>
          <w:tab w:val="left" w:pos="687"/>
        </w:tabs>
        <w:spacing w:after="0" w:line="240" w:lineRule="auto"/>
        <w:rPr>
          <w:rFonts w:ascii="Garamond" w:eastAsia="Batang" w:hAnsi="Garamond"/>
          <w:spacing w:val="-4"/>
          <w:sz w:val="24"/>
          <w:szCs w:val="24"/>
          <w:lang w:val="sq-AL"/>
        </w:rPr>
      </w:pPr>
      <w:r w:rsidRPr="003E1FCC">
        <w:rPr>
          <w:rFonts w:ascii="Garamond" w:eastAsia="Batang" w:hAnsi="Garamond"/>
          <w:spacing w:val="-4"/>
          <w:sz w:val="24"/>
          <w:szCs w:val="24"/>
          <w:lang w:val="sq-AL"/>
        </w:rPr>
        <w:t xml:space="preserve">29. </w:t>
      </w:r>
      <w:r w:rsidRPr="003E1FCC">
        <w:rPr>
          <w:rFonts w:ascii="Garamond" w:hAnsi="Garamond"/>
          <w:b/>
          <w:spacing w:val="-4"/>
          <w:sz w:val="24"/>
          <w:szCs w:val="24"/>
          <w:lang w:val="sq-AL"/>
        </w:rPr>
        <w:t>Në nënpikën 112.1.1, hiqen fjalët</w:t>
      </w:r>
      <w:r w:rsidRPr="003E1FCC">
        <w:rPr>
          <w:rFonts w:ascii="Garamond" w:hAnsi="Garamond"/>
          <w:spacing w:val="-4"/>
          <w:sz w:val="24"/>
          <w:szCs w:val="24"/>
          <w:lang w:val="sq-AL"/>
        </w:rPr>
        <w:t xml:space="preserve"> “</w:t>
      </w:r>
      <w:r w:rsidRPr="003E1FCC">
        <w:rPr>
          <w:rFonts w:ascii="Garamond" w:eastAsia="Batang" w:hAnsi="Garamond"/>
          <w:spacing w:val="-4"/>
          <w:sz w:val="24"/>
          <w:szCs w:val="24"/>
          <w:lang w:val="sq-AL"/>
        </w:rPr>
        <w:t>në zbatim të nenit 41” në fillim të fjalisë, si dhe togfjalëshi “mbylljen e veprimtarisë, si dhe masën e parashikuar në nenin 41 të ligjit” zëvendësohet me togfjalëshin “masat e parashikuara në nenin 41 të ligjit”.</w:t>
      </w:r>
    </w:p>
    <w:p w:rsidR="00A06349" w:rsidRPr="007C6D62" w:rsidRDefault="00A06349" w:rsidP="00A06349">
      <w:pPr>
        <w:pStyle w:val="Paragrafi"/>
        <w:rPr>
          <w:b/>
          <w:lang w:val="sq-AL"/>
        </w:rPr>
      </w:pPr>
      <w:r w:rsidRPr="007C6D62">
        <w:rPr>
          <w:b/>
          <w:lang w:val="sq-AL"/>
        </w:rPr>
        <w:t xml:space="preserve">30. Përmbajtja e nënpikës 113.1 ndryshon si më poshtë: </w:t>
      </w:r>
    </w:p>
    <w:p w:rsidR="00A06349" w:rsidRPr="003E1FCC" w:rsidRDefault="00A06349" w:rsidP="00A06349">
      <w:pPr>
        <w:tabs>
          <w:tab w:val="left" w:pos="360"/>
          <w:tab w:val="left" w:pos="687"/>
        </w:tabs>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“Tatimpaguesi, i cili nuk dorëzon në afatet e përcaktuara në ligjet e veçanta tatimore, deklaratën tatimore, dënohet me 10 (dhjetë) mijë lekë gjobë nëse është tatimpagues i tatimit mbi fitimin dhe me 5 (pesë) mijë lekë gjobë për çdo tatimpagues tjetër, për çdo deklaratë tatimore të padorëzuar në afat. Kjo gjobë vendoset vetëm një herë për çdo deklaratë tatimore, pavarësisht nga zgjatja e vonesës, dhe ajo nuk ndikon në gjobën për pagesë të vonuar e cila llogaritet në bazë të nenit 114 të ligjit. </w:t>
      </w:r>
    </w:p>
    <w:p w:rsidR="00A06349" w:rsidRPr="003E1FCC" w:rsidRDefault="00A06349" w:rsidP="00A06349">
      <w:pPr>
        <w:tabs>
          <w:tab w:val="left" w:pos="360"/>
          <w:tab w:val="left" w:pos="687"/>
        </w:tabs>
        <w:spacing w:after="0" w:line="240" w:lineRule="auto"/>
        <w:rPr>
          <w:rFonts w:ascii="Garamond" w:hAnsi="Garamond"/>
          <w:i/>
          <w:spacing w:val="-4"/>
          <w:sz w:val="24"/>
          <w:szCs w:val="24"/>
          <w:lang w:val="sq-AL"/>
        </w:rPr>
      </w:pPr>
      <w:r w:rsidRPr="003E1FCC">
        <w:rPr>
          <w:rFonts w:ascii="Garamond" w:hAnsi="Garamond"/>
          <w:spacing w:val="-4"/>
          <w:sz w:val="24"/>
          <w:szCs w:val="24"/>
          <w:lang w:val="sq-AL"/>
        </w:rPr>
        <w:t xml:space="preserve">Dënimi sipas kësaj pike aplikohet edhe për dorëzimin me vonesë, jo në përputhje me afatet e përcaktuara në ligjin “Për mbledhjen e sigurimeve shoqërore dhe shëndetësore” dhe në ligjin “Për procedurat tatimore të deklaratës “Për deklarimin e të punësuarave rishtas dhe të të larguarave nga puna””. </w:t>
      </w:r>
    </w:p>
    <w:p w:rsidR="00A06349" w:rsidRPr="003E1FCC" w:rsidRDefault="00A06349" w:rsidP="00A06349">
      <w:pPr>
        <w:pStyle w:val="ListParagraph"/>
        <w:tabs>
          <w:tab w:val="left" w:pos="360"/>
        </w:tabs>
        <w:spacing w:after="0" w:line="240" w:lineRule="auto"/>
        <w:ind w:left="284"/>
        <w:jc w:val="both"/>
        <w:rPr>
          <w:rFonts w:ascii="Garamond" w:hAnsi="Garamond"/>
          <w:b/>
          <w:spacing w:val="-4"/>
          <w:sz w:val="24"/>
          <w:szCs w:val="24"/>
          <w:lang w:val="sq-AL"/>
        </w:rPr>
      </w:pPr>
      <w:r w:rsidRPr="003E1FCC">
        <w:rPr>
          <w:rFonts w:ascii="Garamond" w:eastAsia="Batang" w:hAnsi="Garamond"/>
          <w:spacing w:val="-4"/>
          <w:sz w:val="24"/>
          <w:szCs w:val="24"/>
          <w:lang w:val="sq-AL"/>
        </w:rPr>
        <w:t xml:space="preserve">31. </w:t>
      </w:r>
      <w:r w:rsidRPr="003E1FCC">
        <w:rPr>
          <w:rFonts w:ascii="Garamond" w:hAnsi="Garamond"/>
          <w:b/>
          <w:spacing w:val="-4"/>
          <w:sz w:val="24"/>
          <w:szCs w:val="24"/>
          <w:lang w:val="sq-AL"/>
        </w:rPr>
        <w:t>Hiqet nënpika 113.2</w:t>
      </w:r>
    </w:p>
    <w:p w:rsidR="00A06349" w:rsidRPr="003E1FCC" w:rsidRDefault="00A06349" w:rsidP="00A06349">
      <w:pPr>
        <w:pStyle w:val="ListParagraph"/>
        <w:tabs>
          <w:tab w:val="left" w:pos="360"/>
        </w:tabs>
        <w:spacing w:after="0" w:line="240" w:lineRule="auto"/>
        <w:ind w:left="284"/>
        <w:jc w:val="both"/>
        <w:rPr>
          <w:rFonts w:ascii="Garamond" w:hAnsi="Garamond"/>
          <w:b/>
          <w:spacing w:val="-4"/>
          <w:sz w:val="24"/>
          <w:szCs w:val="24"/>
          <w:lang w:val="sq-AL"/>
        </w:rPr>
      </w:pPr>
      <w:r w:rsidRPr="003E1FCC">
        <w:rPr>
          <w:rFonts w:ascii="Garamond" w:hAnsi="Garamond"/>
          <w:spacing w:val="-4"/>
          <w:sz w:val="24"/>
          <w:szCs w:val="24"/>
          <w:lang w:val="sq-AL"/>
        </w:rPr>
        <w:t xml:space="preserve">32. </w:t>
      </w:r>
      <w:r w:rsidRPr="003E1FCC">
        <w:rPr>
          <w:rFonts w:ascii="Garamond" w:hAnsi="Garamond"/>
          <w:b/>
          <w:spacing w:val="-4"/>
          <w:sz w:val="24"/>
          <w:szCs w:val="24"/>
          <w:lang w:val="sq-AL"/>
        </w:rPr>
        <w:t>Fjalia e dytë e nënpikës 114.2 ndryshohet me këtë përmbajtje:</w:t>
      </w:r>
    </w:p>
    <w:p w:rsidR="00A06349" w:rsidRPr="003E1FCC" w:rsidRDefault="00A06349" w:rsidP="00A06349">
      <w:pPr>
        <w:tabs>
          <w:tab w:val="left" w:pos="360"/>
        </w:tabs>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 “Shumë e papaguar e detyrimit tatimor është gjithashtu diferenca ndërmjet shumës së saktë të rimbursueshme dhe shumës së rimbursimit të marrë në datën e caktuar”.</w:t>
      </w:r>
    </w:p>
    <w:p w:rsidR="00A06349" w:rsidRPr="007C6D62" w:rsidRDefault="00A06349" w:rsidP="00A06349">
      <w:pPr>
        <w:pStyle w:val="Paragrafi"/>
        <w:rPr>
          <w:b/>
          <w:lang w:val="sq-AL"/>
        </w:rPr>
      </w:pPr>
      <w:r w:rsidRPr="007C6D62">
        <w:rPr>
          <w:rFonts w:eastAsia="Batang"/>
          <w:b/>
          <w:lang w:val="sq-AL"/>
        </w:rPr>
        <w:t xml:space="preserve">33. </w:t>
      </w:r>
      <w:r w:rsidRPr="007C6D62">
        <w:rPr>
          <w:b/>
          <w:lang w:val="sq-AL"/>
        </w:rPr>
        <w:t>Pas pikës 114 shtohet pika 114/1 me këtë përmbajtje:</w:t>
      </w:r>
    </w:p>
    <w:p w:rsidR="00A06349" w:rsidRPr="003E1FCC" w:rsidRDefault="00A06349" w:rsidP="00A06349">
      <w:pPr>
        <w:tabs>
          <w:tab w:val="left" w:pos="360"/>
        </w:tabs>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114/1. </w:t>
      </w:r>
      <w:r w:rsidRPr="003E1FCC">
        <w:rPr>
          <w:rFonts w:ascii="Garamond" w:hAnsi="Garamond"/>
          <w:bCs/>
          <w:spacing w:val="-4"/>
          <w:sz w:val="24"/>
          <w:szCs w:val="24"/>
          <w:lang w:val="sq-AL"/>
        </w:rPr>
        <w:t>Mospagimi i kësteve të tatimit mbi fitimin dhe tatimi i thjeshtuar mbi fitimin</w:t>
      </w:r>
    </w:p>
    <w:p w:rsidR="00A06349" w:rsidRPr="003E1FCC" w:rsidRDefault="00A06349" w:rsidP="00A06349">
      <w:pPr>
        <w:tabs>
          <w:tab w:val="left" w:pos="360"/>
        </w:tabs>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“Tatimpaguesi i cili nuk paguan në afat këstet paraprake të tatimit mbi fitimin ose këstet paraprake të tatimit të thjeshtuar mbi fitimin, detyrim ky i përcaktuar sipas nenit 30, të ligjit nr. 8438, datë 28.12.1998, “Për tatimin mbi të ardhurat”, të ndryshuar, dhe nenit 15, të ligjit nr. 9632, datë 30.10.2006, “Për sistemin e taksave vendore”, të ndryshuar, dënohet me gjobë, në masën 10 për qind të shumës së këstit për t’u paguar.” Për aplikimin e dënimit duhet të mbahet parasysh se këstet e tatimit mbi fitimin janë mujore ose tremujore, kështu që dënimi llogaritet kur përfundon afati tremujor i pagesës së këstit për detyrimin e këstit ose pjesën e </w:t>
      </w:r>
      <w:r w:rsidRPr="003E1FCC">
        <w:rPr>
          <w:rFonts w:ascii="Garamond" w:hAnsi="Garamond"/>
          <w:spacing w:val="-4"/>
          <w:sz w:val="24"/>
          <w:szCs w:val="24"/>
          <w:lang w:val="sq-AL"/>
        </w:rPr>
        <w:lastRenderedPageBreak/>
        <w:t xml:space="preserve">detyrimit të këstit të papaguar. Për shembull, për këstin e tremujorit të fundit të vitit 2016 për sa ndryshimi ligjor ka hyrë në fuqi me datën 1 dhjetor, pra moment në të cilin nuk ka përfunduar afati i pagesës së këstit atëherë dënimi do të aplikohet 10 % për vlerën e këstit 3-mujor, pasi tatimpaguesit i lind e drejta të paguajë këstin tremujor në fund të muajit dhjetor. </w:t>
      </w:r>
    </w:p>
    <w:p w:rsidR="00A06349" w:rsidRPr="007C6D62" w:rsidRDefault="00A06349" w:rsidP="00A06349">
      <w:pPr>
        <w:pStyle w:val="Paragrafi"/>
        <w:rPr>
          <w:b/>
          <w:lang w:val="sq-AL"/>
        </w:rPr>
      </w:pPr>
      <w:r w:rsidRPr="007C6D62">
        <w:rPr>
          <w:b/>
          <w:lang w:val="sq-AL"/>
        </w:rPr>
        <w:t>34. Në pikën 115.2, fjalia e dytë hiqet.</w:t>
      </w:r>
    </w:p>
    <w:p w:rsidR="00A06349" w:rsidRPr="007C6D62" w:rsidRDefault="00A06349" w:rsidP="00A06349">
      <w:pPr>
        <w:pStyle w:val="Paragrafi"/>
        <w:rPr>
          <w:b/>
          <w:lang w:val="sq-AL"/>
        </w:rPr>
      </w:pPr>
      <w:r w:rsidRPr="007C6D62">
        <w:rPr>
          <w:b/>
          <w:lang w:val="sq-AL"/>
        </w:rPr>
        <w:t>35. Pika 117 zëvendësohet me këtë përmbajtje:</w:t>
      </w:r>
    </w:p>
    <w:p w:rsidR="00A06349" w:rsidRPr="003E1FCC" w:rsidRDefault="00A06349" w:rsidP="00A06349">
      <w:pPr>
        <w:pStyle w:val="Paragrafi"/>
        <w:rPr>
          <w:lang w:val="sq-AL"/>
        </w:rPr>
      </w:pPr>
      <w:r w:rsidRPr="003E1FCC">
        <w:rPr>
          <w:lang w:val="sq-AL"/>
        </w:rPr>
        <w:t xml:space="preserve">“117. </w:t>
      </w:r>
      <w:r w:rsidRPr="003E1FCC">
        <w:rPr>
          <w:rFonts w:eastAsiaTheme="minorHAnsi"/>
          <w:bCs/>
          <w:lang w:val="sq-AL"/>
        </w:rPr>
        <w:t xml:space="preserve">Dënimet për agjentët e mbajtjes së tatimit në burim, agjentët e taksave dhe agjentët </w:t>
      </w:r>
      <w:r w:rsidRPr="003E1FCC">
        <w:rPr>
          <w:bCs/>
          <w:lang w:val="sq-AL"/>
        </w:rPr>
        <w:t>e tarifave</w:t>
      </w:r>
    </w:p>
    <w:p w:rsidR="00A06349" w:rsidRPr="003E1FCC" w:rsidRDefault="00A06349" w:rsidP="00A06349">
      <w:pPr>
        <w:pStyle w:val="Paragrafi"/>
        <w:rPr>
          <w:rFonts w:eastAsiaTheme="minorHAnsi"/>
          <w:lang w:val="sq-AL"/>
        </w:rPr>
      </w:pPr>
      <w:r w:rsidRPr="003E1FCC">
        <w:rPr>
          <w:rFonts w:eastAsiaTheme="minorHAnsi"/>
          <w:lang w:val="sq-AL"/>
        </w:rPr>
        <w:t xml:space="preserve">Agjenti i mbajtjes së tatimit, agjenti i taksave apo i tarifave detyrohen të paguajnë gjobë, në masën e mëposhtme: </w:t>
      </w:r>
    </w:p>
    <w:p w:rsidR="00A06349" w:rsidRPr="003E1FCC" w:rsidRDefault="00A06349" w:rsidP="00A06349">
      <w:pPr>
        <w:pStyle w:val="Paragrafi"/>
        <w:rPr>
          <w:spacing w:val="-4"/>
          <w:lang w:val="sq-AL"/>
        </w:rPr>
      </w:pPr>
      <w:r w:rsidRPr="003E1FCC">
        <w:rPr>
          <w:spacing w:val="-4"/>
          <w:lang w:val="sq-AL"/>
        </w:rPr>
        <w:t>a) Gjobë në masën 0,06 për qind të shumës së plotë të tatimit, taksës apo tarifës, në rast se e ka mbajtur, llogaritur dhe deklaruar tatimin në burim apo tatimin, taksën ose tarifën, por nuk e ka transferuar atë në buxhetin e shtetit. Ky dënim aplikohet për çdo ditë, gjatë së cilës pagesa nuk është kryer, por jo për një periudhë më të gjatë se 365 ditë kalendarike;</w:t>
      </w:r>
    </w:p>
    <w:p w:rsidR="00A06349" w:rsidRPr="003E1FCC" w:rsidRDefault="00A06349" w:rsidP="00A06349">
      <w:pPr>
        <w:pStyle w:val="Paragrafi"/>
        <w:rPr>
          <w:spacing w:val="-4"/>
          <w:lang w:val="sq-AL"/>
        </w:rPr>
      </w:pPr>
      <w:r w:rsidRPr="003E1FCC">
        <w:rPr>
          <w:spacing w:val="-4"/>
          <w:lang w:val="sq-AL"/>
        </w:rPr>
        <w:t>b) Gjobë në masën 50 për qind të shumës së plotë të tatimit, taksës apo tarifës në rast se nuk mban tatimin në burim apo tatimin apo nuk mbledh taksën ose tarifën;</w:t>
      </w:r>
    </w:p>
    <w:p w:rsidR="00A06349" w:rsidRPr="003E1FCC" w:rsidRDefault="00A06349" w:rsidP="00A06349">
      <w:pPr>
        <w:pStyle w:val="Paragrafi"/>
        <w:rPr>
          <w:rFonts w:eastAsia="Times New Roman"/>
          <w:spacing w:val="-4"/>
          <w:lang w:val="sq-AL"/>
        </w:rPr>
      </w:pPr>
      <w:r w:rsidRPr="003E1FCC">
        <w:rPr>
          <w:spacing w:val="-4"/>
          <w:lang w:val="sq-AL"/>
        </w:rPr>
        <w:t>c) Gjobë në masën 100 për qind të shumës së plotë të tatimit, taksës apo tarifës nëse mban dhe nuk deklaron e paguan tatimin në burim apo tatimin, taksën ose tarifën e mbledhur.</w:t>
      </w:r>
    </w:p>
    <w:p w:rsidR="00A06349" w:rsidRPr="007C6D62" w:rsidRDefault="00A06349" w:rsidP="00A06349">
      <w:pPr>
        <w:pStyle w:val="Paragrafi"/>
        <w:rPr>
          <w:b/>
          <w:lang w:val="sq-AL"/>
        </w:rPr>
      </w:pPr>
      <w:r w:rsidRPr="007C6D62">
        <w:rPr>
          <w:b/>
          <w:lang w:val="sq-AL"/>
        </w:rPr>
        <w:t xml:space="preserve">36. Pika 119 ndryshon në përmbajtje si më poshtë: </w:t>
      </w:r>
    </w:p>
    <w:p w:rsidR="00A06349" w:rsidRPr="003E1FCC" w:rsidRDefault="00A06349" w:rsidP="00A06349">
      <w:pPr>
        <w:spacing w:after="0" w:line="240" w:lineRule="auto"/>
        <w:contextualSpacing/>
        <w:rPr>
          <w:rFonts w:ascii="Garamond" w:hAnsi="Garamond"/>
          <w:spacing w:val="-4"/>
          <w:sz w:val="24"/>
          <w:szCs w:val="24"/>
          <w:lang w:val="sq-AL"/>
        </w:rPr>
      </w:pPr>
      <w:r w:rsidRPr="003E1FCC">
        <w:rPr>
          <w:rFonts w:ascii="Garamond" w:eastAsia="Times New Roman" w:hAnsi="Garamond"/>
          <w:spacing w:val="-4"/>
          <w:sz w:val="24"/>
          <w:szCs w:val="24"/>
          <w:lang w:val="sq-AL"/>
        </w:rPr>
        <w:t>“</w:t>
      </w:r>
      <w:r w:rsidRPr="003E1FCC">
        <w:rPr>
          <w:rFonts w:ascii="Garamond" w:hAnsi="Garamond"/>
          <w:spacing w:val="-4"/>
          <w:sz w:val="24"/>
          <w:szCs w:val="24"/>
          <w:lang w:val="sq-AL"/>
        </w:rPr>
        <w:t xml:space="preserve">119.1 Organet tatimore kanë të drejtë të kontrollojnë tatimpaguesit, punëdhënësin ose të vetëpunësuar për të verifikuar nëse deklarimet dhe pagesat e detyrimeve tatimore, si dhe ato të kontributeve të detyrueshme të sigurimeve shoqërore e shëndetësore janë të plota dhe të sakta dhe në përputhje me kërkesat e legjislacionit tatimor. </w:t>
      </w:r>
    </w:p>
    <w:p w:rsidR="00A06349" w:rsidRPr="003E1FCC" w:rsidRDefault="00A06349" w:rsidP="00A06349">
      <w:pPr>
        <w:spacing w:after="0" w:line="240" w:lineRule="auto"/>
        <w:contextualSpacing/>
        <w:rPr>
          <w:rFonts w:ascii="Garamond" w:hAnsi="Garamond"/>
          <w:spacing w:val="-4"/>
          <w:sz w:val="24"/>
          <w:szCs w:val="24"/>
          <w:lang w:val="sq-AL"/>
        </w:rPr>
      </w:pPr>
      <w:r w:rsidRPr="003E1FCC">
        <w:rPr>
          <w:rFonts w:ascii="Garamond" w:hAnsi="Garamond"/>
          <w:spacing w:val="-4"/>
          <w:sz w:val="24"/>
          <w:szCs w:val="24"/>
          <w:lang w:val="sq-AL"/>
        </w:rPr>
        <w:t>Të gjithë tatimpaguesit duhet të deklarojnë në organin tatimor përkatës të punësuarit (përfshirë dhe punonjësit e papaguar të familjes së personit fizik me të cilët ai punon e bashkëjeton ligjërisht), që fillojnë punë për herë të parë ose të punësuar rishtazi pranë tij duke plotësuar të dhënat e kërkuara për secilin prej tyre sipas formularëve përkatës. Ky deklarim duhet të bëhet të paktën një ditë kalendarike përpara fillimit të punës së të punësuarve. Në mbështetje të nenit 119 të ligjit nr. 9920, datë 19.5.2008 “Për procedurat tatimore në Republikën e Shqipërisë”, punonjësit e administratës tatimore, të autorizuar me shkrim, kryejnë verifikime e kontrolle në vendndodhjen e biznesit lidhur me deklarimin e të punësuarve, të të vetëpunësuarëve, të punonjësve të papaguar të familjes, numrit të punonjësve.</w:t>
      </w:r>
    </w:p>
    <w:p w:rsidR="00A06349" w:rsidRPr="003E1FCC" w:rsidRDefault="00A06349" w:rsidP="00A06349">
      <w:pPr>
        <w:spacing w:after="0" w:line="240" w:lineRule="auto"/>
        <w:contextualSpacing/>
        <w:rPr>
          <w:rFonts w:ascii="Garamond" w:hAnsi="Garamond"/>
          <w:spacing w:val="-4"/>
          <w:sz w:val="24"/>
          <w:szCs w:val="24"/>
          <w:lang w:val="sq-AL"/>
        </w:rPr>
      </w:pPr>
      <w:r w:rsidRPr="003E1FCC">
        <w:rPr>
          <w:rFonts w:ascii="Garamond" w:hAnsi="Garamond"/>
          <w:spacing w:val="-4"/>
          <w:sz w:val="24"/>
          <w:szCs w:val="24"/>
          <w:lang w:val="sq-AL"/>
        </w:rPr>
        <w:t xml:space="preserve">Nëse nga verifikimi dhe kontrolli në vendndodhjen e biznesit rezulton se tatimpaguesi nuk ka deklaruar në organin tatimor çdo të punësuar rishtazi, të paktën një ditë kalendarike përpara fillimit të punës, përveç detyrimit për pagimin e shumës së detyrimeve tatimore dhe kontributeve të sigurimeve shoqërore e shëndetësore, të llogaritura nga data e konstatimit, dënohet me gjobë për çdo punonjës të padeklaruar: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a) tatimpaguesit e regjistruar si subjekte të tatimit mbi vlerën e shtuar dhe tatimit mbi fitimin, me gjobë prej 200 000 (dyqind mijë) lekësh;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b) tatimpaguesit e tjerë, me gjobë prej 50 000 (pesëdhjetë mijë) lekësh. </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Numërimi i konstatimeve dhe zbatimi i penaliteteve të ndryshuara në nenin 119, zbatohen nga data e hyrjes në fuqi të ndryshimeve të këtij neni me ligjin nr. 112/2016, datë 15.11.2016.</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119.2 Kjo gjobë nuk aplikohet në rastin kur nga verifikimi dhe kontrolli në vendndodhjen e aktivitetit të personit fizik të vetëpunësuar, evidentohen persona mbi 16 vjeç, të cilët kategorizohen si persona të papaguar të familjes. Evidentimi i personit të papaguar të familjes bëhet nëpërmjet kartës së identitetit, lejes së drejtimit të automjetit apo pasaportës. Në rast se personi nuk disponon asnjë mjet identifikimi në momentin e konstatimit atëherë punonjësi i tatimeve pasqyron në akt konstatimin përkatës të dhënat e identiteti të tij, përkatësisht emri, atësia, mbiemri dhe ditëlindja.</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Në këtë rast, pas konstatimit, tatimpaguesit përkatës i lihet kohë deri në 5 ditë kalendarike që të vërtetojë pranë organit tatimor se personi i evidentuar në vendin e aktivitetit është person i papaguar i familjes ose që bashkëjeton ligjërisht me të vetëpunësuarin, sipas kuptimit në Kodin Civil.</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hAnsi="Garamond"/>
          <w:spacing w:val="-4"/>
          <w:sz w:val="24"/>
          <w:szCs w:val="24"/>
          <w:lang w:val="sq-AL"/>
        </w:rPr>
        <w:t>Si dokument që vërteton se personi është person i papaguar i familjes së personit fizik të vetëpunësuar shërben certifikata familjare e të vetëpunësuarit.</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119.3 Organet tatimore kontrollojnë punëdhënësin për të verifikuar nëse deklarimet dhe pagesat e detyrimeve tatimore, si dhe të kontributeve të detyrueshme të sigurimeve shoqërore e shëndetësore janë të plota dhe të sakta lidhur me deklarimin e pagës reale. Gjatë këtij procesi, organet tatimore mund të kërkojnë bashkëpunimin me Inspektoratin Shtetëror të Punës. Për vlerësimin e pagës reale të punonjësve të një tatimpaguesi, organet tatimore zbatojnë metodat alternative të vlerësimit bazuar në nenin 72 të ligjit për procedurat tatimore.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lastRenderedPageBreak/>
        <w:t>Nëse nga verifikimi dhe kontrolli rezulton se tatimpaguesi ka fshehur dhe nuk ka deklaruar pagën e saktë të përfituar nga punëmarrësi, si rezultat i marrëdhënies së punësimit, tatimpaguesi punëdhënës, përveç detyrimit për pagimin e shumës së detyrimit tatimor dhe kontributit të sigurimeve shoqërore dhe shëndetësore, të llogaritur për gjithë periudhën që provohet se është kryer shkelja, dënohet me gjobë në masën 100 për qind të detyrimit dhe kontributit të llogaritur.”</w:t>
      </w:r>
    </w:p>
    <w:p w:rsidR="00A06349" w:rsidRPr="003E1FCC" w:rsidRDefault="00A06349" w:rsidP="00A06349">
      <w:pPr>
        <w:pStyle w:val="ListParagraph"/>
        <w:spacing w:after="0" w:line="240" w:lineRule="auto"/>
        <w:ind w:left="284"/>
        <w:jc w:val="both"/>
        <w:rPr>
          <w:rFonts w:ascii="Garamond" w:hAnsi="Garamond"/>
          <w:spacing w:val="-4"/>
          <w:sz w:val="24"/>
          <w:szCs w:val="24"/>
          <w:lang w:val="sq-AL"/>
        </w:rPr>
      </w:pPr>
      <w:r w:rsidRPr="003E1FCC">
        <w:rPr>
          <w:rFonts w:ascii="Garamond" w:eastAsia="Calibri" w:hAnsi="Garamond"/>
          <w:spacing w:val="-4"/>
          <w:sz w:val="24"/>
          <w:szCs w:val="24"/>
          <w:lang w:val="sq-AL"/>
        </w:rPr>
        <w:t xml:space="preserve">37. </w:t>
      </w:r>
      <w:r w:rsidRPr="003E1FCC">
        <w:rPr>
          <w:rFonts w:ascii="Garamond" w:hAnsi="Garamond"/>
          <w:spacing w:val="-4"/>
          <w:sz w:val="24"/>
          <w:szCs w:val="24"/>
          <w:lang w:val="sq-AL"/>
        </w:rPr>
        <w:t xml:space="preserve">Pika 119/1 hiqet. </w:t>
      </w:r>
    </w:p>
    <w:p w:rsidR="00A06349" w:rsidRPr="003E1FCC" w:rsidRDefault="00A06349" w:rsidP="00A06349">
      <w:pPr>
        <w:pStyle w:val="ListParagraph"/>
        <w:tabs>
          <w:tab w:val="left" w:pos="270"/>
        </w:tabs>
        <w:spacing w:after="0" w:line="240" w:lineRule="auto"/>
        <w:ind w:left="284"/>
        <w:jc w:val="both"/>
        <w:rPr>
          <w:rFonts w:ascii="Garamond" w:hAnsi="Garamond"/>
          <w:b/>
          <w:spacing w:val="-4"/>
          <w:sz w:val="24"/>
          <w:szCs w:val="24"/>
          <w:lang w:val="sq-AL"/>
        </w:rPr>
      </w:pPr>
      <w:r w:rsidRPr="003E1FCC">
        <w:rPr>
          <w:rFonts w:ascii="Garamond" w:eastAsia="Batang" w:hAnsi="Garamond"/>
          <w:spacing w:val="-4"/>
          <w:sz w:val="24"/>
          <w:szCs w:val="24"/>
          <w:lang w:val="sq-AL"/>
        </w:rPr>
        <w:t xml:space="preserve">38. </w:t>
      </w:r>
      <w:r w:rsidRPr="003E1FCC">
        <w:rPr>
          <w:rFonts w:ascii="Garamond" w:hAnsi="Garamond"/>
          <w:b/>
          <w:spacing w:val="-4"/>
          <w:sz w:val="24"/>
          <w:szCs w:val="24"/>
          <w:lang w:val="sq-AL"/>
        </w:rPr>
        <w:t>Në pikën 121, bëhen këto ndryshime:</w:t>
      </w:r>
    </w:p>
    <w:p w:rsidR="00A06349" w:rsidRPr="003E1FCC" w:rsidRDefault="00A06349" w:rsidP="00A06349">
      <w:pPr>
        <w:pStyle w:val="ListParagraph"/>
        <w:numPr>
          <w:ilvl w:val="0"/>
          <w:numId w:val="29"/>
        </w:numPr>
        <w:tabs>
          <w:tab w:val="left" w:pos="270"/>
        </w:tabs>
        <w:spacing w:after="0" w:line="240" w:lineRule="auto"/>
        <w:ind w:left="0" w:firstLine="284"/>
        <w:jc w:val="both"/>
        <w:rPr>
          <w:rFonts w:ascii="Garamond" w:hAnsi="Garamond"/>
          <w:b/>
          <w:spacing w:val="-4"/>
          <w:sz w:val="24"/>
          <w:szCs w:val="24"/>
          <w:lang w:val="sq-AL"/>
        </w:rPr>
      </w:pPr>
      <w:r w:rsidRPr="003E1FCC">
        <w:rPr>
          <w:rFonts w:ascii="Garamond" w:hAnsi="Garamond"/>
          <w:spacing w:val="-4"/>
          <w:sz w:val="24"/>
          <w:szCs w:val="24"/>
          <w:lang w:val="sq-AL"/>
        </w:rPr>
        <w:t xml:space="preserve"> Pika 121.1 zëvendësohet me këtë përmbajtje: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w:t>
      </w:r>
      <w:r w:rsidRPr="003E1FCC">
        <w:rPr>
          <w:rFonts w:ascii="Garamond" w:eastAsia="Times New Roman" w:hAnsi="Garamond"/>
          <w:spacing w:val="-4"/>
          <w:sz w:val="24"/>
          <w:szCs w:val="24"/>
          <w:lang w:val="sq-AL"/>
        </w:rPr>
        <w:t xml:space="preserve">121.1 </w:t>
      </w:r>
      <w:r w:rsidRPr="003E1FCC">
        <w:rPr>
          <w:rFonts w:ascii="Garamond" w:hAnsi="Garamond"/>
          <w:spacing w:val="-4"/>
          <w:sz w:val="24"/>
          <w:szCs w:val="24"/>
          <w:lang w:val="sq-AL"/>
        </w:rPr>
        <w:t>Për tatimpaguesin që mban në ruajtje, përdor ose transporton mallra të pashoqëruara me dokumente tatimore, në përputhje me dispozitat e ligjit, aplikohen masat dhe dënimet si më poshtë:</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a) Tatimpaguesit të tatimit të thjeshtuar të fitimit, që nuk është i regjistruar për TVSH-në, menjëherë në momentin e konstatimit i ndryshohet përgjegjësia tatimore duke kaluar si tatimpagues i TVSH-së. Për qëllim të konstatimit të mosdokumentimit të mallit detyrohet të lëshojë faturë, sipas nenit 53, të këtij ligji, me qëllim dokumentimin e mallit dhe aplikohet dënim, sipas pikës 1, të nenit 124, të ligjit.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b) Tatimpaguesi i regjistruar për TVSH-në detyrohet të dokumentojë mallin duke lëshuar faturë tatimore, sipas nenit 53, të këtij ligji. Për qëllim të konstatimit të mosdokumentimit të mallit i kryhet rivlerësim i shitjeve në të njëjtën vlerë me vlerën e tregut të mallit të padokumentuar dhe aplikohet dënim, sipas pikës 1, të nenit 124, të ligjit.</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Në asnjë rast, në faturën e lëshuar sipas nenit 53 të ligjit për qëllime të dokumentimit të mallit, nuk llogaritet TVSH-ja në faturë. Kjo faturë ka për qëllim dokumentimin e mallit të konstatuar të padokumentuar.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Nëse tatimpaguesi që konstatohet se kryen shkeljen, është tatimpagues i tatimit të Thjeshtuar mbi Fitimin dhe faturat që ka në përdorim janë fatura të thjeshta tatimore (jo me TVSH) ai lëshon një faturë të thjeshtë tatimore për të dokumentuar mallin. Kjo faturë i bashkëngjitet akt konstatimit dhe procesverbalit përkatës dhe një kopje ruhet nga tatimpaguesi.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Në këtë fature shënohet numri dhe data e akt konstatimit dhe procesverbalit përkatës, në mënyrë që të identifikohet që kjo faturë është lëshuar sipas kësaj pike të udhëzimit.</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Ky tatimpagues pajiset me fatura tatimore me TVSH sapo i aktivizohet përgjegjësia për TVSH-në.</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Nëse tatimpaguesi që konstatohet se ka kryer shkeljen është i regjistruar për TVSH-në dhe përdor faturat tatimore me TVSH-në, fatura që lëshohet për të dokumentuar mallin sipas këtij neni është faturë me TVSH-në, por pa llogaritur TVSH-në.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 Kjo faturë nuk është dokument për njohjen si shpenzim i zbritshëm, për sa është një dokument i lëshuar në kushtet e shkeljes së konstatuar. Në faturë përveç të dhënave identifikuese, datës, numrit të akt konstatimit dhe procesverbalit përkatës duhet të evidentohet qartë përshkrimi i mallit dhe sasia e tij. </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Për zbatimin e dënimeve sipas kësaj dispozite punonjësit e administratës tatimore duhet të evidentojnë me saktësi faktin që mallrat janë pa dokumentacionin e kërkuar dhe se këto mungesa kanë shkaktuar ose kanë për qëllim shmangien e tatimeve, duke pasur parasysh edhe dispozitat e pikës 58 të këtij udhëzimi.”</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pikat 121.2, dhe 121.3, shfuqizohen;</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në pikën 121.4 fjalia e parë zëvendësohet me këtë përmbajtje:</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hAnsi="Garamond"/>
          <w:spacing w:val="-4"/>
          <w:sz w:val="24"/>
          <w:szCs w:val="24"/>
          <w:lang w:val="sq-AL"/>
        </w:rPr>
        <w:t>“Personi i identifikuar i paregjistruar, në kuptim të nenit 41 të ligjit, për sasinë e mallit që mban në ruajtje, përdor ose transporton, dënohet sipas shkronjës “b”, të pikës 1, të nenit 121 të ligjit</w:t>
      </w:r>
      <w:r w:rsidRPr="003E1FCC">
        <w:rPr>
          <w:rFonts w:ascii="Garamond" w:eastAsia="Times New Roman" w:hAnsi="Garamond"/>
          <w:spacing w:val="-4"/>
          <w:sz w:val="24"/>
          <w:szCs w:val="24"/>
          <w:lang w:val="sq-AL"/>
        </w:rPr>
        <w:t>.”</w:t>
      </w:r>
    </w:p>
    <w:p w:rsidR="00A06349" w:rsidRPr="003E1FCC" w:rsidRDefault="00A06349" w:rsidP="00A06349">
      <w:pPr>
        <w:pStyle w:val="ListParagraph"/>
        <w:numPr>
          <w:ilvl w:val="1"/>
          <w:numId w:val="19"/>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Pikat 121.5 dhe 121.6, hiqen</w:t>
      </w:r>
    </w:p>
    <w:p w:rsidR="00A06349" w:rsidRPr="004102E9" w:rsidRDefault="00A06349" w:rsidP="00A06349">
      <w:pPr>
        <w:pStyle w:val="Paragrafi"/>
        <w:rPr>
          <w:b/>
          <w:lang w:val="sq-AL"/>
        </w:rPr>
      </w:pPr>
      <w:r w:rsidRPr="004102E9">
        <w:rPr>
          <w:rFonts w:eastAsia="Batang"/>
          <w:b/>
          <w:lang w:val="sq-AL"/>
        </w:rPr>
        <w:t xml:space="preserve">39. </w:t>
      </w:r>
      <w:r w:rsidRPr="004102E9">
        <w:rPr>
          <w:b/>
          <w:lang w:val="sq-AL"/>
        </w:rPr>
        <w:t>Në paragrafin 122 bëhen këto ndryshime:</w:t>
      </w:r>
    </w:p>
    <w:p w:rsidR="00A06349" w:rsidRPr="003E1FCC" w:rsidRDefault="00A06349" w:rsidP="00A06349">
      <w:pPr>
        <w:pStyle w:val="ListParagraph"/>
        <w:numPr>
          <w:ilvl w:val="1"/>
          <w:numId w:val="19"/>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pikën 122.1 fjalia e parë ndryshon me këtë përmbajtje:</w:t>
      </w:r>
    </w:p>
    <w:p w:rsidR="00A06349" w:rsidRPr="003E1FCC" w:rsidRDefault="00A06349" w:rsidP="00A06349">
      <w:pPr>
        <w:spacing w:after="0" w:line="240" w:lineRule="auto"/>
        <w:contextualSpacing/>
        <w:rPr>
          <w:rFonts w:ascii="Garamond" w:eastAsia="Times New Roman" w:hAnsi="Garamond"/>
          <w:spacing w:val="-4"/>
          <w:sz w:val="24"/>
          <w:szCs w:val="24"/>
          <w:lang w:val="sq-AL"/>
        </w:rPr>
      </w:pPr>
      <w:r w:rsidRPr="003E1FCC">
        <w:rPr>
          <w:rFonts w:ascii="Garamond" w:hAnsi="Garamond"/>
          <w:spacing w:val="-4"/>
          <w:sz w:val="24"/>
          <w:szCs w:val="24"/>
          <w:lang w:val="sq-AL"/>
        </w:rPr>
        <w:t>“Tatimpaguesi, person juridik ose fizik, tregtar, i cili detyrohet të përdorë pajisjen fiskale ose sistemet e monitorimit të qarkullimit, në përputhje me përcaktimet e ligjit për procedurat tatimore, dënohet në rast se : </w:t>
      </w:r>
      <w:r w:rsidRPr="003E1FCC">
        <w:rPr>
          <w:rFonts w:ascii="Garamond" w:eastAsia="Times New Roman" w:hAnsi="Garamond"/>
          <w:spacing w:val="-4"/>
          <w:sz w:val="24"/>
          <w:szCs w:val="24"/>
          <w:lang w:val="sq-AL"/>
        </w:rPr>
        <w:t>”</w:t>
      </w:r>
    </w:p>
    <w:p w:rsidR="00A06349" w:rsidRPr="003E1FCC" w:rsidRDefault="00A06349" w:rsidP="00A06349">
      <w:pPr>
        <w:pStyle w:val="ListParagraph"/>
        <w:numPr>
          <w:ilvl w:val="1"/>
          <w:numId w:val="19"/>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germën “a” të pikës 122.1, përmbajtja e nën pikës “ii” zëvendësohet me këtë përmbajtje:</w:t>
      </w:r>
    </w:p>
    <w:p w:rsidR="00A06349" w:rsidRPr="003E1FCC" w:rsidRDefault="00A06349" w:rsidP="00A06349">
      <w:pPr>
        <w:spacing w:after="0" w:line="240" w:lineRule="auto"/>
        <w:contextualSpacing/>
        <w:rPr>
          <w:rFonts w:ascii="Garamond" w:hAnsi="Garamond"/>
          <w:spacing w:val="-4"/>
          <w:sz w:val="24"/>
          <w:szCs w:val="24"/>
          <w:lang w:val="sq-AL"/>
        </w:rPr>
      </w:pPr>
      <w:r w:rsidRPr="003E1FCC">
        <w:rPr>
          <w:rFonts w:ascii="Garamond" w:eastAsia="Times New Roman" w:hAnsi="Garamond"/>
          <w:spacing w:val="-4"/>
          <w:sz w:val="24"/>
          <w:szCs w:val="24"/>
          <w:lang w:val="sq-AL"/>
        </w:rPr>
        <w:t xml:space="preserve">“ii) </w:t>
      </w:r>
      <w:r w:rsidRPr="003E1FCC">
        <w:rPr>
          <w:rFonts w:ascii="Garamond" w:hAnsi="Garamond"/>
          <w:spacing w:val="-4"/>
          <w:sz w:val="24"/>
          <w:szCs w:val="24"/>
          <w:lang w:val="sq-AL"/>
        </w:rPr>
        <w:t>nëse pas verifikimit të parë, sipas nënndarjes “i”, të germës “a” , konstatohet se tatimpaguesi vazhdon të mos e instalojë pajisjen fiskale për regjistrimin e pagesave me para në dorë ose sistemin e monitorimit të qarkullimit, merret masa e bllokimit të veprimtarisë në vendin ku është konstatuar shkelja për 15 ditë kalendarike. Nëse tatimpaguesi, brenda këtij afati, nuk instalon pajisjen fiskale në vendin ku është konstatuar shkelja, masa e bllokimit shtyhet deri në instalimin e pajisjes fiskale. Në rastin kur situata nuk është rregulluar brenda 15 ditëve, tatimpaguesit i publikohen emri, NIPT-i dhe emri i përfaqësuesit të biznesit, në faqen zyrtare të internetit të Drejtorisë së Përgjithshme të Tatimeve. Këto të dhëna të tatimpaguesit mbahen të publikuara nga administrata tatimore deri në momentin e instalimit të pajisjes fiskale ose sistemit të monitorimit të qarkullimit”.</w:t>
      </w:r>
    </w:p>
    <w:p w:rsidR="00A06349" w:rsidRPr="003E1FCC" w:rsidRDefault="00A06349" w:rsidP="00A06349">
      <w:pPr>
        <w:pStyle w:val="Paragrafi"/>
        <w:rPr>
          <w:spacing w:val="-4"/>
          <w:lang w:val="sq-AL"/>
        </w:rPr>
      </w:pPr>
      <w:r w:rsidRPr="003E1FCC">
        <w:rPr>
          <w:spacing w:val="-4"/>
          <w:lang w:val="sq-AL"/>
        </w:rPr>
        <w:lastRenderedPageBreak/>
        <w:t>- germat “b”, “c”, “ç” dhe “d” zëvendësohen me këtë përmbajtje:</w:t>
      </w:r>
    </w:p>
    <w:p w:rsidR="00A06349" w:rsidRPr="003E1FCC" w:rsidRDefault="00A06349" w:rsidP="00A06349">
      <w:pPr>
        <w:pStyle w:val="Paragrafi"/>
        <w:rPr>
          <w:rFonts w:eastAsiaTheme="minorHAnsi"/>
          <w:spacing w:val="-4"/>
          <w:lang w:val="sq-AL"/>
        </w:rPr>
      </w:pPr>
      <w:r w:rsidRPr="003E1FCC">
        <w:rPr>
          <w:spacing w:val="-4"/>
          <w:lang w:val="sq-AL"/>
        </w:rPr>
        <w:t>“</w:t>
      </w:r>
      <w:r w:rsidRPr="003E1FCC">
        <w:rPr>
          <w:rFonts w:eastAsiaTheme="minorHAnsi"/>
          <w:spacing w:val="-4"/>
          <w:lang w:val="sq-AL"/>
        </w:rPr>
        <w:t xml:space="preserve">b) nuk lëshon kupon tatimor për të dokumentuar qarkullimin e realizuar të mallrave apo të shërbimeve për: </w:t>
      </w:r>
    </w:p>
    <w:p w:rsidR="00A06349" w:rsidRPr="003E1FCC" w:rsidRDefault="00A06349" w:rsidP="00A06349">
      <w:pPr>
        <w:pStyle w:val="Paragrafi"/>
        <w:rPr>
          <w:spacing w:val="-4"/>
          <w:lang w:val="sq-AL"/>
        </w:rPr>
      </w:pPr>
      <w:r w:rsidRPr="003E1FCC">
        <w:rPr>
          <w:spacing w:val="-4"/>
          <w:lang w:val="sq-AL"/>
        </w:rPr>
        <w:t xml:space="preserve">i) konstatimin (verifikimin) e kryer, me gjobë në masën 50 000 (pesëdhjetë mijë) lekë dhe përveç masës së gjobës për tatimpaguesit e regjistruar për TVSH-në bëhet vlerësim tatimor për tre muajt e fundit, duke përdorur metodat alternative, të parashikuara në nenet 71 dhe 72 të këtij ligji; </w:t>
      </w:r>
    </w:p>
    <w:p w:rsidR="00A06349" w:rsidRPr="003E1FCC" w:rsidRDefault="00A06349" w:rsidP="00A06349">
      <w:pPr>
        <w:pStyle w:val="Paragrafi"/>
        <w:rPr>
          <w:rFonts w:eastAsia="Times New Roman"/>
          <w:spacing w:val="-4"/>
          <w:lang w:val="sq-AL"/>
        </w:rPr>
      </w:pPr>
      <w:r w:rsidRPr="003E1FCC">
        <w:rPr>
          <w:spacing w:val="-4"/>
          <w:lang w:val="sq-AL"/>
        </w:rPr>
        <w:t>ii) konstatimin (verifikimin) tjetër pas konstatimit të parë, sipas nënndarjes “i”, të kësaj shkronje, nëse tatimpaguesi vazhdon të mos e lëshojë kuponin tatimor për të dokumentuar qarkullimin e realizuar të mallrave apo të shërbimeve, përveç aplikimit të dënimit si në nënndarjen “i”, dhe në këtë rast merret masa e bllokimit të veprimtarisë në vendin ku është konstatuar shkelja për 30 ditë kalendarike</w:t>
      </w:r>
      <w:r w:rsidRPr="003E1FCC">
        <w:rPr>
          <w:rFonts w:eastAsia="Times New Roman"/>
          <w:spacing w:val="-4"/>
          <w:lang w:val="sq-AL"/>
        </w:rPr>
        <w:t xml:space="preserve">; </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hAnsi="Garamond"/>
          <w:spacing w:val="-4"/>
          <w:sz w:val="24"/>
          <w:szCs w:val="24"/>
          <w:lang w:val="sq-AL"/>
        </w:rPr>
        <w:t>iii) çdo konstatim të përsëritur të moslëshimit të kuponit tatimor, pas dy konstatimeve të sipërpërmendura, përveç aplikimit të dënimit, si në nënndarjen “i”, konsiderohet evazion tatimor sipas pikës 2, të nenit 116, të këtij ligji. Gjithashtu, publikohen emri i tatimpaguesit, NIPT-i dhe emri i përfaqësuesit të biznesit në faqen zyrtare të internetit të Drejtorisë së Përgjithshme të Tatimeve;</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hAnsi="Garamond"/>
          <w:spacing w:val="-4"/>
          <w:sz w:val="24"/>
          <w:szCs w:val="24"/>
          <w:lang w:val="sq-AL"/>
        </w:rPr>
        <w:t>c) lëshon një kupon tatimor/dëftesë tatimore /biletë, me vlerë të parashtypur, që nuk përmban elementet e përcaktuara në këtë ligj dhe në aktet nënligjore, për kuponin tatimor/dëftesën tatimore/biletën me vlerë të parashtypur, me gjobë, në masën 50 000 (pesëdhjetë mijë) lekë;</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hAnsi="Garamond"/>
          <w:spacing w:val="-4"/>
          <w:sz w:val="24"/>
          <w:szCs w:val="24"/>
          <w:lang w:val="sq-AL"/>
        </w:rPr>
        <w:t>ç) lëshon kupon tatimor/dëftesë tatimore, ku ka shënuar një vlerë të ndryshme nga vlera e furnizimit ose e çmimit të afishuar, me gjobë në masën 50 000 (pesëdhjetë mijë) lekë</w:t>
      </w:r>
      <w:r w:rsidRPr="003E1FCC">
        <w:rPr>
          <w:rFonts w:ascii="Garamond" w:eastAsia="Times New Roman" w:hAnsi="Garamond"/>
          <w:spacing w:val="-4"/>
          <w:sz w:val="24"/>
          <w:szCs w:val="24"/>
          <w:lang w:val="sq-AL"/>
        </w:rPr>
        <w:t>;</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d) nuk afishon në një vend të dukshëm një poster që tregon detyrimin e blerësit të mallrave apo të përfituesit të shërbimit për të kërkuar kupon tatimor, si dhe të drejtën e blerësit për të mos paguar për mallrat dhe shërbimet e blera në zbatim të pikës 3, të nenit 46, të këtij ligji, me gjobë në masën 50 000 (pesëdhjetë mijë) lekë, për secilën nga kërkesat në këtë paragraf;</w:t>
      </w:r>
    </w:p>
    <w:p w:rsidR="00A06349" w:rsidRPr="003E1FCC" w:rsidRDefault="00A06349" w:rsidP="00A06349">
      <w:pPr>
        <w:numPr>
          <w:ilvl w:val="1"/>
          <w:numId w:val="19"/>
        </w:numPr>
        <w:spacing w:after="0" w:line="240" w:lineRule="auto"/>
        <w:ind w:firstLine="284"/>
        <w:contextualSpacing/>
        <w:jc w:val="both"/>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 germa “e”, shfuqizohet.</w:t>
      </w:r>
    </w:p>
    <w:p w:rsidR="00A06349" w:rsidRPr="003E1FCC" w:rsidRDefault="00A06349" w:rsidP="00A06349">
      <w:pPr>
        <w:pStyle w:val="ListParagraph"/>
        <w:numPr>
          <w:ilvl w:val="1"/>
          <w:numId w:val="19"/>
        </w:numPr>
        <w:autoSpaceDE w:val="0"/>
        <w:autoSpaceDN w:val="0"/>
        <w:adjustRightInd w:val="0"/>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fjalia e fundit e pikës 122.1, pas shkronjës “h ” ndryshon me këtë përmbajtje:</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“Numërimi i konstatimeve dhe zbatimi i penaliteteve të ndryshuara në nenin 122, zbatohen nga data e hyrjes në fuqi të ndryshimeve të këtij neni me ligjin nr. 112/2016, datë 15.11.2016”.</w:t>
      </w:r>
    </w:p>
    <w:p w:rsidR="00A06349" w:rsidRPr="003E1FCC" w:rsidRDefault="00A06349" w:rsidP="00A06349">
      <w:pPr>
        <w:pStyle w:val="ListParagraph"/>
        <w:numPr>
          <w:ilvl w:val="1"/>
          <w:numId w:val="19"/>
        </w:numPr>
        <w:autoSpaceDE w:val="0"/>
        <w:autoSpaceDN w:val="0"/>
        <w:adjustRightInd w:val="0"/>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në pikën 122.1, hiqet shkronja “d.1”.</w:t>
      </w:r>
    </w:p>
    <w:p w:rsidR="00A06349" w:rsidRPr="003E1FCC" w:rsidRDefault="00A06349" w:rsidP="00A06349">
      <w:pPr>
        <w:pStyle w:val="ListParagraph"/>
        <w:numPr>
          <w:ilvl w:val="1"/>
          <w:numId w:val="19"/>
        </w:numPr>
        <w:spacing w:after="0" w:line="240" w:lineRule="auto"/>
        <w:ind w:left="0" w:firstLine="284"/>
        <w:jc w:val="both"/>
        <w:rPr>
          <w:rFonts w:ascii="Garamond" w:hAnsi="Garamond"/>
          <w:spacing w:val="-4"/>
          <w:sz w:val="24"/>
          <w:szCs w:val="24"/>
          <w:lang w:val="sq-AL"/>
        </w:rPr>
      </w:pPr>
      <w:r w:rsidRPr="003E1FCC">
        <w:rPr>
          <w:rFonts w:ascii="Garamond" w:hAnsi="Garamond"/>
          <w:spacing w:val="-4"/>
          <w:sz w:val="24"/>
          <w:szCs w:val="24"/>
          <w:lang w:val="sq-AL"/>
        </w:rPr>
        <w:t xml:space="preserve"> Pika 122.4, ndryshon në përmbajtje si më poshtë:</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 Në rast se një tatimpaguesi i është bllokuar veprimtaria nga administrata tatimore dhe ai prish shenjat dalluese të vendosura për bllokim të veprimtarisë, atij i konfiskohet e gjithë sasia e mallit. Për këtë qëllim, grupi i kontrolli pasi bën </w:t>
      </w:r>
      <w:r w:rsidRPr="003E1FCC">
        <w:rPr>
          <w:rFonts w:ascii="Garamond" w:eastAsia="Times New Roman" w:hAnsi="Garamond"/>
          <w:spacing w:val="-4"/>
          <w:sz w:val="24"/>
          <w:szCs w:val="24"/>
          <w:lang w:val="sq-AL"/>
        </w:rPr>
        <w:t xml:space="preserve">inventarizimin e mallrave dhe evidentimin e tyre në procesverbalin përkatës, mban gjithashtu aktin për konfiskimin e mallrave. </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Në rastin e konfiskimeve në përgjithësi dhe sidomos në rastin e konfiskimit të mallrave që prishen si, ushqime, fruta-perime, produkte bujqësore dhe blegtorale etj., apo që kanë afat të afërt skadence, mund të zbatohet riblerja në vlerë e tyre nga personi i tatueshëm. Për këtë qëllim, grupi i kontrollit i paraqet drejtorit të Drejtorisë Rajonale të Tatimeve të juridiksionit ku është kryer shkelja procesverbalin përkatës brenda 12 orësh nga plotësimi i tij. Drejtori i drejtorisë rajonale, brenda 24 orësh, nxjerr vendimin e vlerësimit në lekë të mallit të konfiskuar me vlerën e tregut të mallit. Vlerësimi kryhet nga një komision i përhershëm i Drejtorisë Rajonale të Tatimeve, i përbërë nga jo më pak se 4 punonjës, i ngritur për këtë qëllim me urdhër të drejtorit të drejtorisë rajonale. Për vlerësimin e vleftës se mallrave zbatohen dispozitat e pikës 51.3 të këtij udhëzimi. </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Vendimi për vlerësimin e mallit të konfiskuar i jepet tatimpaguesit përkatës i cili duhet të paguaje detyrimin brenda ditës së parë të punës pas marrjes së tij. Pagesa bëhet në llogarinë e Drejtorisë Rajonale të Tatimeve të juridiksionit. Malli i konfiskuar lirohet vetëm pasi të jetë dorëzuar dokumenti që vërteton pagesën e vlerës së tij. Në dokumentacionin e konfiskimit, do të depozitohet një kopje e dokumentit të pagesës së vlerës së mallit të konfiskuar.</w:t>
      </w:r>
    </w:p>
    <w:p w:rsidR="00A06349" w:rsidRPr="003E1FCC" w:rsidRDefault="00A06349" w:rsidP="00A06349">
      <w:pPr>
        <w:tabs>
          <w:tab w:val="left" w:pos="480"/>
        </w:tabs>
        <w:spacing w:after="0" w:line="240" w:lineRule="auto"/>
        <w:rPr>
          <w:rFonts w:ascii="Garamond" w:eastAsia="Times New Roman" w:hAnsi="Garamond"/>
          <w:spacing w:val="-4"/>
          <w:sz w:val="24"/>
          <w:szCs w:val="24"/>
          <w:lang w:val="sq-AL"/>
        </w:rPr>
      </w:pPr>
      <w:r w:rsidRPr="003E1FCC">
        <w:rPr>
          <w:rFonts w:ascii="Garamond" w:hAnsi="Garamond"/>
          <w:spacing w:val="-4"/>
          <w:sz w:val="24"/>
          <w:szCs w:val="24"/>
          <w:lang w:val="sq-AL"/>
        </w:rPr>
        <w:t>Në qoftë së tatimpaguesi përkatës nuk ushtron mundësinë e riblerjes së mallit brenda 12 orësh nga plotësimi i procesverbalit nga grupi i kontrollit ose nuk bën pagesën sipas afatit të përcaktuar në këtë pikë të udhëzimit për qëllime të riblerjes së mallit, atëherë malli i konfiskuar, do t'i kalojë për administrim Drejtorisë së Përgjithshme të Rezervave të Shtetit, e cila do të ndjekë procedurat e mëtejshme”.</w:t>
      </w:r>
    </w:p>
    <w:p w:rsidR="00A06349" w:rsidRPr="004102E9" w:rsidRDefault="00A06349" w:rsidP="00A06349">
      <w:pPr>
        <w:pStyle w:val="Paragrafi"/>
        <w:rPr>
          <w:b/>
          <w:lang w:val="sq-AL"/>
        </w:rPr>
      </w:pPr>
      <w:r w:rsidRPr="004102E9">
        <w:rPr>
          <w:b/>
          <w:lang w:val="sq-AL"/>
        </w:rPr>
        <w:t>40. Në paragrafin 124 bëhen këto ndryshime:</w:t>
      </w:r>
    </w:p>
    <w:p w:rsidR="00A06349" w:rsidRPr="003E1FCC" w:rsidRDefault="00A06349" w:rsidP="00A06349">
      <w:pPr>
        <w:numPr>
          <w:ilvl w:val="1"/>
          <w:numId w:val="19"/>
        </w:numPr>
        <w:spacing w:after="0" w:line="240" w:lineRule="auto"/>
        <w:ind w:firstLine="284"/>
        <w:contextualSpacing/>
        <w:jc w:val="both"/>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 xml:space="preserve"> Pika 124.1 ndryshon me këtë përmbajtje: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eastAsia="Times New Roman" w:hAnsi="Garamond"/>
          <w:spacing w:val="-4"/>
          <w:sz w:val="24"/>
          <w:szCs w:val="24"/>
          <w:lang w:val="sq-AL"/>
        </w:rPr>
        <w:t xml:space="preserve">“124.1 </w:t>
      </w:r>
      <w:r w:rsidRPr="003E1FCC">
        <w:rPr>
          <w:rFonts w:ascii="Garamond" w:hAnsi="Garamond"/>
          <w:spacing w:val="-4"/>
          <w:sz w:val="24"/>
          <w:szCs w:val="24"/>
          <w:lang w:val="sq-AL"/>
        </w:rPr>
        <w:t xml:space="preserve">Moslëshimi i faturës tatimore, dëftesës tatimore apo і faturës tatimore me TVSH dënohet me gjobë të barabartë me 100 për qind të tatimit të padeklaruar, si rezultat i moslëshimit të faturës, përveç tatimit dhe </w:t>
      </w:r>
      <w:r w:rsidRPr="003E1FCC">
        <w:rPr>
          <w:rFonts w:ascii="Garamond" w:hAnsi="Garamond"/>
          <w:spacing w:val="-4"/>
          <w:sz w:val="24"/>
          <w:szCs w:val="24"/>
          <w:lang w:val="sq-AL"/>
        </w:rPr>
        <w:lastRenderedPageBreak/>
        <w:t>kamatëvonesave që llogariten dhe paguhen në përputhje me dispozitat e ligjit për procedurat tatimore apo të ligjeve specifike tatimore.”.</w:t>
      </w:r>
    </w:p>
    <w:p w:rsidR="00A06349" w:rsidRPr="003E1FCC" w:rsidRDefault="00A06349" w:rsidP="00A06349">
      <w:pPr>
        <w:numPr>
          <w:ilvl w:val="1"/>
          <w:numId w:val="19"/>
        </w:numPr>
        <w:spacing w:after="0" w:line="240" w:lineRule="auto"/>
        <w:ind w:firstLine="284"/>
        <w:contextualSpacing/>
        <w:jc w:val="both"/>
        <w:rPr>
          <w:rFonts w:ascii="Garamond" w:hAnsi="Garamond"/>
          <w:spacing w:val="-4"/>
          <w:sz w:val="24"/>
          <w:szCs w:val="24"/>
          <w:lang w:val="sq-AL"/>
        </w:rPr>
      </w:pPr>
      <w:r w:rsidRPr="003E1FCC">
        <w:rPr>
          <w:rFonts w:ascii="Garamond" w:hAnsi="Garamond"/>
          <w:spacing w:val="-4"/>
          <w:sz w:val="24"/>
          <w:szCs w:val="24"/>
          <w:lang w:val="sq-AL"/>
        </w:rPr>
        <w:t xml:space="preserve"> Pika 124.2, ndryshon me këtë përmbajtje: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“124.2 Për tatimpaguesit që kryejnë shkelje të përsëritur të moslëshimit të faturës, përveçse aplikohet dënimi me gjobë të barabartë me 100 për qind të tatimit të padeklaruar, sipas pikës 1, të nenit 124 të ligjit, gjithashtu ndërmerren masat e mëposhtme: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a) tatimpaguesi, që nuk është i regjistruar për TVSH-në, në momentin kur konstatohet shkelja e përsëritur, sipas këtij neni, regjistrohet për TVSH-në;</w:t>
      </w:r>
    </w:p>
    <w:p w:rsidR="00A06349" w:rsidRPr="003E1FCC" w:rsidRDefault="00A06349" w:rsidP="00A06349">
      <w:pPr>
        <w:autoSpaceDE w:val="0"/>
        <w:autoSpaceDN w:val="0"/>
        <w:adjustRightInd w:val="0"/>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b) tatimpaguesi i regjistruar për TVSH-në dhe tatimin e thjeshtuar të fitimit, në momentin kur konstatohet shkelja e përsëritur, sipas këtij neni, regjistrohet për tatimin mbi fitimin; </w:t>
      </w:r>
    </w:p>
    <w:p w:rsidR="00A06349" w:rsidRPr="003E1FCC" w:rsidRDefault="00A06349" w:rsidP="00A06349">
      <w:pPr>
        <w:numPr>
          <w:ilvl w:val="0"/>
          <w:numId w:val="21"/>
        </w:numPr>
        <w:tabs>
          <w:tab w:val="left" w:pos="613"/>
        </w:tabs>
        <w:spacing w:after="0" w:line="240" w:lineRule="auto"/>
        <w:ind w:firstLine="284"/>
        <w:jc w:val="both"/>
        <w:rPr>
          <w:rFonts w:ascii="Garamond" w:eastAsia="Times New Roman" w:hAnsi="Garamond"/>
          <w:spacing w:val="-4"/>
          <w:sz w:val="24"/>
          <w:szCs w:val="24"/>
          <w:lang w:val="sq-AL"/>
        </w:rPr>
      </w:pPr>
      <w:r w:rsidRPr="003E1FCC">
        <w:rPr>
          <w:rFonts w:ascii="Garamond" w:hAnsi="Garamond"/>
          <w:spacing w:val="-4"/>
          <w:sz w:val="24"/>
          <w:szCs w:val="24"/>
          <w:lang w:val="sq-AL"/>
        </w:rPr>
        <w:t>c) tatimpaguesi i tatimit mbi fitimin përfshihet menjëherë në listën e subjekteve me risk për efekt të analizës së riskut. Në rastet kur moslëshimi i faturës tatimore, dëftesës tatimore apo і faturës tatimore me TVSH-në është shkelje e përsëritur më shumë se 2 herë, atëherë përveç sa përcaktohet në pikat 1 dhe 2, të nenit 124 të ligjit, zbatohen edhe dispozitat e neneve 116 dhe 131 të ligjit</w:t>
      </w:r>
      <w:r w:rsidRPr="003E1FCC">
        <w:rPr>
          <w:rFonts w:ascii="Garamond" w:eastAsia="Times New Roman" w:hAnsi="Garamond"/>
          <w:spacing w:val="-4"/>
          <w:sz w:val="24"/>
          <w:szCs w:val="24"/>
          <w:lang w:val="sq-AL"/>
        </w:rPr>
        <w:t>”.</w:t>
      </w:r>
    </w:p>
    <w:p w:rsidR="00A06349" w:rsidRPr="004102E9" w:rsidRDefault="00A06349" w:rsidP="00A06349">
      <w:pPr>
        <w:pStyle w:val="Paragrafi"/>
        <w:rPr>
          <w:b/>
          <w:spacing w:val="-4"/>
          <w:lang w:val="sq-AL"/>
        </w:rPr>
      </w:pPr>
      <w:r w:rsidRPr="004102E9">
        <w:rPr>
          <w:b/>
          <w:spacing w:val="-4"/>
          <w:lang w:val="sq-AL"/>
        </w:rPr>
        <w:t>41. Pika 128/3 ndryshon me këtë përmbajtje:</w:t>
      </w:r>
    </w:p>
    <w:p w:rsidR="00A06349" w:rsidRPr="004102E9" w:rsidRDefault="00A06349" w:rsidP="00A06349">
      <w:pPr>
        <w:tabs>
          <w:tab w:val="left" w:pos="613"/>
        </w:tabs>
        <w:spacing w:after="0" w:line="240" w:lineRule="auto"/>
        <w:contextualSpacing/>
        <w:rPr>
          <w:rFonts w:ascii="Garamond" w:hAnsi="Garamond"/>
          <w:spacing w:val="-4"/>
          <w:sz w:val="24"/>
          <w:szCs w:val="24"/>
          <w:lang w:val="sq-AL"/>
        </w:rPr>
      </w:pPr>
      <w:r w:rsidRPr="004102E9">
        <w:rPr>
          <w:rFonts w:ascii="Garamond" w:eastAsia="Times New Roman" w:hAnsi="Garamond"/>
          <w:spacing w:val="-4"/>
          <w:sz w:val="24"/>
          <w:szCs w:val="24"/>
          <w:lang w:val="sq-AL"/>
        </w:rPr>
        <w:t xml:space="preserve">“128/3.1 </w:t>
      </w:r>
      <w:r w:rsidRPr="004102E9">
        <w:rPr>
          <w:rFonts w:ascii="Garamond" w:hAnsi="Garamond"/>
          <w:spacing w:val="-4"/>
          <w:sz w:val="24"/>
          <w:szCs w:val="24"/>
          <w:lang w:val="sq-AL"/>
        </w:rPr>
        <w:t>Në rast se nga kontrolli i bërë nga administrata tatimore te tatimpaguesit, deklaratat tatimore të të cilëve janë certifikuar nga kompanitë certifikuese, sipas pikës 4, të nenit 80, të këtij ligji, se janë në përputhje me legjislacionin fiskal, rezulton detyrim tatimor, kompania certifikuese dënohet me një gjobë, në masën 50 për qind të detyrimit tatimor të ngarkuar tatimpaguesit”.</w:t>
      </w:r>
    </w:p>
    <w:p w:rsidR="00A06349" w:rsidRPr="004102E9" w:rsidRDefault="00A06349" w:rsidP="00A06349">
      <w:pPr>
        <w:pStyle w:val="Paragrafi"/>
        <w:rPr>
          <w:b/>
          <w:spacing w:val="-4"/>
          <w:lang w:val="sq-AL"/>
        </w:rPr>
      </w:pPr>
      <w:r w:rsidRPr="004102E9">
        <w:rPr>
          <w:b/>
          <w:spacing w:val="-4"/>
          <w:lang w:val="sq-AL"/>
        </w:rPr>
        <w:t>42. Pika 130, ndryshon me këtë përmbajtje: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“Mosafishimi i çmimeve të shitjes së mallrave apo shërbimeve dënohet me gjobë me 100 000 (njëqind mijë) lekë për tatimpaguesit e tatimit mbi fitimin dhe 50 000 (pesëdhjetë mijë) lekë për tatimpaguesit e tjerë.</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Për aplikimin e këtij dënimi mbahen parasysh përcaktimet e nenit 59 të ligjit dhe pikës 59 të këtij udhëzimi.</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Në rastet kur çmimet janë të shënuara në kutinë ambalazhuese të mallit si në rastin e barnave, atëherë subjektet tregtuese nuk i nënshtrohen detyrimit të afishimit të listës së çmimeve. Nuk i nënshtrohen detyrimit për afishimin e çmimeve gjithashtu ata tatimpagues të cilët nuk mund të përcaktojnë çmime të fiksuara paraprakisht për shërbimet që kryejnë, si pasojë e kostove që mund të rëndojnë çmimin e shërbimit në varësi të faktorëve të ndryshëm. Të tilla raste mund të jenë agjencitë e udhëtimit të cilat nuk ofrojnë shërbimin nëpërmjet biletave me çmim të parashtypur, si biletat e transportit ndërkombëtar, çmimi i të cilave vendoset ose përcaktohet në varësi të itinerarit të udhëtimit.</w:t>
      </w:r>
    </w:p>
    <w:p w:rsidR="00A06349" w:rsidRPr="003E1FCC" w:rsidRDefault="00A06349" w:rsidP="00A06349">
      <w:pPr>
        <w:spacing w:after="0" w:line="240" w:lineRule="auto"/>
        <w:rPr>
          <w:rFonts w:ascii="Garamond" w:eastAsia="Times New Roman" w:hAnsi="Garamond"/>
          <w:spacing w:val="-4"/>
          <w:sz w:val="24"/>
          <w:szCs w:val="24"/>
          <w:lang w:val="sq-AL"/>
        </w:rPr>
      </w:pPr>
      <w:r w:rsidRPr="003E1FCC">
        <w:rPr>
          <w:rFonts w:ascii="Garamond" w:eastAsia="Times New Roman" w:hAnsi="Garamond"/>
          <w:spacing w:val="-4"/>
          <w:sz w:val="24"/>
          <w:szCs w:val="24"/>
          <w:lang w:val="sq-AL"/>
        </w:rPr>
        <w:t>Në rastet e shërbimeve të një natyre të tillë, çmimi për të cilat ndryshon dhe nuk është i paracaktuar, mund të afishohen tarifat orare të shërbimit.</w:t>
      </w:r>
    </w:p>
    <w:p w:rsidR="00A06349" w:rsidRPr="004102E9" w:rsidRDefault="00A06349" w:rsidP="00A06349">
      <w:pPr>
        <w:pStyle w:val="Paragrafi"/>
        <w:rPr>
          <w:b/>
          <w:spacing w:val="-4"/>
          <w:lang w:val="sq-AL"/>
        </w:rPr>
      </w:pPr>
      <w:r w:rsidRPr="004102E9">
        <w:rPr>
          <w:b/>
          <w:spacing w:val="-4"/>
          <w:lang w:val="sq-AL"/>
        </w:rPr>
        <w:t>43. Pika 131.4 hiqet.</w:t>
      </w:r>
    </w:p>
    <w:p w:rsidR="00A06349" w:rsidRPr="004102E9" w:rsidRDefault="00A06349" w:rsidP="00A06349">
      <w:pPr>
        <w:pStyle w:val="Paragrafi"/>
        <w:rPr>
          <w:b/>
          <w:spacing w:val="-4"/>
          <w:lang w:val="sq-AL"/>
        </w:rPr>
      </w:pPr>
      <w:r w:rsidRPr="004102E9">
        <w:rPr>
          <w:b/>
          <w:spacing w:val="-4"/>
          <w:lang w:val="sq-AL"/>
        </w:rPr>
        <w:t>44. Pika 134 zëvendësohet me këtë përmbajtje:</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 xml:space="preserve">Ankimet administrative tatimore të cilat janë paraqitur në protokollin e Drejtorisë së Përgjithshme të Tatimeve përpara datës 1 janar 2017, për të cilat deri më datën 31.12.2016 nuk ka akoma një vendim përfundimtar nga kjo strukturë, regjistrohen në një listë të veçantë të specifikuar me të gjitha të dhënat përkatëse dhe dërgohen zyrtarisht nga Drejtoria e Apelimit në DPT në Ministrinë e Financave. Kjo listë së bashku me praktikat përkatëse protokollohen në Protokollin e Ministrisë së Financave dhe merren në dorëzim nga Drejtori i Apelimit në momentin e fillimit të funksionimit të kësaj strukture në Ministrinë e Financave. Afatet e shqyrtimit të tyre llogariten në përputhje me ligjin që nga data e protokollimit fillestar të kërkesës për apelim në Drejtorinë e Apelimit Tatimor. </w:t>
      </w:r>
    </w:p>
    <w:p w:rsidR="00A06349" w:rsidRPr="003E1FCC" w:rsidRDefault="00A06349" w:rsidP="00A06349">
      <w:pPr>
        <w:spacing w:after="0" w:line="240" w:lineRule="auto"/>
        <w:rPr>
          <w:rFonts w:ascii="Garamond" w:hAnsi="Garamond"/>
          <w:spacing w:val="-4"/>
          <w:sz w:val="24"/>
          <w:szCs w:val="24"/>
          <w:lang w:val="sq-AL"/>
        </w:rPr>
      </w:pPr>
      <w:r w:rsidRPr="003E1FCC">
        <w:rPr>
          <w:rFonts w:ascii="Garamond" w:hAnsi="Garamond"/>
          <w:spacing w:val="-4"/>
          <w:sz w:val="24"/>
          <w:szCs w:val="24"/>
          <w:lang w:val="sq-AL"/>
        </w:rPr>
        <w:t>Për kërkesat të cilat në datën 31.12.2016 nuk u ka përfunduar afati i përcaktuar për shqyrtimin dhe vendimmarrjen, ky afat ndërpritet më datë 31.12.2016 dhe llogaritja e afatit vazhdon nga data e marrjes në dorëzim të këtyre ankimimeve nga Drejtoria e Apelimit Tatimor në Ministrinë e Financave.</w:t>
      </w:r>
    </w:p>
    <w:p w:rsidR="00A06349" w:rsidRPr="003E1FCC" w:rsidRDefault="00A06349" w:rsidP="00A06349">
      <w:pPr>
        <w:spacing w:after="0" w:line="240" w:lineRule="auto"/>
        <w:rPr>
          <w:rFonts w:ascii="Garamond" w:eastAsia="Times New Roman" w:hAnsi="Garamond" w:cstheme="majorBidi"/>
          <w:spacing w:val="-4"/>
          <w:sz w:val="24"/>
          <w:szCs w:val="24"/>
          <w:lang w:val="sq-AL"/>
        </w:rPr>
      </w:pPr>
      <w:r w:rsidRPr="003E1FCC">
        <w:rPr>
          <w:rFonts w:ascii="Garamond" w:eastAsia="Times New Roman" w:hAnsi="Garamond" w:cstheme="majorBidi"/>
          <w:spacing w:val="-4"/>
          <w:sz w:val="24"/>
          <w:szCs w:val="24"/>
          <w:lang w:val="sq-AL"/>
        </w:rPr>
        <w:t>Ky udhëzim hyn në fuqi pas botimit në Fletoren Zyrtare.</w:t>
      </w:r>
    </w:p>
    <w:p w:rsidR="00A06349" w:rsidRPr="003E1FCC" w:rsidRDefault="00A06349" w:rsidP="00A06349">
      <w:pPr>
        <w:pStyle w:val="Autoriteti"/>
        <w:rPr>
          <w:spacing w:val="-4"/>
          <w:lang w:val="sq-AL"/>
        </w:rPr>
      </w:pPr>
      <w:r w:rsidRPr="003E1FCC">
        <w:rPr>
          <w:spacing w:val="-4"/>
          <w:lang w:val="sq-AL"/>
        </w:rPr>
        <w:t>Ministri i Financave</w:t>
      </w:r>
    </w:p>
    <w:p w:rsidR="00A06349" w:rsidRDefault="00A06349" w:rsidP="00A06349">
      <w:pPr>
        <w:pStyle w:val="AutoritetiEmer"/>
        <w:rPr>
          <w:lang w:val="sq-AL"/>
        </w:rPr>
        <w:sectPr w:rsidR="00A06349" w:rsidSect="00A06349">
          <w:pgSz w:w="11907" w:h="16840" w:code="9"/>
          <w:pgMar w:top="720" w:right="1134" w:bottom="720" w:left="1134" w:header="851" w:footer="851" w:gutter="0"/>
          <w:pgNumType w:start="52"/>
          <w:cols w:space="454"/>
          <w:docGrid w:linePitch="360"/>
        </w:sectPr>
      </w:pPr>
      <w:r w:rsidRPr="003E1FCC">
        <w:rPr>
          <w:spacing w:val="-4"/>
          <w:lang w:val="sq-AL"/>
        </w:rPr>
        <w:t>Arben Ahme</w:t>
      </w:r>
      <w:r w:rsidRPr="00311DBD">
        <w:rPr>
          <w:lang w:val="sq-AL"/>
        </w:rPr>
        <w:t>taj</w:t>
      </w:r>
    </w:p>
    <w:p w:rsidR="00A06349" w:rsidRDefault="00A06349" w:rsidP="00A06349">
      <w:pPr>
        <w:pStyle w:val="AutoritetiEmer"/>
        <w:rPr>
          <w:lang w:val="sq-AL"/>
        </w:rPr>
        <w:sectPr w:rsidR="00A06349" w:rsidSect="00A06349">
          <w:type w:val="continuous"/>
          <w:pgSz w:w="11907" w:h="16840" w:code="9"/>
          <w:pgMar w:top="720" w:right="1134" w:bottom="720" w:left="1134" w:header="851" w:footer="851" w:gutter="0"/>
          <w:pgNumType w:start="49"/>
          <w:cols w:space="454"/>
          <w:docGrid w:linePitch="360"/>
        </w:sectPr>
      </w:pPr>
    </w:p>
    <w:p w:rsidR="00A06349" w:rsidRPr="00311DBD" w:rsidRDefault="00A06349" w:rsidP="00A06349">
      <w:pPr>
        <w:pStyle w:val="AutoritetiEmer"/>
        <w:rPr>
          <w:lang w:val="sq-AL"/>
        </w:rPr>
      </w:pPr>
      <w:r w:rsidRPr="00311DBD">
        <w:rPr>
          <w:lang w:val="sq-AL"/>
        </w:rPr>
        <w:lastRenderedPageBreak/>
        <w:t xml:space="preserve"> </w:t>
      </w:r>
    </w:p>
    <w:p w:rsidR="00A06349" w:rsidRDefault="00A06349" w:rsidP="00A06349">
      <w:pPr>
        <w:widowControl w:val="0"/>
        <w:spacing w:after="0" w:line="240" w:lineRule="auto"/>
        <w:rPr>
          <w:rFonts w:ascii="Garamond" w:eastAsia="Times New Roman" w:hAnsi="Garamond"/>
          <w:spacing w:val="-4"/>
          <w:sz w:val="24"/>
          <w:szCs w:val="24"/>
          <w:lang w:val="sq-AL" w:eastAsia="en-GB"/>
        </w:rPr>
        <w:sectPr w:rsidR="00A06349" w:rsidSect="00A06349">
          <w:type w:val="continuous"/>
          <w:pgSz w:w="11907" w:h="16840" w:code="9"/>
          <w:pgMar w:top="720" w:right="1134" w:bottom="720" w:left="1134" w:header="851" w:footer="851" w:gutter="0"/>
          <w:pgNumType w:start="49"/>
          <w:cols w:space="454"/>
          <w:docGrid w:linePitch="360"/>
        </w:sect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r w:rsidRPr="00311DBD">
        <w:rPr>
          <w:noProof/>
          <w:szCs w:val="24"/>
        </w:rPr>
        <w:lastRenderedPageBreak/>
        <w:drawing>
          <wp:inline distT="0" distB="0" distL="0" distR="0" wp14:anchorId="76D46B7F" wp14:editId="4E2CF101">
            <wp:extent cx="6114331" cy="7504981"/>
            <wp:effectExtent l="19050" t="0" r="719"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a:stretch>
                      <a:fillRect/>
                    </a:stretch>
                  </pic:blipFill>
                  <pic:spPr bwMode="auto">
                    <a:xfrm>
                      <a:off x="0" y="0"/>
                      <a:ext cx="6120765" cy="7512878"/>
                    </a:xfrm>
                    <a:prstGeom prst="rect">
                      <a:avLst/>
                    </a:prstGeom>
                    <a:noFill/>
                    <a:ln w="9525">
                      <a:noFill/>
                      <a:miter lim="800000"/>
                      <a:headEnd/>
                      <a:tailEnd/>
                    </a:ln>
                  </pic:spPr>
                </pic:pic>
              </a:graphicData>
            </a:graphic>
          </wp:inline>
        </w:drawing>
      </w: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r w:rsidRPr="00311DBD">
        <w:rPr>
          <w:noProof/>
          <w:szCs w:val="24"/>
        </w:rPr>
        <w:lastRenderedPageBreak/>
        <w:drawing>
          <wp:inline distT="0" distB="0" distL="0" distR="0" wp14:anchorId="2D269599" wp14:editId="3C45C714">
            <wp:extent cx="6120765" cy="8445169"/>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6120765" cy="8445169"/>
                    </a:xfrm>
                    <a:prstGeom prst="rect">
                      <a:avLst/>
                    </a:prstGeom>
                    <a:noFill/>
                    <a:ln w="9525">
                      <a:noFill/>
                      <a:miter lim="800000"/>
                      <a:headEnd/>
                      <a:tailEnd/>
                    </a:ln>
                  </pic:spPr>
                </pic:pic>
              </a:graphicData>
            </a:graphic>
          </wp:inline>
        </w:drawing>
      </w: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r w:rsidRPr="00311DBD">
        <w:rPr>
          <w:noProof/>
          <w:szCs w:val="24"/>
        </w:rPr>
        <w:lastRenderedPageBreak/>
        <w:drawing>
          <wp:inline distT="0" distB="0" distL="0" distR="0" wp14:anchorId="5BF32274" wp14:editId="197DB454">
            <wp:extent cx="6120765" cy="7813652"/>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6120765" cy="7813652"/>
                    </a:xfrm>
                    <a:prstGeom prst="rect">
                      <a:avLst/>
                    </a:prstGeom>
                    <a:noFill/>
                    <a:ln w="9525">
                      <a:noFill/>
                      <a:miter lim="800000"/>
                      <a:headEnd/>
                      <a:tailEnd/>
                    </a:ln>
                  </pic:spPr>
                </pic:pic>
              </a:graphicData>
            </a:graphic>
          </wp:inline>
        </w:drawing>
      </w: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r w:rsidRPr="00311DBD">
        <w:rPr>
          <w:noProof/>
          <w:szCs w:val="24"/>
        </w:rPr>
        <w:drawing>
          <wp:inline distT="0" distB="0" distL="0" distR="0" wp14:anchorId="067BBB7B" wp14:editId="53D423AA">
            <wp:extent cx="6120765" cy="7548984"/>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6120765" cy="7548984"/>
                    </a:xfrm>
                    <a:prstGeom prst="rect">
                      <a:avLst/>
                    </a:prstGeom>
                    <a:noFill/>
                    <a:ln w="9525">
                      <a:noFill/>
                      <a:miter lim="800000"/>
                      <a:headEnd/>
                      <a:tailEnd/>
                    </a:ln>
                  </pic:spPr>
                </pic:pic>
              </a:graphicData>
            </a:graphic>
          </wp:inline>
        </w:drawing>
      </w: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p>
    <w:p w:rsidR="00A06349" w:rsidRPr="00311DBD" w:rsidRDefault="00A06349" w:rsidP="00A06349">
      <w:pPr>
        <w:widowControl w:val="0"/>
        <w:spacing w:after="0" w:line="240" w:lineRule="auto"/>
        <w:rPr>
          <w:rFonts w:ascii="Garamond" w:eastAsia="Times New Roman" w:hAnsi="Garamond"/>
          <w:spacing w:val="-4"/>
          <w:sz w:val="24"/>
          <w:szCs w:val="24"/>
          <w:lang w:val="sq-AL" w:eastAsia="en-GB"/>
        </w:rPr>
      </w:pPr>
      <w:r w:rsidRPr="00311DBD">
        <w:rPr>
          <w:noProof/>
          <w:szCs w:val="24"/>
        </w:rPr>
        <w:drawing>
          <wp:inline distT="0" distB="0" distL="0" distR="0" wp14:anchorId="0C6923A0" wp14:editId="3888760F">
            <wp:extent cx="6120765" cy="7026999"/>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a:stretch>
                      <a:fillRect/>
                    </a:stretch>
                  </pic:blipFill>
                  <pic:spPr bwMode="auto">
                    <a:xfrm>
                      <a:off x="0" y="0"/>
                      <a:ext cx="6120765" cy="7026999"/>
                    </a:xfrm>
                    <a:prstGeom prst="rect">
                      <a:avLst/>
                    </a:prstGeom>
                    <a:noFill/>
                    <a:ln w="9525">
                      <a:noFill/>
                      <a:miter lim="800000"/>
                      <a:headEnd/>
                      <a:tailEnd/>
                    </a:ln>
                  </pic:spPr>
                </pic:pic>
              </a:graphicData>
            </a:graphic>
          </wp:inline>
        </w:drawing>
      </w:r>
    </w:p>
    <w:bookmarkEnd w:id="0"/>
    <w:p w:rsidR="004F59B3" w:rsidRPr="00A06349" w:rsidRDefault="004F59B3" w:rsidP="00A06349"/>
    <w:sectPr w:rsidR="004F59B3" w:rsidRPr="00A06349" w:rsidSect="00A063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EBF4A9C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none"/>
      <w:lvlText w:val=""/>
      <w:lvlJc w:val="left"/>
      <w:pPr>
        <w:tabs>
          <w:tab w:val="num" w:pos="360"/>
        </w:tabs>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8962434"/>
    <w:multiLevelType w:val="hybridMultilevel"/>
    <w:tmpl w:val="EDDA67D6"/>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8370C18"/>
    <w:multiLevelType w:val="hybridMultilevel"/>
    <w:tmpl w:val="FC88874E"/>
    <w:lvl w:ilvl="0" w:tplc="D4BCCEB2">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AF54C0"/>
    <w:multiLevelType w:val="hybridMultilevel"/>
    <w:tmpl w:val="C0146094"/>
    <w:lvl w:ilvl="0" w:tplc="D6447D28">
      <w:start w:val="1"/>
      <w:numFmt w:val="bullet"/>
      <w:lvlText w:val="-"/>
      <w:lvlJc w:val="left"/>
      <w:pPr>
        <w:ind w:left="900" w:hanging="360"/>
      </w:pPr>
      <w:rPr>
        <w:rFonts w:ascii="Calibri" w:eastAsiaTheme="minorHAnsi" w:hAnsi="Calibri" w:cs="Calibri"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37CA03FE"/>
    <w:multiLevelType w:val="hybridMultilevel"/>
    <w:tmpl w:val="55261C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E76063"/>
    <w:multiLevelType w:val="hybridMultilevel"/>
    <w:tmpl w:val="411E789C"/>
    <w:lvl w:ilvl="0" w:tplc="E8B2A8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F9415D"/>
    <w:multiLevelType w:val="hybridMultilevel"/>
    <w:tmpl w:val="29F05AD8"/>
    <w:lvl w:ilvl="0" w:tplc="8E40B46C">
      <w:start w:val="1"/>
      <w:numFmt w:val="decimal"/>
      <w:lvlText w:val="%1."/>
      <w:lvlJc w:val="left"/>
      <w:pPr>
        <w:ind w:left="648" w:hanging="360"/>
      </w:pPr>
      <w:rPr>
        <w:rFonts w:ascii="Garamond" w:eastAsia="Batang" w:hAnsi="Garamond" w:cs="Times New Roman" w:hint="default"/>
        <w:b w:val="0"/>
      </w:rPr>
    </w:lvl>
    <w:lvl w:ilvl="1" w:tplc="04090003">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0">
    <w:nsid w:val="471B0EEB"/>
    <w:multiLevelType w:val="multilevel"/>
    <w:tmpl w:val="24705068"/>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481C2933"/>
    <w:multiLevelType w:val="hybridMultilevel"/>
    <w:tmpl w:val="CFFCB620"/>
    <w:lvl w:ilvl="0" w:tplc="04090017">
      <w:start w:val="1"/>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C53639B"/>
    <w:multiLevelType w:val="hybridMultilevel"/>
    <w:tmpl w:val="F2589B6C"/>
    <w:lvl w:ilvl="0" w:tplc="1EAC2D80">
      <w:start w:val="1"/>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4">
    <w:nsid w:val="51CB1827"/>
    <w:multiLevelType w:val="multilevel"/>
    <w:tmpl w:val="8ABE2830"/>
    <w:lvl w:ilvl="0">
      <w:start w:val="17"/>
      <w:numFmt w:val="decimal"/>
      <w:lvlText w:val="%1."/>
      <w:lvlJc w:val="left"/>
      <w:pPr>
        <w:ind w:left="648" w:hanging="360"/>
      </w:pPr>
      <w:rPr>
        <w:rFonts w:hint="default"/>
        <w:b/>
      </w:rPr>
    </w:lvl>
    <w:lvl w:ilvl="1">
      <w:start w:val="1"/>
      <w:numFmt w:val="decimal"/>
      <w:isLgl/>
      <w:lvlText w:val="%1.%2"/>
      <w:lvlJc w:val="left"/>
      <w:pPr>
        <w:ind w:left="1068" w:hanging="420"/>
      </w:pPr>
      <w:rPr>
        <w:rFonts w:hint="default"/>
      </w:rPr>
    </w:lvl>
    <w:lvl w:ilvl="2">
      <w:start w:val="1"/>
      <w:numFmt w:val="decimal"/>
      <w:isLgl/>
      <w:lvlText w:val="%1.%2.%3"/>
      <w:lvlJc w:val="left"/>
      <w:pPr>
        <w:ind w:left="1728" w:hanging="720"/>
      </w:pPr>
      <w:rPr>
        <w:rFonts w:hint="default"/>
      </w:rPr>
    </w:lvl>
    <w:lvl w:ilvl="3">
      <w:start w:val="1"/>
      <w:numFmt w:val="decimal"/>
      <w:isLgl/>
      <w:lvlText w:val="%1.%2.%3.%4"/>
      <w:lvlJc w:val="left"/>
      <w:pPr>
        <w:ind w:left="2088" w:hanging="720"/>
      </w:pPr>
      <w:rPr>
        <w:rFonts w:hint="default"/>
      </w:rPr>
    </w:lvl>
    <w:lvl w:ilvl="4">
      <w:start w:val="1"/>
      <w:numFmt w:val="decimal"/>
      <w:isLgl/>
      <w:lvlText w:val="%1.%2.%3.%4.%5"/>
      <w:lvlJc w:val="left"/>
      <w:pPr>
        <w:ind w:left="280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48" w:hanging="1440"/>
      </w:pPr>
      <w:rPr>
        <w:rFonts w:hint="default"/>
      </w:rPr>
    </w:lvl>
    <w:lvl w:ilvl="8">
      <w:start w:val="1"/>
      <w:numFmt w:val="decimal"/>
      <w:isLgl/>
      <w:lvlText w:val="%1.%2.%3.%4.%5.%6.%7.%8.%9"/>
      <w:lvlJc w:val="left"/>
      <w:pPr>
        <w:ind w:left="4968" w:hanging="1800"/>
      </w:pPr>
      <w:rPr>
        <w:rFonts w:hint="default"/>
      </w:rPr>
    </w:lvl>
  </w:abstractNum>
  <w:abstractNum w:abstractNumId="25">
    <w:nsid w:val="55B30AC7"/>
    <w:multiLevelType w:val="hybridMultilevel"/>
    <w:tmpl w:val="35FC519A"/>
    <w:lvl w:ilvl="0" w:tplc="F376B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nsid w:val="5EED6679"/>
    <w:multiLevelType w:val="hybridMultilevel"/>
    <w:tmpl w:val="6040E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A15985"/>
    <w:multiLevelType w:val="multilevel"/>
    <w:tmpl w:val="10B2E148"/>
    <w:lvl w:ilvl="0">
      <w:start w:val="1"/>
      <w:numFmt w:val="bullet"/>
      <w:lvlText w:val=""/>
      <w:lvlJc w:val="left"/>
    </w:lvl>
    <w:lvl w:ilvl="1">
      <w:start w:val="2015"/>
      <w:numFmt w:val="bullet"/>
      <w:lvlText w:val="-"/>
      <w:lvlJc w:val="left"/>
      <w:rPr>
        <w:rFonts w:ascii="Times New Roman" w:eastAsia="Times New Roman" w:hAnsi="Times New Roman" w:cs="Times New Roman" w:hint="default"/>
      </w:rPr>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decimal"/>
      <w:lvlText w:val="%1"/>
      <w:lvlJc w:val="left"/>
    </w:lvl>
    <w:lvl w:ilvl="8">
      <w:start w:val="76"/>
      <w:numFmt w:val="decimal"/>
      <w:lvlText w:val="%2."/>
      <w:lvlJc w:val="left"/>
    </w:lvl>
  </w:abstractNum>
  <w:abstractNum w:abstractNumId="29">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752156C6"/>
    <w:multiLevelType w:val="hybridMultilevel"/>
    <w:tmpl w:val="9F6ED1D2"/>
    <w:lvl w:ilvl="0" w:tplc="7D70D04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9"/>
  </w:num>
  <w:num w:numId="2">
    <w:abstractNumId w:val="22"/>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2"/>
  </w:num>
  <w:num w:numId="16">
    <w:abstractNumId w:val="30"/>
  </w:num>
  <w:num w:numId="17">
    <w:abstractNumId w:val="26"/>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17"/>
  </w:num>
  <w:num w:numId="21">
    <w:abstractNumId w:val="10"/>
  </w:num>
  <w:num w:numId="22">
    <w:abstractNumId w:val="19"/>
  </w:num>
  <w:num w:numId="23">
    <w:abstractNumId w:val="16"/>
  </w:num>
  <w:num w:numId="24">
    <w:abstractNumId w:val="24"/>
  </w:num>
  <w:num w:numId="25">
    <w:abstractNumId w:val="20"/>
  </w:num>
  <w:num w:numId="26">
    <w:abstractNumId w:val="11"/>
  </w:num>
  <w:num w:numId="27">
    <w:abstractNumId w:val="21"/>
  </w:num>
  <w:num w:numId="28">
    <w:abstractNumId w:val="15"/>
  </w:num>
  <w:num w:numId="29">
    <w:abstractNumId w:val="31"/>
  </w:num>
  <w:num w:numId="30">
    <w:abstractNumId w:val="23"/>
  </w:num>
  <w:num w:numId="31">
    <w:abstractNumId w:val="25"/>
  </w:num>
  <w:num w:numId="32">
    <w:abstractNumId w:val="18"/>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210"/>
    <w:rsid w:val="004F59B3"/>
    <w:rsid w:val="007E0210"/>
    <w:rsid w:val="00A06349"/>
    <w:rsid w:val="00C45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A06349"/>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A06349"/>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A06349"/>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A06349"/>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A06349"/>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06349"/>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A06349"/>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A06349"/>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06349"/>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A06349"/>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A06349"/>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A06349"/>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A06349"/>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A0634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0634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A06349"/>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A06349"/>
    <w:rPr>
      <w:rFonts w:ascii="Cambria" w:eastAsia="MS Mincho" w:hAnsi="Cambria" w:cs="Cambria"/>
      <w:sz w:val="20"/>
      <w:szCs w:val="20"/>
    </w:rPr>
  </w:style>
  <w:style w:type="character" w:customStyle="1" w:styleId="Heading9Char">
    <w:name w:val="Heading 9 Char"/>
    <w:basedOn w:val="DefaultParagraphFont"/>
    <w:link w:val="Heading9"/>
    <w:uiPriority w:val="9"/>
    <w:rsid w:val="00A06349"/>
    <w:rPr>
      <w:rFonts w:ascii="Cambria" w:eastAsia="MS Mincho" w:hAnsi="Cambria" w:cs="Cambria"/>
      <w:i/>
      <w:iCs/>
      <w:spacing w:val="5"/>
      <w:sz w:val="20"/>
      <w:szCs w:val="20"/>
    </w:rPr>
  </w:style>
  <w:style w:type="paragraph" w:styleId="NoSpacing">
    <w:name w:val="No Spacing"/>
    <w:link w:val="NoSpacingChar"/>
    <w:uiPriority w:val="1"/>
    <w:qFormat/>
    <w:rsid w:val="00A0634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0634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06349"/>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A06349"/>
    <w:rPr>
      <w:rFonts w:ascii="Tahoma" w:eastAsia="Calibri" w:hAnsi="Tahoma" w:cs="Tahoma"/>
      <w:sz w:val="16"/>
      <w:szCs w:val="16"/>
    </w:rPr>
  </w:style>
  <w:style w:type="paragraph" w:styleId="Header">
    <w:name w:val="header"/>
    <w:basedOn w:val="Normal"/>
    <w:link w:val="HeaderChar"/>
    <w:uiPriority w:val="99"/>
    <w:unhideWhenUsed/>
    <w:rsid w:val="00A06349"/>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A06349"/>
    <w:rPr>
      <w:rFonts w:ascii="Calibri" w:eastAsia="Calibri" w:hAnsi="Calibri" w:cs="Times New Roman"/>
    </w:rPr>
  </w:style>
  <w:style w:type="paragraph" w:styleId="Footer">
    <w:name w:val="footer"/>
    <w:basedOn w:val="Normal"/>
    <w:link w:val="FooterChar"/>
    <w:uiPriority w:val="99"/>
    <w:unhideWhenUsed/>
    <w:rsid w:val="00A06349"/>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A06349"/>
    <w:rPr>
      <w:rFonts w:ascii="Calibri" w:eastAsia="Calibri" w:hAnsi="Calibri" w:cs="Times New Roman"/>
    </w:rPr>
  </w:style>
  <w:style w:type="paragraph" w:customStyle="1" w:styleId="Akti">
    <w:name w:val="Akti"/>
    <w:link w:val="AktiChar"/>
    <w:rsid w:val="00A0634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0634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06349"/>
    <w:rPr>
      <w:rFonts w:ascii="Garamond" w:eastAsia="MS Mincho" w:hAnsi="Garamond" w:cs="CG Times"/>
      <w:b/>
      <w:bCs/>
      <w:sz w:val="24"/>
      <w:lang w:val="en-GB"/>
    </w:rPr>
  </w:style>
  <w:style w:type="paragraph" w:customStyle="1" w:styleId="Paragrafi">
    <w:name w:val="Paragrafi"/>
    <w:link w:val="ParagrafiChar"/>
    <w:rsid w:val="00A0634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6349"/>
    <w:rPr>
      <w:rFonts w:ascii="Garamond" w:eastAsia="MS Mincho" w:hAnsi="Garamond" w:cs="CG Times"/>
      <w:sz w:val="24"/>
    </w:rPr>
  </w:style>
  <w:style w:type="paragraph" w:customStyle="1" w:styleId="Titulli">
    <w:name w:val="Titulli"/>
    <w:next w:val="Normal"/>
    <w:link w:val="TitulliChar"/>
    <w:uiPriority w:val="99"/>
    <w:rsid w:val="00A0634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06349"/>
    <w:rPr>
      <w:rFonts w:ascii="Garamond" w:eastAsia="MS Mincho" w:hAnsi="Garamond" w:cs="CG Times"/>
      <w:b/>
      <w:bCs/>
      <w:caps/>
      <w:sz w:val="24"/>
      <w:lang w:val="en-GB"/>
    </w:rPr>
  </w:style>
  <w:style w:type="character" w:customStyle="1" w:styleId="AktiChar">
    <w:name w:val="Akti Char"/>
    <w:basedOn w:val="DefaultParagraphFont"/>
    <w:link w:val="Akti"/>
    <w:rsid w:val="00A06349"/>
    <w:rPr>
      <w:rFonts w:ascii="Garamond" w:eastAsia="MS Mincho" w:hAnsi="Garamond" w:cs="CG Times"/>
      <w:b/>
      <w:bCs/>
      <w:caps/>
      <w:color w:val="000000"/>
      <w:sz w:val="24"/>
      <w:lang w:val="en-GB"/>
    </w:rPr>
  </w:style>
  <w:style w:type="paragraph" w:customStyle="1" w:styleId="NeniNr">
    <w:name w:val="Neni_Nr"/>
    <w:next w:val="Normal"/>
    <w:link w:val="NeniNrChar"/>
    <w:rsid w:val="00A0634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0634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06349"/>
    <w:rPr>
      <w:rFonts w:ascii="Garamond" w:eastAsia="MS Mincho" w:hAnsi="Garamond" w:cs="CG Times"/>
      <w:sz w:val="24"/>
      <w:lang w:val="en-GB"/>
    </w:rPr>
  </w:style>
  <w:style w:type="paragraph" w:customStyle="1" w:styleId="Autoriteti">
    <w:name w:val="Autoriteti"/>
    <w:next w:val="Normal"/>
    <w:link w:val="AutoritetiChar"/>
    <w:rsid w:val="00A0634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0634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06349"/>
    <w:rPr>
      <w:rFonts w:ascii="Garamond" w:eastAsia="MS Mincho" w:hAnsi="Garamond" w:cs="CG Times"/>
      <w:caps/>
      <w:sz w:val="24"/>
      <w:lang w:val="en-GB"/>
    </w:rPr>
  </w:style>
  <w:style w:type="character" w:customStyle="1" w:styleId="AutoritetiEmerChar">
    <w:name w:val="Autoriteti_Emer Char"/>
    <w:link w:val="AutoritetiEmer"/>
    <w:locked/>
    <w:rsid w:val="00A06349"/>
    <w:rPr>
      <w:rFonts w:ascii="Garamond" w:eastAsia="MS Mincho" w:hAnsi="Garamond" w:cs="Times New Roman"/>
      <w:b/>
      <w:bCs/>
      <w:sz w:val="24"/>
      <w:lang w:val="en-GB"/>
    </w:rPr>
  </w:style>
  <w:style w:type="paragraph" w:customStyle="1" w:styleId="Titull-Titull">
    <w:name w:val="Titull-Titull"/>
    <w:basedOn w:val="Paragrafi"/>
    <w:qFormat/>
    <w:rsid w:val="00A06349"/>
    <w:pPr>
      <w:ind w:firstLine="0"/>
      <w:jc w:val="center"/>
    </w:pPr>
    <w:rPr>
      <w:caps/>
      <w:szCs w:val="24"/>
    </w:rPr>
  </w:style>
  <w:style w:type="paragraph" w:customStyle="1" w:styleId="Vendosi">
    <w:name w:val="Vendosi"/>
    <w:basedOn w:val="Titull-Titull"/>
    <w:qFormat/>
    <w:rsid w:val="00A06349"/>
  </w:style>
  <w:style w:type="paragraph" w:customStyle="1" w:styleId="Hapesira7">
    <w:name w:val="Hapesira 7"/>
    <w:basedOn w:val="Paragrafi"/>
    <w:qFormat/>
    <w:rsid w:val="00A06349"/>
    <w:rPr>
      <w:sz w:val="14"/>
      <w:szCs w:val="24"/>
    </w:rPr>
  </w:style>
  <w:style w:type="paragraph" w:styleId="ListParagraph">
    <w:name w:val="List Paragraph"/>
    <w:aliases w:val="List Paragraph2"/>
    <w:basedOn w:val="Normal"/>
    <w:link w:val="ListParagraphChar"/>
    <w:uiPriority w:val="34"/>
    <w:qFormat/>
    <w:rsid w:val="00A06349"/>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A06349"/>
    <w:rPr>
      <w:rFonts w:ascii="Calibri" w:eastAsia="Times New Roman" w:hAnsi="Calibri" w:cs="Times New Roman"/>
    </w:rPr>
  </w:style>
  <w:style w:type="paragraph" w:customStyle="1" w:styleId="Style1">
    <w:name w:val="Style1"/>
    <w:basedOn w:val="Akti"/>
    <w:link w:val="Style1Char"/>
    <w:qFormat/>
    <w:rsid w:val="00A06349"/>
  </w:style>
  <w:style w:type="character" w:customStyle="1" w:styleId="Heading2Char1">
    <w:name w:val="Heading 2 Char1"/>
    <w:link w:val="Heading2"/>
    <w:uiPriority w:val="9"/>
    <w:locked/>
    <w:rsid w:val="00A06349"/>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A06349"/>
    <w:rPr>
      <w:rFonts w:ascii="Cambria" w:eastAsia="MS Mincho" w:hAnsi="Cambria" w:cs="Cambria"/>
      <w:b/>
      <w:bCs/>
      <w:sz w:val="24"/>
      <w:szCs w:val="24"/>
    </w:rPr>
  </w:style>
  <w:style w:type="paragraph" w:customStyle="1" w:styleId="ADDRESS">
    <w:name w:val="ADDRESS"/>
    <w:basedOn w:val="Normal"/>
    <w:rsid w:val="00A063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A063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A063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063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A063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A06349"/>
    <w:rPr>
      <w:rFonts w:ascii="Arial" w:eastAsia="Times New Roman" w:hAnsi="Arial" w:cs="Arial"/>
      <w:color w:val="000000"/>
      <w:sz w:val="24"/>
      <w:szCs w:val="24"/>
    </w:rPr>
  </w:style>
  <w:style w:type="paragraph" w:customStyle="1" w:styleId="BazLigjPropozues">
    <w:name w:val="Baz_Ligj_Propozues"/>
    <w:rsid w:val="00A063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063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A06349"/>
    <w:rPr>
      <w:rFonts w:ascii="Times New Roman" w:eastAsia="Times New Roman" w:hAnsi="Times New Roman" w:cs="Times New Roman"/>
      <w:caps/>
      <w:sz w:val="26"/>
      <w:szCs w:val="26"/>
      <w:lang w:val="en-GB"/>
    </w:rPr>
  </w:style>
  <w:style w:type="character" w:customStyle="1" w:styleId="apple-converted-space">
    <w:name w:val="apple-converted-space"/>
    <w:rsid w:val="00A06349"/>
  </w:style>
  <w:style w:type="character" w:styleId="Hyperlink">
    <w:name w:val="Hyperlink"/>
    <w:uiPriority w:val="99"/>
    <w:unhideWhenUsed/>
    <w:rsid w:val="00A06349"/>
    <w:rPr>
      <w:color w:val="0000FF"/>
      <w:u w:val="single"/>
    </w:rPr>
  </w:style>
  <w:style w:type="character" w:styleId="FollowedHyperlink">
    <w:name w:val="FollowedHyperlink"/>
    <w:uiPriority w:val="99"/>
    <w:unhideWhenUsed/>
    <w:rsid w:val="00A06349"/>
    <w:rPr>
      <w:color w:val="800080"/>
      <w:u w:val="single"/>
    </w:rPr>
  </w:style>
  <w:style w:type="paragraph" w:customStyle="1" w:styleId="font5">
    <w:name w:val="font5"/>
    <w:basedOn w:val="Normal"/>
    <w:rsid w:val="00A063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A063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A063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A063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A063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A063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063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A063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A063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A063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A063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A063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06349"/>
    <w:pPr>
      <w:pageBreakBefore/>
      <w:spacing w:after="0" w:line="240" w:lineRule="auto"/>
      <w:jc w:val="both"/>
    </w:pPr>
    <w:rPr>
      <w:rFonts w:ascii="CG Times" w:eastAsia="MS Mincho" w:hAnsi="CG Times" w:cs="CG Times"/>
      <w:b/>
      <w:bCs/>
      <w:sz w:val="21"/>
    </w:rPr>
  </w:style>
  <w:style w:type="paragraph" w:customStyle="1" w:styleId="KapitulliNr">
    <w:name w:val="Kapitulli_Nr"/>
    <w:rsid w:val="00A063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063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063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063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063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A063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A063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A063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A063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A063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A063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A063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A0634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063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063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063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A063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A063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A063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A063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A063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A063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A063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A063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06349"/>
  </w:style>
  <w:style w:type="paragraph" w:customStyle="1" w:styleId="PjesaNr">
    <w:name w:val="Pjesa_Nr"/>
    <w:next w:val="Normal"/>
    <w:rsid w:val="00A063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063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063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A063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A063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063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A063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A063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A063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A063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A063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063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A063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A063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A063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A063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A063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A063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A0634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063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A063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A063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A063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A063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A063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A063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A063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A063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A063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A063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A063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A063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A063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A06349"/>
    <w:rPr>
      <w:b/>
      <w:bCs/>
    </w:rPr>
  </w:style>
  <w:style w:type="paragraph" w:customStyle="1" w:styleId="xl136">
    <w:name w:val="xl136"/>
    <w:basedOn w:val="Normal"/>
    <w:rsid w:val="00A063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A063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A063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A063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A063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A063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A063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A063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A063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A063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A063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A063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A063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A063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A063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A063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A063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063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A06349"/>
  </w:style>
  <w:style w:type="paragraph" w:styleId="Title">
    <w:name w:val="Title"/>
    <w:basedOn w:val="Heading1"/>
    <w:next w:val="Normal"/>
    <w:link w:val="TitleChar"/>
    <w:uiPriority w:val="10"/>
    <w:qFormat/>
    <w:rsid w:val="00A06349"/>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A063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A06349"/>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link w:val="TOC1Char"/>
    <w:autoRedefine/>
    <w:uiPriority w:val="39"/>
    <w:unhideWhenUsed/>
    <w:qFormat/>
    <w:rsid w:val="00A063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A063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iPriority w:val="39"/>
    <w:unhideWhenUsed/>
    <w:qFormat/>
    <w:rsid w:val="00A063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qFormat/>
    <w:rsid w:val="00A06349"/>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A06349"/>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A06349"/>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A06349"/>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A06349"/>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A06349"/>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A06349"/>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A06349"/>
    <w:rPr>
      <w:rFonts w:ascii="Calibri" w:eastAsia="Calibri" w:hAnsi="Calibri" w:cs="Times New Roman"/>
    </w:rPr>
  </w:style>
  <w:style w:type="paragraph" w:customStyle="1" w:styleId="numridata0">
    <w:name w:val="numridata"/>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A06349"/>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A063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A06349"/>
    <w:rPr>
      <w:rFonts w:ascii="Times New Roman" w:eastAsia="Times New Roman" w:hAnsi="Times New Roman" w:cs="Times New Roman"/>
      <w:sz w:val="16"/>
      <w:szCs w:val="16"/>
    </w:rPr>
  </w:style>
  <w:style w:type="paragraph" w:customStyle="1" w:styleId="s32b251d">
    <w:name w:val="s32b251d"/>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A06349"/>
  </w:style>
  <w:style w:type="paragraph" w:customStyle="1" w:styleId="s30eec3f8">
    <w:name w:val="s30eec3f8"/>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A06349"/>
    <w:rPr>
      <w:sz w:val="24"/>
      <w:lang w:val="en-GB" w:eastAsia="fr-FR"/>
    </w:rPr>
  </w:style>
  <w:style w:type="paragraph" w:customStyle="1" w:styleId="JuPara">
    <w:name w:val="Ju_Para"/>
    <w:basedOn w:val="Normal"/>
    <w:link w:val="JuParaCar"/>
    <w:rsid w:val="00A063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A063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063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063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063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A06349"/>
    <w:rPr>
      <w:vertAlign w:val="superscript"/>
    </w:rPr>
  </w:style>
  <w:style w:type="paragraph" w:customStyle="1" w:styleId="ju-005fpara">
    <w:name w:val="ju-005fpara"/>
    <w:basedOn w:val="Normal"/>
    <w:rsid w:val="00A063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A06349"/>
  </w:style>
  <w:style w:type="character" w:customStyle="1" w:styleId="s7d2086b4">
    <w:name w:val="s7d2086b4"/>
    <w:basedOn w:val="DefaultParagraphFont"/>
    <w:uiPriority w:val="99"/>
    <w:rsid w:val="00A06349"/>
  </w:style>
  <w:style w:type="character" w:customStyle="1" w:styleId="hps">
    <w:name w:val="hps"/>
    <w:basedOn w:val="DefaultParagraphFont"/>
    <w:rsid w:val="00A06349"/>
  </w:style>
  <w:style w:type="paragraph" w:customStyle="1" w:styleId="paragrafi0">
    <w:name w:val="paragrafi"/>
    <w:basedOn w:val="Normal"/>
    <w:rsid w:val="00A063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A063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A06349"/>
    <w:rPr>
      <w:rFonts w:cs="Times New Roman"/>
    </w:rPr>
  </w:style>
  <w:style w:type="paragraph" w:customStyle="1" w:styleId="titulli0">
    <w:name w:val="titulli"/>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A06349"/>
  </w:style>
  <w:style w:type="paragraph" w:customStyle="1" w:styleId="akti0">
    <w:name w:val="akti"/>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A06349"/>
  </w:style>
  <w:style w:type="paragraph" w:customStyle="1" w:styleId="CM49">
    <w:name w:val="CM49"/>
    <w:basedOn w:val="Normal"/>
    <w:next w:val="Normal"/>
    <w:rsid w:val="00A06349"/>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A063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A06349"/>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A06349"/>
    <w:pPr>
      <w:widowControl w:val="0"/>
    </w:pPr>
    <w:rPr>
      <w:rFonts w:ascii="Helvetica" w:eastAsia="Times New Roman" w:hAnsi="Helvetica" w:cs="Helvetica"/>
      <w:lang w:val="sq-AL"/>
    </w:rPr>
  </w:style>
  <w:style w:type="paragraph" w:customStyle="1" w:styleId="CM57">
    <w:name w:val="CM57"/>
    <w:basedOn w:val="Normal"/>
    <w:next w:val="Normal"/>
    <w:rsid w:val="00A06349"/>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A06349"/>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A0634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063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0634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06349"/>
  </w:style>
  <w:style w:type="character" w:customStyle="1" w:styleId="StyleHeading6BoldChar">
    <w:name w:val="Style Heading 6 + Bold Char"/>
    <w:link w:val="StyleHeading6Bold"/>
    <w:rsid w:val="00A06349"/>
    <w:rPr>
      <w:rFonts w:ascii="Cambria" w:eastAsia="MS Mincho" w:hAnsi="Cambria" w:cs="Cambria"/>
      <w:b/>
      <w:bCs/>
      <w:i/>
      <w:iCs/>
      <w:color w:val="7F7F7F"/>
      <w:sz w:val="24"/>
      <w:szCs w:val="24"/>
    </w:rPr>
  </w:style>
  <w:style w:type="paragraph" w:customStyle="1" w:styleId="tableheaders">
    <w:name w:val="table headers"/>
    <w:rsid w:val="00A0634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06349"/>
    <w:rPr>
      <w:b w:val="0"/>
    </w:rPr>
  </w:style>
  <w:style w:type="paragraph" w:styleId="PlainText">
    <w:name w:val="Plain Text"/>
    <w:basedOn w:val="Normal"/>
    <w:link w:val="PlainTextChar"/>
    <w:uiPriority w:val="99"/>
    <w:unhideWhenUsed/>
    <w:rsid w:val="00A06349"/>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A06349"/>
    <w:rPr>
      <w:rFonts w:ascii="Consolas" w:eastAsia="Calibri" w:hAnsi="Consolas" w:cs="Times New Roman"/>
      <w:sz w:val="21"/>
      <w:szCs w:val="21"/>
      <w:lang w:val="sq-AL"/>
    </w:rPr>
  </w:style>
  <w:style w:type="paragraph" w:customStyle="1" w:styleId="StyleStyle1Bold">
    <w:name w:val="Style Style1 + Bold"/>
    <w:basedOn w:val="Style1"/>
    <w:rsid w:val="00A06349"/>
  </w:style>
  <w:style w:type="paragraph" w:customStyle="1" w:styleId="CM1">
    <w:name w:val="CM1"/>
    <w:basedOn w:val="Default"/>
    <w:next w:val="Default"/>
    <w:uiPriority w:val="99"/>
    <w:rsid w:val="00A06349"/>
    <w:rPr>
      <w:rFonts w:ascii="EUAlbertina" w:hAnsi="EUAlbertina"/>
      <w:color w:val="auto"/>
    </w:rPr>
  </w:style>
  <w:style w:type="paragraph" w:customStyle="1" w:styleId="CM4">
    <w:name w:val="CM4"/>
    <w:basedOn w:val="Normal"/>
    <w:next w:val="Normal"/>
    <w:uiPriority w:val="99"/>
    <w:rsid w:val="00A06349"/>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A06349"/>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A06349"/>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A06349"/>
    <w:rPr>
      <w:rFonts w:ascii="Tahoma" w:eastAsia="Times New Roman" w:hAnsi="Tahoma" w:cs="Times New Roman"/>
      <w:sz w:val="16"/>
      <w:szCs w:val="16"/>
      <w:lang w:val="sq-AL"/>
    </w:rPr>
  </w:style>
  <w:style w:type="numbering" w:customStyle="1" w:styleId="NoList3">
    <w:name w:val="No List3"/>
    <w:next w:val="NoList"/>
    <w:semiHidden/>
    <w:rsid w:val="00A06349"/>
  </w:style>
  <w:style w:type="numbering" w:customStyle="1" w:styleId="NoList4">
    <w:name w:val="No List4"/>
    <w:next w:val="NoList"/>
    <w:semiHidden/>
    <w:rsid w:val="00A06349"/>
  </w:style>
  <w:style w:type="paragraph" w:customStyle="1" w:styleId="Point1">
    <w:name w:val="Point 1"/>
    <w:basedOn w:val="Normal"/>
    <w:link w:val="Point1Char"/>
    <w:rsid w:val="00A06349"/>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A06349"/>
    <w:rPr>
      <w:rFonts w:ascii="Calibri" w:eastAsia="Times New Roman" w:hAnsi="Calibri" w:cs="Times New Roman"/>
      <w:sz w:val="24"/>
      <w:szCs w:val="24"/>
      <w:lang w:val="en-GB" w:eastAsia="en-GB"/>
    </w:rPr>
  </w:style>
  <w:style w:type="character" w:customStyle="1" w:styleId="longtext">
    <w:name w:val="long_text"/>
    <w:rsid w:val="00A06349"/>
    <w:rPr>
      <w:rFonts w:ascii="Comic Sans MS" w:hAnsi="Comic Sans MS"/>
      <w:b/>
      <w:sz w:val="96"/>
      <w:szCs w:val="24"/>
      <w:lang w:val="pl-PL" w:eastAsia="pl-PL" w:bidi="ar-SA"/>
    </w:rPr>
  </w:style>
  <w:style w:type="paragraph" w:customStyle="1" w:styleId="Text1">
    <w:name w:val="Text 1"/>
    <w:basedOn w:val="Normal"/>
    <w:link w:val="Text1Char"/>
    <w:rsid w:val="00A06349"/>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A06349"/>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A06349"/>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A06349"/>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A06349"/>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A06349"/>
  </w:style>
  <w:style w:type="character" w:customStyle="1" w:styleId="SectionTitleCharCharChar">
    <w:name w:val="SectionTitle Char Char Char"/>
    <w:link w:val="SectionTitleCharChar"/>
    <w:rsid w:val="00A0634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06349"/>
    <w:rPr>
      <w:rFonts w:ascii="Calibri" w:eastAsia="Times New Roman" w:hAnsi="Calibri" w:cs="Times New Roman"/>
      <w:b/>
      <w:bCs/>
      <w:smallCaps/>
      <w:sz w:val="28"/>
      <w:szCs w:val="28"/>
      <w:lang w:val="en-GB" w:eastAsia="en-GB"/>
    </w:rPr>
  </w:style>
  <w:style w:type="character" w:customStyle="1" w:styleId="Text1Char">
    <w:name w:val="Text 1 Char"/>
    <w:link w:val="Text1"/>
    <w:rsid w:val="00A06349"/>
    <w:rPr>
      <w:rFonts w:ascii="Calibri" w:eastAsia="Times New Roman" w:hAnsi="Calibri" w:cs="Times New Roman"/>
      <w:sz w:val="24"/>
      <w:szCs w:val="24"/>
      <w:lang w:val="en-GB" w:eastAsia="en-GB"/>
    </w:rPr>
  </w:style>
  <w:style w:type="character" w:customStyle="1" w:styleId="Point1CharChar">
    <w:name w:val="Point 1 Char Char"/>
    <w:rsid w:val="00A06349"/>
    <w:rPr>
      <w:sz w:val="24"/>
      <w:szCs w:val="24"/>
      <w:lang w:val="en-GB" w:eastAsia="en-GB" w:bidi="ar-SA"/>
    </w:rPr>
  </w:style>
  <w:style w:type="paragraph" w:customStyle="1" w:styleId="Point0">
    <w:name w:val="Point 0"/>
    <w:basedOn w:val="Normal"/>
    <w:rsid w:val="00A06349"/>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A06349"/>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A06349"/>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A06349"/>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A06349"/>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A06349"/>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A06349"/>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A0634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06349"/>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A06349"/>
    <w:rPr>
      <w:rFonts w:ascii="CG Times" w:hAnsi="CG Times"/>
      <w:sz w:val="22"/>
      <w:lang w:val="en-US" w:eastAsia="en-US" w:bidi="ar-SA"/>
    </w:rPr>
  </w:style>
  <w:style w:type="paragraph" w:customStyle="1" w:styleId="SectionTitle">
    <w:name w:val="SectionTitle"/>
    <w:basedOn w:val="Normal"/>
    <w:next w:val="Heading1"/>
    <w:rsid w:val="00A06349"/>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A06349"/>
  </w:style>
  <w:style w:type="paragraph" w:styleId="TableofFigures">
    <w:name w:val="table of figures"/>
    <w:basedOn w:val="Normal"/>
    <w:next w:val="Normal"/>
    <w:rsid w:val="00A06349"/>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A06349"/>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A06349"/>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A06349"/>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A06349"/>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A06349"/>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A06349"/>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A06349"/>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A06349"/>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A06349"/>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A06349"/>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A06349"/>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A06349"/>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A06349"/>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A06349"/>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A06349"/>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A06349"/>
    <w:pPr>
      <w:spacing w:after="0" w:line="360" w:lineRule="auto"/>
    </w:pPr>
    <w:rPr>
      <w:rFonts w:ascii="Tahoma" w:eastAsia="Times New Roman" w:hAnsi="Tahoma" w:cs="Times New Roman"/>
      <w:lang w:val="de-AT" w:eastAsia="de-DE"/>
    </w:rPr>
  </w:style>
  <w:style w:type="paragraph" w:styleId="List">
    <w:name w:val="List"/>
    <w:basedOn w:val="Normal"/>
    <w:rsid w:val="00A06349"/>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A06349"/>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A06349"/>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A06349"/>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A06349"/>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A06349"/>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A06349"/>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A06349"/>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A06349"/>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A06349"/>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A06349"/>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A06349"/>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A06349"/>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A06349"/>
    <w:rPr>
      <w:sz w:val="16"/>
      <w:szCs w:val="16"/>
    </w:rPr>
  </w:style>
  <w:style w:type="paragraph" w:styleId="CommentText">
    <w:name w:val="annotation text"/>
    <w:aliases w:val=" Char"/>
    <w:basedOn w:val="Normal"/>
    <w:link w:val="CommentTextChar"/>
    <w:uiPriority w:val="99"/>
    <w:unhideWhenUsed/>
    <w:rsid w:val="00A06349"/>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A063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06349"/>
    <w:rPr>
      <w:b/>
      <w:bCs/>
    </w:rPr>
  </w:style>
  <w:style w:type="character" w:customStyle="1" w:styleId="CommentSubjectChar">
    <w:name w:val="Comment Subject Char"/>
    <w:basedOn w:val="CommentTextChar"/>
    <w:link w:val="CommentSubject"/>
    <w:uiPriority w:val="99"/>
    <w:rsid w:val="00A06349"/>
    <w:rPr>
      <w:rFonts w:ascii="Calibri" w:eastAsia="MS Mincho" w:hAnsi="Calibri" w:cs="Times New Roman"/>
      <w:b/>
      <w:bCs/>
      <w:sz w:val="20"/>
      <w:szCs w:val="20"/>
      <w:lang w:val="sq-AL"/>
    </w:rPr>
  </w:style>
  <w:style w:type="paragraph" w:styleId="ListNumber4">
    <w:name w:val="List Number 4"/>
    <w:basedOn w:val="Normal"/>
    <w:rsid w:val="00A06349"/>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A06349"/>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A06349"/>
  </w:style>
  <w:style w:type="paragraph" w:styleId="MacroText">
    <w:name w:val="macro"/>
    <w:link w:val="MacroTextChar"/>
    <w:semiHidden/>
    <w:rsid w:val="00A0634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06349"/>
    <w:rPr>
      <w:rFonts w:ascii="Courier New" w:eastAsia="Times New Roman" w:hAnsi="Courier New" w:cs="Times New Roman"/>
      <w:lang w:val="de-DE" w:eastAsia="de-DE"/>
    </w:rPr>
  </w:style>
  <w:style w:type="paragraph" w:styleId="NormalIndent">
    <w:name w:val="Normal Indent"/>
    <w:basedOn w:val="Normal"/>
    <w:link w:val="NormalIndentChar"/>
    <w:rsid w:val="00A06349"/>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A06349"/>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A06349"/>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A06349"/>
    <w:rPr>
      <w:rFonts w:ascii="Tahoma" w:hAnsi="Tahoma"/>
      <w:sz w:val="22"/>
    </w:rPr>
  </w:style>
  <w:style w:type="paragraph" w:styleId="BlockText">
    <w:name w:val="Block Text"/>
    <w:basedOn w:val="Normal"/>
    <w:rsid w:val="00A06349"/>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A06349"/>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A06349"/>
    <w:rPr>
      <w:rFonts w:ascii="Tahoma" w:eastAsia="Times New Roman" w:hAnsi="Tahoma" w:cs="Times New Roman"/>
      <w:lang w:val="de-AT" w:eastAsia="de-DE"/>
    </w:rPr>
  </w:style>
  <w:style w:type="character" w:customStyle="1" w:styleId="Emphasis1">
    <w:name w:val="Emphasis1"/>
    <w:semiHidden/>
    <w:rsid w:val="00A06349"/>
  </w:style>
  <w:style w:type="paragraph" w:styleId="NoteHeading">
    <w:name w:val="Note Heading"/>
    <w:basedOn w:val="Normal"/>
    <w:next w:val="Normal"/>
    <w:link w:val="NoteHeadingChar"/>
    <w:rsid w:val="00A06349"/>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A06349"/>
    <w:rPr>
      <w:rFonts w:ascii="Tahoma" w:eastAsia="Times New Roman" w:hAnsi="Tahoma" w:cs="Times New Roman"/>
      <w:lang w:val="de-AT" w:eastAsia="de-DE"/>
    </w:rPr>
  </w:style>
  <w:style w:type="paragraph" w:styleId="MessageHeader">
    <w:name w:val="Message Header"/>
    <w:basedOn w:val="Normal"/>
    <w:link w:val="MessageHeaderChar"/>
    <w:semiHidden/>
    <w:rsid w:val="00A0634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A0634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06349"/>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A063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A06349"/>
    <w:rPr>
      <w:rFonts w:ascii="Tahoma" w:eastAsia="Times New Roman" w:hAnsi="Tahoma" w:cs="Times New Roman"/>
      <w:sz w:val="20"/>
      <w:szCs w:val="20"/>
    </w:rPr>
  </w:style>
  <w:style w:type="character" w:styleId="EndnoteReference">
    <w:name w:val="endnote reference"/>
    <w:uiPriority w:val="99"/>
    <w:semiHidden/>
    <w:unhideWhenUsed/>
    <w:rsid w:val="00A06349"/>
    <w:rPr>
      <w:vertAlign w:val="superscript"/>
    </w:rPr>
  </w:style>
  <w:style w:type="paragraph" w:styleId="BodyTextFirstIndent2">
    <w:name w:val="Body Text First Indent 2"/>
    <w:basedOn w:val="BodyTextIndent"/>
    <w:link w:val="BodyTextFirstIndent2Char"/>
    <w:semiHidden/>
    <w:rsid w:val="00A0634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06349"/>
    <w:rPr>
      <w:rFonts w:ascii="Tahoma" w:eastAsia="Times New Roman" w:hAnsi="Tahoma" w:cs="Times New Roman"/>
      <w:lang w:val="de-AT" w:eastAsia="de-DE"/>
    </w:rPr>
  </w:style>
  <w:style w:type="numbering" w:styleId="111111">
    <w:name w:val="Outline List 2"/>
    <w:basedOn w:val="NoList"/>
    <w:semiHidden/>
    <w:rsid w:val="00A06349"/>
    <w:pPr>
      <w:numPr>
        <w:numId w:val="14"/>
      </w:numPr>
    </w:pPr>
  </w:style>
  <w:style w:type="paragraph" w:customStyle="1" w:styleId="Zusatz2">
    <w:name w:val="Zusatz 2"/>
    <w:basedOn w:val="Normal"/>
    <w:next w:val="Normal"/>
    <w:semiHidden/>
    <w:rsid w:val="00A06349"/>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A06349"/>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A06349"/>
    <w:pPr>
      <w:numPr>
        <w:numId w:val="15"/>
      </w:numPr>
    </w:pPr>
  </w:style>
  <w:style w:type="paragraph" w:styleId="Salutation">
    <w:name w:val="Salutation"/>
    <w:basedOn w:val="Normal"/>
    <w:next w:val="Normal"/>
    <w:link w:val="SalutationChar"/>
    <w:semiHidden/>
    <w:rsid w:val="00A06349"/>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A06349"/>
    <w:rPr>
      <w:rFonts w:ascii="Tahoma" w:eastAsia="Times New Roman" w:hAnsi="Tahoma" w:cs="Times New Roman"/>
      <w:lang w:val="de-AT" w:eastAsia="de-DE"/>
    </w:rPr>
  </w:style>
  <w:style w:type="numbering" w:styleId="ArticleSection">
    <w:name w:val="Outline List 3"/>
    <w:basedOn w:val="NoList"/>
    <w:semiHidden/>
    <w:rsid w:val="00A06349"/>
    <w:pPr>
      <w:numPr>
        <w:numId w:val="16"/>
      </w:numPr>
    </w:pPr>
  </w:style>
  <w:style w:type="paragraph" w:styleId="Closing">
    <w:name w:val="Closing"/>
    <w:basedOn w:val="Normal"/>
    <w:link w:val="ClosingChar"/>
    <w:semiHidden/>
    <w:rsid w:val="00A06349"/>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A06349"/>
    <w:rPr>
      <w:rFonts w:ascii="Tahoma" w:eastAsia="Times New Roman" w:hAnsi="Tahoma" w:cs="Times New Roman"/>
      <w:lang w:val="de-AT" w:eastAsia="de-DE"/>
    </w:rPr>
  </w:style>
  <w:style w:type="character" w:styleId="Emphasis">
    <w:name w:val="Emphasis"/>
    <w:uiPriority w:val="99"/>
    <w:qFormat/>
    <w:rsid w:val="00A06349"/>
    <w:rPr>
      <w:i/>
      <w:iCs/>
    </w:rPr>
  </w:style>
  <w:style w:type="paragraph" w:styleId="HTMLAddress">
    <w:name w:val="HTML Address"/>
    <w:basedOn w:val="Normal"/>
    <w:link w:val="HTMLAddressChar"/>
    <w:semiHidden/>
    <w:rsid w:val="00A06349"/>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A06349"/>
    <w:rPr>
      <w:rFonts w:ascii="Tahoma" w:eastAsia="Times New Roman" w:hAnsi="Tahoma" w:cs="Times New Roman"/>
      <w:i/>
      <w:iCs/>
      <w:lang w:val="de-AT" w:eastAsia="de-DE"/>
    </w:rPr>
  </w:style>
  <w:style w:type="character" w:styleId="HTMLAcronym">
    <w:name w:val="HTML Acronym"/>
    <w:semiHidden/>
    <w:rsid w:val="00A06349"/>
  </w:style>
  <w:style w:type="character" w:styleId="HTMLSample">
    <w:name w:val="HTML Sample"/>
    <w:semiHidden/>
    <w:rsid w:val="00A06349"/>
    <w:rPr>
      <w:rFonts w:ascii="Courier New" w:hAnsi="Courier New" w:cs="Courier New"/>
    </w:rPr>
  </w:style>
  <w:style w:type="character" w:styleId="HTMLCode">
    <w:name w:val="HTML Code"/>
    <w:semiHidden/>
    <w:rsid w:val="00A06349"/>
    <w:rPr>
      <w:rFonts w:ascii="Courier New" w:hAnsi="Courier New" w:cs="Courier New"/>
      <w:sz w:val="20"/>
      <w:szCs w:val="20"/>
    </w:rPr>
  </w:style>
  <w:style w:type="character" w:styleId="HTMLDefinition">
    <w:name w:val="HTML Definition"/>
    <w:semiHidden/>
    <w:rsid w:val="00A06349"/>
    <w:rPr>
      <w:i/>
      <w:iCs/>
    </w:rPr>
  </w:style>
  <w:style w:type="character" w:styleId="HTMLTypewriter">
    <w:name w:val="HTML Typewriter"/>
    <w:semiHidden/>
    <w:rsid w:val="00A06349"/>
    <w:rPr>
      <w:rFonts w:ascii="Courier New" w:hAnsi="Courier New" w:cs="Courier New"/>
      <w:sz w:val="20"/>
      <w:szCs w:val="20"/>
    </w:rPr>
  </w:style>
  <w:style w:type="character" w:styleId="HTMLKeyboard">
    <w:name w:val="HTML Keyboard"/>
    <w:semiHidden/>
    <w:rsid w:val="00A06349"/>
    <w:rPr>
      <w:rFonts w:ascii="Courier New" w:hAnsi="Courier New" w:cs="Courier New"/>
      <w:sz w:val="20"/>
      <w:szCs w:val="20"/>
    </w:rPr>
  </w:style>
  <w:style w:type="character" w:styleId="HTMLVariable">
    <w:name w:val="HTML Variable"/>
    <w:semiHidden/>
    <w:rsid w:val="00A06349"/>
    <w:rPr>
      <w:i/>
      <w:iCs/>
    </w:rPr>
  </w:style>
  <w:style w:type="paragraph" w:styleId="HTMLPreformatted">
    <w:name w:val="HTML Preformatted"/>
    <w:basedOn w:val="Normal"/>
    <w:link w:val="HTMLPreformattedChar"/>
    <w:uiPriority w:val="99"/>
    <w:rsid w:val="00A06349"/>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A06349"/>
    <w:rPr>
      <w:rFonts w:ascii="Courier New" w:eastAsia="Times New Roman" w:hAnsi="Courier New" w:cs="Times New Roman"/>
      <w:sz w:val="20"/>
      <w:lang w:val="de-AT" w:eastAsia="de-DE"/>
    </w:rPr>
  </w:style>
  <w:style w:type="character" w:styleId="HTMLCite">
    <w:name w:val="HTML Cite"/>
    <w:semiHidden/>
    <w:rsid w:val="00A06349"/>
    <w:rPr>
      <w:i/>
      <w:iCs/>
    </w:rPr>
  </w:style>
  <w:style w:type="table" w:styleId="Table3Deffects1">
    <w:name w:val="Table 3D effects 1"/>
    <w:basedOn w:val="TableNormal"/>
    <w:semiHidden/>
    <w:rsid w:val="00A0634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0634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0634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0634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0634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0634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0634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0634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0634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0634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0634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0634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0634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0634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0634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0634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0634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0634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0634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0634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0634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06349"/>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A06349"/>
    <w:rPr>
      <w:rFonts w:ascii="Tahoma" w:eastAsia="Times New Roman" w:hAnsi="Tahoma" w:cs="Times New Roman"/>
      <w:lang w:val="de-AT" w:eastAsia="de-DE"/>
    </w:rPr>
  </w:style>
  <w:style w:type="paragraph" w:styleId="E-mailSignature">
    <w:name w:val="E-mail Signature"/>
    <w:basedOn w:val="Normal"/>
    <w:link w:val="E-mailSignatureChar"/>
    <w:rsid w:val="00A06349"/>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A06349"/>
    <w:rPr>
      <w:rFonts w:ascii="Tahoma" w:eastAsia="Times New Roman" w:hAnsi="Tahoma" w:cs="Times New Roman"/>
      <w:lang w:val="de-AT" w:eastAsia="de-DE"/>
    </w:rPr>
  </w:style>
  <w:style w:type="paragraph" w:styleId="BodyText2">
    <w:name w:val="Body Text 2"/>
    <w:basedOn w:val="Normal"/>
    <w:link w:val="BodyText2Char"/>
    <w:rsid w:val="00A06349"/>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A06349"/>
    <w:rPr>
      <w:rFonts w:ascii="Tahoma" w:eastAsia="Times New Roman" w:hAnsi="Tahoma" w:cs="Times New Roman"/>
      <w:lang w:val="de-AT" w:eastAsia="de-DE"/>
    </w:rPr>
  </w:style>
  <w:style w:type="paragraph" w:styleId="BodyTextIndent2">
    <w:name w:val="Body Text Indent 2"/>
    <w:basedOn w:val="Normal"/>
    <w:link w:val="BodyTextIndent2Char"/>
    <w:rsid w:val="00A06349"/>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A06349"/>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A06349"/>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A0634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0634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0634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06349"/>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A0634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06349"/>
    <w:rPr>
      <w:rFonts w:ascii="CG Times" w:eastAsia="Times New Roman" w:hAnsi="CG Times" w:cs="Times New Roman"/>
      <w:b/>
      <w:szCs w:val="24"/>
    </w:rPr>
  </w:style>
  <w:style w:type="character" w:customStyle="1" w:styleId="SubtitleChar1">
    <w:name w:val="Subtitle Char1"/>
    <w:locked/>
    <w:rsid w:val="00A06349"/>
    <w:rPr>
      <w:rFonts w:ascii="Cambria" w:hAnsi="Cambria"/>
      <w:sz w:val="24"/>
      <w:szCs w:val="24"/>
    </w:rPr>
  </w:style>
  <w:style w:type="paragraph" w:customStyle="1" w:styleId="Char1">
    <w:name w:val="Char1"/>
    <w:basedOn w:val="Normal"/>
    <w:rsid w:val="00A06349"/>
    <w:pPr>
      <w:spacing w:line="240" w:lineRule="exact"/>
    </w:pPr>
    <w:rPr>
      <w:rFonts w:ascii="Arial" w:eastAsia="Times New Roman" w:hAnsi="Arial" w:cs="Arial"/>
      <w:sz w:val="20"/>
      <w:szCs w:val="20"/>
    </w:rPr>
  </w:style>
  <w:style w:type="character" w:customStyle="1" w:styleId="CharChar11">
    <w:name w:val="Char Char11"/>
    <w:semiHidden/>
    <w:locked/>
    <w:rsid w:val="00A06349"/>
    <w:rPr>
      <w:rFonts w:ascii="Tahoma" w:hAnsi="Tahoma" w:cs="Tahoma"/>
      <w:i/>
      <w:iCs/>
      <w:sz w:val="22"/>
      <w:szCs w:val="22"/>
      <w:lang w:val="de-AT" w:eastAsia="de-DE" w:bidi="ar-SA"/>
    </w:rPr>
  </w:style>
  <w:style w:type="character" w:customStyle="1" w:styleId="CharChar36">
    <w:name w:val="Char Char36"/>
    <w:locked/>
    <w:rsid w:val="00A06349"/>
    <w:rPr>
      <w:rFonts w:ascii="Arial" w:hAnsi="Arial" w:cs="Arial"/>
      <w:b/>
      <w:bCs/>
      <w:kern w:val="32"/>
      <w:sz w:val="32"/>
      <w:szCs w:val="32"/>
      <w:lang w:val="sq-AL" w:eastAsia="en-US" w:bidi="ar-SA"/>
    </w:rPr>
  </w:style>
  <w:style w:type="character" w:customStyle="1" w:styleId="CharChar35">
    <w:name w:val="Char Char35"/>
    <w:locked/>
    <w:rsid w:val="00A06349"/>
    <w:rPr>
      <w:rFonts w:ascii="Arial" w:hAnsi="Arial" w:cs="Arial"/>
      <w:b/>
      <w:bCs/>
      <w:i/>
      <w:iCs/>
      <w:sz w:val="28"/>
      <w:szCs w:val="28"/>
      <w:lang w:val="sq-AL" w:eastAsia="en-US" w:bidi="ar-SA"/>
    </w:rPr>
  </w:style>
  <w:style w:type="character" w:customStyle="1" w:styleId="CharChar34">
    <w:name w:val="Char Char34"/>
    <w:locked/>
    <w:rsid w:val="00A06349"/>
    <w:rPr>
      <w:rFonts w:ascii="Tahoma" w:hAnsi="Tahoma"/>
      <w:b/>
      <w:kern w:val="28"/>
      <w:sz w:val="24"/>
      <w:szCs w:val="28"/>
      <w:lang w:val="de-AT" w:eastAsia="de-DE" w:bidi="ar-SA"/>
    </w:rPr>
  </w:style>
  <w:style w:type="character" w:customStyle="1" w:styleId="CharChar33">
    <w:name w:val="Char Char33"/>
    <w:locked/>
    <w:rsid w:val="00A06349"/>
    <w:rPr>
      <w:rFonts w:ascii="Tahoma" w:hAnsi="Tahoma"/>
      <w:b/>
      <w:i/>
      <w:kern w:val="28"/>
      <w:sz w:val="22"/>
      <w:szCs w:val="22"/>
      <w:lang w:val="de-AT" w:eastAsia="de-DE" w:bidi="ar-SA"/>
    </w:rPr>
  </w:style>
  <w:style w:type="character" w:customStyle="1" w:styleId="CharChar32">
    <w:name w:val="Char Char32"/>
    <w:locked/>
    <w:rsid w:val="00A06349"/>
    <w:rPr>
      <w:rFonts w:ascii="Tahoma" w:hAnsi="Tahoma"/>
      <w:b/>
      <w:i/>
      <w:kern w:val="28"/>
      <w:sz w:val="22"/>
      <w:szCs w:val="22"/>
      <w:lang w:val="de-AT" w:eastAsia="de-DE" w:bidi="ar-SA"/>
    </w:rPr>
  </w:style>
  <w:style w:type="character" w:customStyle="1" w:styleId="CharChar31">
    <w:name w:val="Char Char31"/>
    <w:locked/>
    <w:rsid w:val="00A06349"/>
    <w:rPr>
      <w:rFonts w:ascii="Tahoma" w:hAnsi="Tahoma"/>
      <w:b/>
      <w:i/>
      <w:kern w:val="28"/>
      <w:sz w:val="22"/>
      <w:szCs w:val="22"/>
      <w:lang w:val="de-AT" w:eastAsia="de-DE" w:bidi="ar-SA"/>
    </w:rPr>
  </w:style>
  <w:style w:type="character" w:customStyle="1" w:styleId="CharChar10">
    <w:name w:val="Char Char10"/>
    <w:semiHidden/>
    <w:locked/>
    <w:rsid w:val="00A06349"/>
    <w:rPr>
      <w:rFonts w:ascii="Courier New" w:hAnsi="Courier New" w:cs="Courier New"/>
      <w:szCs w:val="22"/>
      <w:lang w:val="de-AT" w:eastAsia="de-DE" w:bidi="ar-SA"/>
    </w:rPr>
  </w:style>
  <w:style w:type="character" w:customStyle="1" w:styleId="CharChar30">
    <w:name w:val="Char Char30"/>
    <w:locked/>
    <w:rsid w:val="00A06349"/>
    <w:rPr>
      <w:rFonts w:ascii="Tahoma" w:hAnsi="Tahoma"/>
      <w:b/>
      <w:i/>
      <w:kern w:val="28"/>
      <w:sz w:val="22"/>
      <w:szCs w:val="22"/>
      <w:lang w:val="de-AT" w:eastAsia="de-DE" w:bidi="ar-SA"/>
    </w:rPr>
  </w:style>
  <w:style w:type="character" w:customStyle="1" w:styleId="CharChar29">
    <w:name w:val="Char Char29"/>
    <w:locked/>
    <w:rsid w:val="00A06349"/>
    <w:rPr>
      <w:rFonts w:ascii="Tahoma" w:hAnsi="Tahoma"/>
      <w:b/>
      <w:i/>
      <w:kern w:val="28"/>
      <w:sz w:val="22"/>
      <w:szCs w:val="22"/>
      <w:lang w:val="de-AT" w:eastAsia="de-DE" w:bidi="ar-SA"/>
    </w:rPr>
  </w:style>
  <w:style w:type="character" w:customStyle="1" w:styleId="CharChar28">
    <w:name w:val="Char Char28"/>
    <w:locked/>
    <w:rsid w:val="00A06349"/>
    <w:rPr>
      <w:rFonts w:ascii="Tahoma" w:hAnsi="Tahoma"/>
      <w:b/>
      <w:i/>
      <w:kern w:val="28"/>
      <w:sz w:val="22"/>
      <w:szCs w:val="22"/>
      <w:lang w:val="de-AT" w:eastAsia="de-DE" w:bidi="ar-SA"/>
    </w:rPr>
  </w:style>
  <w:style w:type="character" w:customStyle="1" w:styleId="CharChar27">
    <w:name w:val="Char Char27"/>
    <w:locked/>
    <w:rsid w:val="00A06349"/>
    <w:rPr>
      <w:rFonts w:ascii="Calibri" w:eastAsia="Calibri" w:hAnsi="Calibri"/>
      <w:lang w:val="sq-AL" w:eastAsia="en-US" w:bidi="ar-SA"/>
    </w:rPr>
  </w:style>
  <w:style w:type="character" w:customStyle="1" w:styleId="CharChar24">
    <w:name w:val="Char Char24"/>
    <w:locked/>
    <w:rsid w:val="00A06349"/>
    <w:rPr>
      <w:rFonts w:ascii="Tahoma" w:hAnsi="Tahoma" w:cs="Tahoma"/>
      <w:sz w:val="22"/>
      <w:szCs w:val="22"/>
      <w:lang w:val="de-AT" w:eastAsia="de-DE" w:bidi="ar-SA"/>
    </w:rPr>
  </w:style>
  <w:style w:type="character" w:customStyle="1" w:styleId="CharChar23">
    <w:name w:val="Char Char23"/>
    <w:locked/>
    <w:rsid w:val="00A06349"/>
    <w:rPr>
      <w:rFonts w:ascii="Tahoma" w:hAnsi="Tahoma" w:cs="Tahoma"/>
      <w:sz w:val="22"/>
      <w:szCs w:val="22"/>
      <w:lang w:val="de-AT" w:eastAsia="de-DE" w:bidi="ar-SA"/>
    </w:rPr>
  </w:style>
  <w:style w:type="character" w:customStyle="1" w:styleId="CharChar22">
    <w:name w:val="Char Char22"/>
    <w:semiHidden/>
    <w:locked/>
    <w:rsid w:val="00A06349"/>
    <w:rPr>
      <w:rFonts w:ascii="Courier New" w:hAnsi="Courier New" w:cs="Courier New"/>
      <w:sz w:val="22"/>
      <w:szCs w:val="22"/>
      <w:lang w:val="de-DE" w:eastAsia="de-DE" w:bidi="ar-SA"/>
    </w:rPr>
  </w:style>
  <w:style w:type="character" w:customStyle="1" w:styleId="CharChar21">
    <w:name w:val="Char Char21"/>
    <w:locked/>
    <w:rsid w:val="00A06349"/>
    <w:rPr>
      <w:rFonts w:ascii="Tahoma" w:hAnsi="Tahoma" w:cs="Tahoma"/>
      <w:b/>
      <w:kern w:val="28"/>
      <w:sz w:val="36"/>
      <w:szCs w:val="36"/>
      <w:lang w:val="de-AT" w:eastAsia="de-DE" w:bidi="ar-SA"/>
    </w:rPr>
  </w:style>
  <w:style w:type="character" w:customStyle="1" w:styleId="CharChar12">
    <w:name w:val="Char Char12"/>
    <w:semiHidden/>
    <w:locked/>
    <w:rsid w:val="00A06349"/>
    <w:rPr>
      <w:rFonts w:ascii="Tahoma" w:hAnsi="Tahoma" w:cs="Tahoma"/>
      <w:sz w:val="22"/>
      <w:szCs w:val="22"/>
      <w:lang w:val="de-AT" w:eastAsia="de-DE" w:bidi="ar-SA"/>
    </w:rPr>
  </w:style>
  <w:style w:type="character" w:customStyle="1" w:styleId="CharChar9">
    <w:name w:val="Char Char9"/>
    <w:semiHidden/>
    <w:locked/>
    <w:rsid w:val="00A06349"/>
    <w:rPr>
      <w:rFonts w:ascii="Tahoma" w:hAnsi="Tahoma" w:cs="Tahoma"/>
      <w:sz w:val="22"/>
      <w:szCs w:val="22"/>
      <w:lang w:val="de-AT" w:eastAsia="de-DE" w:bidi="ar-SA"/>
    </w:rPr>
  </w:style>
  <w:style w:type="character" w:customStyle="1" w:styleId="CharChar25">
    <w:name w:val="Char Char25"/>
    <w:semiHidden/>
    <w:locked/>
    <w:rsid w:val="00A06349"/>
    <w:rPr>
      <w:rFonts w:ascii="Tahoma" w:hAnsi="Tahoma" w:cs="Tahoma"/>
      <w:sz w:val="22"/>
      <w:szCs w:val="22"/>
      <w:lang w:val="de-AT" w:eastAsia="de-DE" w:bidi="ar-SA"/>
    </w:rPr>
  </w:style>
  <w:style w:type="character" w:customStyle="1" w:styleId="CharChar15">
    <w:name w:val="Char Char15"/>
    <w:semiHidden/>
    <w:locked/>
    <w:rsid w:val="00A06349"/>
    <w:rPr>
      <w:rFonts w:ascii="Tahoma" w:hAnsi="Tahoma" w:cs="Tahoma"/>
      <w:sz w:val="22"/>
      <w:szCs w:val="22"/>
      <w:lang w:val="de-AT" w:eastAsia="de-DE" w:bidi="ar-SA"/>
    </w:rPr>
  </w:style>
  <w:style w:type="character" w:customStyle="1" w:styleId="CharChar16">
    <w:name w:val="Char Char16"/>
    <w:semiHidden/>
    <w:locked/>
    <w:rsid w:val="00A06349"/>
    <w:rPr>
      <w:rFonts w:ascii="Tahoma" w:hAnsi="Tahoma" w:cs="Arial"/>
      <w:sz w:val="24"/>
      <w:szCs w:val="24"/>
      <w:lang w:val="de-AT" w:eastAsia="de-DE" w:bidi="ar-SA"/>
    </w:rPr>
  </w:style>
  <w:style w:type="character" w:customStyle="1" w:styleId="CharChar20">
    <w:name w:val="Char Char20"/>
    <w:locked/>
    <w:rsid w:val="00A06349"/>
    <w:rPr>
      <w:rFonts w:ascii="Tahoma" w:hAnsi="Tahoma" w:cs="Tahoma"/>
      <w:b/>
      <w:kern w:val="28"/>
      <w:sz w:val="32"/>
      <w:szCs w:val="36"/>
      <w:lang w:val="de-AT" w:eastAsia="de-DE" w:bidi="ar-SA"/>
    </w:rPr>
  </w:style>
  <w:style w:type="character" w:customStyle="1" w:styleId="CharChar13">
    <w:name w:val="Char Char13"/>
    <w:semiHidden/>
    <w:locked/>
    <w:rsid w:val="00A06349"/>
    <w:rPr>
      <w:rFonts w:ascii="Tahoma" w:hAnsi="Tahoma" w:cs="Tahoma"/>
      <w:sz w:val="22"/>
      <w:szCs w:val="22"/>
      <w:lang w:val="de-AT" w:eastAsia="de-DE" w:bidi="ar-SA"/>
    </w:rPr>
  </w:style>
  <w:style w:type="character" w:customStyle="1" w:styleId="CharChar19">
    <w:name w:val="Char Char19"/>
    <w:semiHidden/>
    <w:locked/>
    <w:rsid w:val="00A06349"/>
    <w:rPr>
      <w:rFonts w:ascii="Tahoma" w:hAnsi="Tahoma" w:cs="Tahoma"/>
      <w:sz w:val="22"/>
      <w:szCs w:val="22"/>
      <w:lang w:val="de-AT" w:eastAsia="de-DE" w:bidi="ar-SA"/>
    </w:rPr>
  </w:style>
  <w:style w:type="character" w:customStyle="1" w:styleId="CharChar3">
    <w:name w:val="Char Char3"/>
    <w:semiHidden/>
    <w:locked/>
    <w:rsid w:val="00A06349"/>
  </w:style>
  <w:style w:type="character" w:customStyle="1" w:styleId="CharChar14">
    <w:name w:val="Char Char14"/>
    <w:semiHidden/>
    <w:locked/>
    <w:rsid w:val="00A06349"/>
  </w:style>
  <w:style w:type="character" w:customStyle="1" w:styleId="CharChar17">
    <w:name w:val="Char Char17"/>
    <w:locked/>
    <w:rsid w:val="00A06349"/>
    <w:rPr>
      <w:rFonts w:ascii="Tahoma" w:hAnsi="Tahoma" w:cs="Tahoma"/>
      <w:sz w:val="22"/>
      <w:szCs w:val="22"/>
      <w:lang w:val="de-AT" w:eastAsia="de-DE" w:bidi="ar-SA"/>
    </w:rPr>
  </w:style>
  <w:style w:type="character" w:customStyle="1" w:styleId="CharChar7">
    <w:name w:val="Char Char7"/>
    <w:semiHidden/>
    <w:locked/>
    <w:rsid w:val="00A06349"/>
    <w:rPr>
      <w:rFonts w:ascii="Tahoma" w:hAnsi="Tahoma" w:cs="Tahoma"/>
      <w:sz w:val="22"/>
      <w:szCs w:val="22"/>
      <w:lang w:val="de-AT" w:eastAsia="de-DE" w:bidi="ar-SA"/>
    </w:rPr>
  </w:style>
  <w:style w:type="character" w:customStyle="1" w:styleId="CharChar6">
    <w:name w:val="Char Char6"/>
    <w:semiHidden/>
    <w:locked/>
    <w:rsid w:val="00A06349"/>
    <w:rPr>
      <w:rFonts w:ascii="Tahoma" w:hAnsi="Tahoma" w:cs="Tahoma"/>
      <w:sz w:val="16"/>
      <w:szCs w:val="16"/>
      <w:lang w:val="de-AT" w:eastAsia="de-DE" w:bidi="ar-SA"/>
    </w:rPr>
  </w:style>
  <w:style w:type="character" w:customStyle="1" w:styleId="CharChar5">
    <w:name w:val="Char Char5"/>
    <w:semiHidden/>
    <w:locked/>
    <w:rsid w:val="00A06349"/>
    <w:rPr>
      <w:rFonts w:ascii="Tahoma" w:hAnsi="Tahoma" w:cs="Tahoma"/>
      <w:sz w:val="22"/>
      <w:szCs w:val="22"/>
      <w:lang w:val="de-AT" w:eastAsia="de-DE" w:bidi="ar-SA"/>
    </w:rPr>
  </w:style>
  <w:style w:type="character" w:customStyle="1" w:styleId="CharChar4">
    <w:name w:val="Char Char4"/>
    <w:semiHidden/>
    <w:locked/>
    <w:rsid w:val="00A06349"/>
    <w:rPr>
      <w:rFonts w:ascii="Tahoma" w:hAnsi="Tahoma" w:cs="Tahoma"/>
      <w:sz w:val="16"/>
      <w:szCs w:val="16"/>
      <w:lang w:val="de-AT" w:eastAsia="de-DE" w:bidi="ar-SA"/>
    </w:rPr>
  </w:style>
  <w:style w:type="character" w:customStyle="1" w:styleId="CharChar18">
    <w:name w:val="Char Char18"/>
    <w:semiHidden/>
    <w:locked/>
    <w:rsid w:val="00A06349"/>
    <w:rPr>
      <w:rFonts w:ascii="Tahoma" w:hAnsi="Tahoma" w:cs="Tahoma"/>
      <w:sz w:val="22"/>
      <w:szCs w:val="22"/>
      <w:lang w:val="de-AT" w:eastAsia="de-DE" w:bidi="ar-SA"/>
    </w:rPr>
  </w:style>
  <w:style w:type="character" w:customStyle="1" w:styleId="CharChar8">
    <w:name w:val="Char Char8"/>
    <w:locked/>
    <w:rsid w:val="00A06349"/>
    <w:rPr>
      <w:rFonts w:ascii="Tahoma" w:hAnsi="Tahoma" w:cs="Tahoma"/>
      <w:sz w:val="22"/>
      <w:szCs w:val="22"/>
      <w:lang w:val="de-AT" w:eastAsia="de-DE" w:bidi="ar-SA"/>
    </w:rPr>
  </w:style>
  <w:style w:type="character" w:customStyle="1" w:styleId="CharChar2">
    <w:name w:val="Char Char2"/>
    <w:locked/>
    <w:rsid w:val="00A06349"/>
    <w:rPr>
      <w:rFonts w:ascii="Calibri" w:eastAsia="Calibri" w:hAnsi="Calibri" w:cs="Times New Roman"/>
      <w:b/>
      <w:bCs/>
      <w:sz w:val="20"/>
      <w:szCs w:val="20"/>
      <w:lang w:val="sq-AL" w:eastAsia="en-US" w:bidi="ar-SA"/>
    </w:rPr>
  </w:style>
  <w:style w:type="character" w:customStyle="1" w:styleId="CharChar26">
    <w:name w:val="Char Char26"/>
    <w:semiHidden/>
    <w:locked/>
    <w:rsid w:val="00A06349"/>
    <w:rPr>
      <w:rFonts w:ascii="Tahoma" w:hAnsi="Tahoma" w:cs="Tahoma"/>
      <w:sz w:val="16"/>
      <w:szCs w:val="16"/>
      <w:lang w:val="sq-AL" w:eastAsia="en-US" w:bidi="ar-SA"/>
    </w:rPr>
  </w:style>
  <w:style w:type="character" w:customStyle="1" w:styleId="CommentTextChar11">
    <w:name w:val="Comment Text Char11"/>
    <w:aliases w:val="Char Char37"/>
    <w:semiHidden/>
    <w:rsid w:val="00A06349"/>
    <w:rPr>
      <w:rFonts w:ascii="Calibri" w:hAnsi="Calibri" w:hint="default"/>
      <w:lang w:val="sq-AL"/>
    </w:rPr>
  </w:style>
  <w:style w:type="character" w:customStyle="1" w:styleId="NormalIndentChar">
    <w:name w:val="Normal Indent Char"/>
    <w:link w:val="NormalIndent"/>
    <w:rsid w:val="00A0634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06349"/>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A06349"/>
    <w:pPr>
      <w:tabs>
        <w:tab w:val="num" w:pos="360"/>
        <w:tab w:val="num" w:pos="1935"/>
        <w:tab w:val="num" w:pos="2563"/>
        <w:tab w:val="num" w:pos="3474"/>
      </w:tabs>
      <w:ind w:left="1935" w:hanging="360"/>
      <w:outlineLvl w:val="6"/>
    </w:pPr>
  </w:style>
  <w:style w:type="character" w:customStyle="1" w:styleId="AODefHeadChar">
    <w:name w:val="AODefHead Char"/>
    <w:link w:val="AODefHead"/>
    <w:rsid w:val="00A06349"/>
    <w:rPr>
      <w:rFonts w:ascii="Times New Roman" w:eastAsia="Times New Roman" w:hAnsi="Times New Roman" w:cs="Times New Roman"/>
      <w:szCs w:val="20"/>
      <w:lang w:val="sq-AL" w:eastAsia="sq-AL" w:bidi="sq-AL"/>
    </w:rPr>
  </w:style>
  <w:style w:type="paragraph" w:customStyle="1" w:styleId="PARA">
    <w:name w:val="PARA"/>
    <w:basedOn w:val="Normal"/>
    <w:locked/>
    <w:rsid w:val="00A06349"/>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06349"/>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A0634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06349"/>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A0634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06349"/>
    <w:rPr>
      <w:color w:val="0000FF"/>
      <w:spacing w:val="0"/>
      <w:u w:val="double"/>
    </w:rPr>
  </w:style>
  <w:style w:type="paragraph" w:customStyle="1" w:styleId="dia">
    <w:name w:val="di(a)"/>
    <w:basedOn w:val="Normal"/>
    <w:rsid w:val="00A06349"/>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A06349"/>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A06349"/>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A06349"/>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A0634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0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A06349"/>
    <w:rPr>
      <w:rFonts w:cs="Times New Roman"/>
      <w:color w:val="808080"/>
    </w:rPr>
  </w:style>
  <w:style w:type="character" w:customStyle="1" w:styleId="az12">
    <w:name w:val="az12"/>
    <w:uiPriority w:val="99"/>
    <w:rsid w:val="00A0634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0634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06349"/>
    <w:rPr>
      <w:rFonts w:ascii="Calibri" w:eastAsia="Times New Roman" w:hAnsi="Calibri" w:cs="Times New Roman"/>
      <w:sz w:val="24"/>
      <w:szCs w:val="24"/>
      <w:lang w:val="en-GB" w:eastAsia="en-GB"/>
    </w:rPr>
  </w:style>
  <w:style w:type="paragraph" w:customStyle="1" w:styleId="Paragraf02">
    <w:name w:val="Paragraf 0.2"/>
    <w:basedOn w:val="Paragrafi"/>
    <w:qFormat/>
    <w:rsid w:val="00A06349"/>
    <w:pPr>
      <w:tabs>
        <w:tab w:val="left" w:pos="6575"/>
      </w:tabs>
    </w:pPr>
    <w:rPr>
      <w:spacing w:val="-4"/>
    </w:rPr>
  </w:style>
  <w:style w:type="table" w:customStyle="1" w:styleId="TableGrid30">
    <w:name w:val="Table Grid3"/>
    <w:basedOn w:val="TableNormal"/>
    <w:next w:val="TableGrid"/>
    <w:uiPriority w:val="59"/>
    <w:rsid w:val="00A063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06349"/>
  </w:style>
  <w:style w:type="character" w:styleId="BookTitle">
    <w:name w:val="Book Title"/>
    <w:uiPriority w:val="33"/>
    <w:qFormat/>
    <w:rsid w:val="00A06349"/>
    <w:rPr>
      <w:b/>
      <w:bCs/>
      <w:smallCaps/>
      <w:spacing w:val="5"/>
    </w:rPr>
  </w:style>
  <w:style w:type="paragraph" w:customStyle="1" w:styleId="Cover1">
    <w:name w:val="Cover1"/>
    <w:basedOn w:val="Normal"/>
    <w:next w:val="Normal"/>
    <w:rsid w:val="00A06349"/>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A06349"/>
    <w:pPr>
      <w:spacing w:after="240" w:line="240" w:lineRule="auto"/>
    </w:pPr>
    <w:rPr>
      <w:rFonts w:ascii="Arial" w:eastAsia="Times New Roman" w:hAnsi="Arial" w:cs="Times New Roman"/>
      <w:szCs w:val="20"/>
      <w:lang w:val="sq-AL" w:eastAsia="sq-AL" w:bidi="sq-AL"/>
    </w:rPr>
  </w:style>
  <w:style w:type="paragraph" w:customStyle="1" w:styleId="Stile">
    <w:name w:val="Stile"/>
    <w:rsid w:val="00A0634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06349"/>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A06349"/>
    <w:rPr>
      <w:rFonts w:ascii="Times New Roman" w:eastAsia="Times New Roman" w:hAnsi="Times New Roman" w:cs="Times New Roman"/>
      <w:szCs w:val="20"/>
      <w:lang w:val="sq-AL"/>
    </w:rPr>
  </w:style>
  <w:style w:type="character" w:customStyle="1" w:styleId="Bodytext0">
    <w:name w:val="Body text_"/>
    <w:link w:val="BodyText1"/>
    <w:rsid w:val="00A06349"/>
    <w:rPr>
      <w:rFonts w:ascii="Times New Roman" w:hAnsi="Times New Roman"/>
      <w:sz w:val="21"/>
      <w:szCs w:val="21"/>
      <w:shd w:val="clear" w:color="auto" w:fill="FFFFFF"/>
    </w:rPr>
  </w:style>
  <w:style w:type="paragraph" w:customStyle="1" w:styleId="BodyText1">
    <w:name w:val="Body Text1"/>
    <w:basedOn w:val="Normal"/>
    <w:link w:val="Bodytext0"/>
    <w:rsid w:val="00A06349"/>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A0634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06349"/>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A06349"/>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A06349"/>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A06349"/>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06349"/>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06349"/>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06349"/>
    <w:pPr>
      <w:widowControl w:val="0"/>
      <w:spacing w:after="0" w:line="240" w:lineRule="auto"/>
    </w:pPr>
  </w:style>
  <w:style w:type="paragraph" w:customStyle="1" w:styleId="xl63">
    <w:name w:val="xl63"/>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A06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A06349"/>
  </w:style>
  <w:style w:type="paragraph" w:customStyle="1" w:styleId="Char2">
    <w:name w:val="Char2"/>
    <w:basedOn w:val="Normal"/>
    <w:link w:val="FootnoteReference"/>
    <w:uiPriority w:val="99"/>
    <w:rsid w:val="00A06349"/>
    <w:pPr>
      <w:spacing w:line="240" w:lineRule="exact"/>
    </w:pPr>
    <w:rPr>
      <w:vertAlign w:val="superscript"/>
    </w:rPr>
  </w:style>
  <w:style w:type="paragraph" w:customStyle="1" w:styleId="ecxmsonormal">
    <w:name w:val="ecxmsonormal"/>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A06349"/>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06349"/>
    <w:rPr>
      <w:rFonts w:ascii="Garamond" w:eastAsia="MS Mincho" w:hAnsi="Garamond" w:cs="CG Times"/>
      <w:b/>
      <w:bCs/>
      <w:caps/>
      <w:color w:val="000000"/>
      <w:sz w:val="24"/>
      <w:lang w:val="en-GB"/>
    </w:rPr>
  </w:style>
  <w:style w:type="paragraph" w:customStyle="1" w:styleId="Style20">
    <w:name w:val="Style 2"/>
    <w:basedOn w:val="Normal"/>
    <w:uiPriority w:val="99"/>
    <w:qFormat/>
    <w:rsid w:val="00A06349"/>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A06349"/>
    <w:rPr>
      <w:sz w:val="24"/>
    </w:rPr>
  </w:style>
  <w:style w:type="character" w:customStyle="1" w:styleId="Style2Char">
    <w:name w:val="Style2 Char"/>
    <w:locked/>
    <w:rsid w:val="00A06349"/>
    <w:rPr>
      <w:rFonts w:ascii="Times New Roman" w:eastAsia="Times New Roman" w:hAnsi="Times New Roman"/>
      <w:color w:val="0070C0"/>
      <w:sz w:val="28"/>
      <w:szCs w:val="24"/>
      <w:lang w:val="sq-AL"/>
    </w:rPr>
  </w:style>
  <w:style w:type="character" w:styleId="IntenseEmphasis">
    <w:name w:val="Intense Emphasis"/>
    <w:uiPriority w:val="21"/>
    <w:qFormat/>
    <w:rsid w:val="00A06349"/>
    <w:rPr>
      <w:b/>
      <w:bCs/>
      <w:i/>
      <w:iCs/>
      <w:color w:val="4F81BD"/>
      <w:sz w:val="24"/>
    </w:rPr>
  </w:style>
  <w:style w:type="character" w:customStyle="1" w:styleId="longtext1">
    <w:name w:val="long_text1"/>
    <w:rsid w:val="00A06349"/>
    <w:rPr>
      <w:sz w:val="20"/>
      <w:szCs w:val="20"/>
    </w:rPr>
  </w:style>
  <w:style w:type="character" w:customStyle="1" w:styleId="BodyTextChar1">
    <w:name w:val="Body Text Char1"/>
    <w:uiPriority w:val="99"/>
    <w:semiHidden/>
    <w:rsid w:val="00A06349"/>
    <w:rPr>
      <w:rFonts w:ascii="Times New Roman" w:eastAsia="Times New Roman" w:hAnsi="Times New Roman"/>
      <w:sz w:val="24"/>
      <w:szCs w:val="24"/>
    </w:rPr>
  </w:style>
  <w:style w:type="character" w:customStyle="1" w:styleId="BodyText3Char1">
    <w:name w:val="Body Text 3 Char1"/>
    <w:uiPriority w:val="99"/>
    <w:semiHidden/>
    <w:rsid w:val="00A06349"/>
    <w:rPr>
      <w:rFonts w:ascii="Times New Roman" w:eastAsia="Times New Roman" w:hAnsi="Times New Roman"/>
      <w:sz w:val="16"/>
      <w:szCs w:val="16"/>
    </w:rPr>
  </w:style>
  <w:style w:type="character" w:customStyle="1" w:styleId="BodyTextIndent2Char1">
    <w:name w:val="Body Text Indent 2 Char1"/>
    <w:uiPriority w:val="99"/>
    <w:semiHidden/>
    <w:rsid w:val="00A06349"/>
    <w:rPr>
      <w:rFonts w:ascii="Times New Roman" w:eastAsia="Times New Roman" w:hAnsi="Times New Roman"/>
      <w:sz w:val="24"/>
      <w:szCs w:val="24"/>
    </w:rPr>
  </w:style>
  <w:style w:type="paragraph" w:customStyle="1" w:styleId="xl160">
    <w:name w:val="xl160"/>
    <w:basedOn w:val="Normal"/>
    <w:rsid w:val="00A06349"/>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A06349"/>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A06349"/>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A06349"/>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A06349"/>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A06349"/>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A06349"/>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A06349"/>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A06349"/>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A06349"/>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A06349"/>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A06349"/>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A06349"/>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A06349"/>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A06349"/>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A06349"/>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A0634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A06349"/>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A06349"/>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A0634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A06349"/>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A06349"/>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A06349"/>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A06349"/>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A06349"/>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A0634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A06349"/>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A06349"/>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A06349"/>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A06349"/>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A06349"/>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A06349"/>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A06349"/>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A0634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A06349"/>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A06349"/>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A06349"/>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A06349"/>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A0634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A0634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A06349"/>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A06349"/>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A0634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A06349"/>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A06349"/>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A06349"/>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A06349"/>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A06349"/>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A06349"/>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A06349"/>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A06349"/>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A06349"/>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A06349"/>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A06349"/>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A06349"/>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A06349"/>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A0634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A06349"/>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A06349"/>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A06349"/>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A06349"/>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A06349"/>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A06349"/>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A06349"/>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A06349"/>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A06349"/>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A06349"/>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A06349"/>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A06349"/>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A06349"/>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A06349"/>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A06349"/>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A06349"/>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A06349"/>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A06349"/>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A0634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A0634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A0634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A06349"/>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A063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A06349"/>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A06349"/>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A0634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A0634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A06349"/>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A0634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A06349"/>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A0634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A0634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A0634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A06349"/>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A06349"/>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A06349"/>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A06349"/>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A06349"/>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A063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A063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A06349"/>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A06349"/>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A06349"/>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A06349"/>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A06349"/>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A06349"/>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A06349"/>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A06349"/>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A06349"/>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A06349"/>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A06349"/>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A06349"/>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A06349"/>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A06349"/>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A0634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A06349"/>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A06349"/>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A06349"/>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A0634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A06349"/>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A0634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A06349"/>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A06349"/>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A06349"/>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A06349"/>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A06349"/>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A06349"/>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A06349"/>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A06349"/>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A06349"/>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A06349"/>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A06349"/>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A06349"/>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A06349"/>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A06349"/>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A06349"/>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A06349"/>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A06349"/>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A06349"/>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A06349"/>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A06349"/>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A06349"/>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A063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A0634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A06349"/>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A0634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A06349"/>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A06349"/>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A06349"/>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A0634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A06349"/>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A0634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A06349"/>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A0634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A06349"/>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A0634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A06349"/>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A06349"/>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A0634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A06349"/>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A0634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A0634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A0634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A0634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A06349"/>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A06349"/>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A06349"/>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A06349"/>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A06349"/>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A06349"/>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A06349"/>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A06349"/>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A06349"/>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A06349"/>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A0634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A06349"/>
    <w:rPr>
      <w:rFonts w:cs="Times New Roman"/>
      <w:sz w:val="19"/>
      <w:szCs w:val="19"/>
      <w:shd w:val="clear" w:color="auto" w:fill="FFFFFF"/>
    </w:rPr>
  </w:style>
  <w:style w:type="character" w:customStyle="1" w:styleId="En-tte1">
    <w:name w:val="En-tête #1_"/>
    <w:basedOn w:val="DefaultParagraphFont"/>
    <w:link w:val="En-tte10"/>
    <w:uiPriority w:val="99"/>
    <w:locked/>
    <w:rsid w:val="00A06349"/>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A06349"/>
    <w:rPr>
      <w:rFonts w:cs="Times New Roman"/>
      <w:sz w:val="20"/>
      <w:szCs w:val="20"/>
      <w:shd w:val="clear" w:color="auto" w:fill="FFFFFF"/>
    </w:rPr>
  </w:style>
  <w:style w:type="character" w:customStyle="1" w:styleId="En-tteoupieddepage0">
    <w:name w:val="En-tête ou pied de page"/>
    <w:basedOn w:val="En-tteoupieddepage"/>
    <w:uiPriority w:val="99"/>
    <w:rsid w:val="00A06349"/>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A06349"/>
    <w:rPr>
      <w:rFonts w:cs="Times New Roman"/>
      <w:sz w:val="31"/>
      <w:szCs w:val="31"/>
      <w:shd w:val="clear" w:color="auto" w:fill="FFFFFF"/>
    </w:rPr>
  </w:style>
  <w:style w:type="character" w:customStyle="1" w:styleId="TOC1Char">
    <w:name w:val="TOC 1 Char"/>
    <w:basedOn w:val="DefaultParagraphFont"/>
    <w:link w:val="TOC1"/>
    <w:uiPriority w:val="39"/>
    <w:locked/>
    <w:rsid w:val="00A06349"/>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A06349"/>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A06349"/>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A06349"/>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A06349"/>
    <w:rPr>
      <w:rFonts w:cs="Times New Roman"/>
      <w:b/>
      <w:bCs/>
      <w:sz w:val="30"/>
      <w:szCs w:val="30"/>
      <w:shd w:val="clear" w:color="auto" w:fill="FFFFFF"/>
    </w:rPr>
  </w:style>
  <w:style w:type="character" w:customStyle="1" w:styleId="En-tte3">
    <w:name w:val="En-tête #3_"/>
    <w:basedOn w:val="DefaultParagraphFont"/>
    <w:link w:val="En-tte30"/>
    <w:uiPriority w:val="99"/>
    <w:locked/>
    <w:rsid w:val="00A06349"/>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A06349"/>
    <w:rPr>
      <w:rFonts w:cs="Times New Roman"/>
      <w:shd w:val="clear" w:color="auto" w:fill="FFFFFF"/>
    </w:rPr>
  </w:style>
  <w:style w:type="character" w:customStyle="1" w:styleId="Corpsdutexte0">
    <w:name w:val="Corps du texte"/>
    <w:basedOn w:val="Corpsdutexte"/>
    <w:uiPriority w:val="99"/>
    <w:rsid w:val="00A06349"/>
    <w:rPr>
      <w:rFonts w:cs="Times New Roman"/>
      <w:u w:val="single"/>
      <w:shd w:val="clear" w:color="auto" w:fill="FFFFFF"/>
    </w:rPr>
  </w:style>
  <w:style w:type="paragraph" w:customStyle="1" w:styleId="Notedebasdepage0">
    <w:name w:val="Note de bas de page"/>
    <w:basedOn w:val="Normal"/>
    <w:link w:val="Notedebasdepage"/>
    <w:uiPriority w:val="99"/>
    <w:rsid w:val="00A06349"/>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A06349"/>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A06349"/>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A06349"/>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A06349"/>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A06349"/>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A06349"/>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A06349"/>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A06349"/>
    <w:pPr>
      <w:numPr>
        <w:numId w:val="17"/>
      </w:numPr>
    </w:pPr>
  </w:style>
  <w:style w:type="paragraph" w:customStyle="1" w:styleId="ListNumberLevel2">
    <w:name w:val="List Number (Level 2)"/>
    <w:basedOn w:val="Normal"/>
    <w:rsid w:val="00A06349"/>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A06349"/>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A06349"/>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A06349"/>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A06349"/>
  </w:style>
  <w:style w:type="paragraph" w:customStyle="1" w:styleId="Normal2">
    <w:name w:val="Normal2"/>
    <w:basedOn w:val="Normal"/>
    <w:rsid w:val="00A06349"/>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A06349"/>
  </w:style>
  <w:style w:type="paragraph" w:customStyle="1" w:styleId="en-tte300">
    <w:name w:val="en-tte30"/>
    <w:basedOn w:val="Normal"/>
    <w:rsid w:val="00A06349"/>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A06349"/>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A06349"/>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A06349"/>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A06349"/>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A06349"/>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A06349"/>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A06349"/>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A06349"/>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A06349"/>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A06349"/>
  </w:style>
  <w:style w:type="character" w:customStyle="1" w:styleId="Bodytext20">
    <w:name w:val="Body text (2)_"/>
    <w:link w:val="Bodytext24"/>
    <w:rsid w:val="00A06349"/>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06349"/>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A06349"/>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06349"/>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06349"/>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06349"/>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06349"/>
    <w:pPr>
      <w:spacing w:before="100" w:beforeAutospacing="1" w:after="100" w:afterAutospacing="1" w:line="240" w:lineRule="auto"/>
    </w:pPr>
    <w:rPr>
      <w:rFonts w:ascii="Times New Roman" w:eastAsia="Calibri" w:hAnsi="Times New Roman" w:cs="Times New Roman"/>
      <w:sz w:val="24"/>
      <w:szCs w:val="24"/>
    </w:rPr>
  </w:style>
  <w:style w:type="paragraph" w:customStyle="1" w:styleId="VENDOSI1">
    <w:name w:val="VENDOSI"/>
    <w:next w:val="Normal"/>
    <w:rsid w:val="00A06349"/>
    <w:pPr>
      <w:keepNext/>
      <w:widowControl w:val="0"/>
      <w:spacing w:after="0" w:line="240" w:lineRule="auto"/>
      <w:jc w:val="center"/>
    </w:pPr>
    <w:rPr>
      <w:rFonts w:ascii="CG Times" w:eastAsia="Batang" w:hAnsi="CG Times" w:cs="Times New Roman"/>
      <w:caps/>
      <w:lang w:val="en-GB"/>
    </w:rPr>
  </w:style>
  <w:style w:type="table" w:customStyle="1" w:styleId="GridTable1Light1">
    <w:name w:val="Grid Table 1 Light1"/>
    <w:basedOn w:val="TableNormal"/>
    <w:uiPriority w:val="46"/>
    <w:rsid w:val="00A06349"/>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A06349"/>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A06349"/>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A06349"/>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A06349"/>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A06349"/>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06349"/>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A06349"/>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A06349"/>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06349"/>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A06349"/>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A06349"/>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A06349"/>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A06349"/>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A0634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0634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A06349"/>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A06349"/>
    <w:rPr>
      <w:rFonts w:ascii="Cambria" w:eastAsia="MS Mincho" w:hAnsi="Cambria" w:cs="Cambria"/>
      <w:sz w:val="20"/>
      <w:szCs w:val="20"/>
    </w:rPr>
  </w:style>
  <w:style w:type="character" w:customStyle="1" w:styleId="Heading9Char">
    <w:name w:val="Heading 9 Char"/>
    <w:basedOn w:val="DefaultParagraphFont"/>
    <w:link w:val="Heading9"/>
    <w:uiPriority w:val="9"/>
    <w:rsid w:val="00A06349"/>
    <w:rPr>
      <w:rFonts w:ascii="Cambria" w:eastAsia="MS Mincho" w:hAnsi="Cambria" w:cs="Cambria"/>
      <w:i/>
      <w:iCs/>
      <w:spacing w:val="5"/>
      <w:sz w:val="20"/>
      <w:szCs w:val="20"/>
    </w:rPr>
  </w:style>
  <w:style w:type="paragraph" w:styleId="NoSpacing">
    <w:name w:val="No Spacing"/>
    <w:link w:val="NoSpacingChar"/>
    <w:uiPriority w:val="1"/>
    <w:qFormat/>
    <w:rsid w:val="00A0634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0634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06349"/>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A06349"/>
    <w:rPr>
      <w:rFonts w:ascii="Tahoma" w:eastAsia="Calibri" w:hAnsi="Tahoma" w:cs="Tahoma"/>
      <w:sz w:val="16"/>
      <w:szCs w:val="16"/>
    </w:rPr>
  </w:style>
  <w:style w:type="paragraph" w:styleId="Header">
    <w:name w:val="header"/>
    <w:basedOn w:val="Normal"/>
    <w:link w:val="HeaderChar"/>
    <w:uiPriority w:val="99"/>
    <w:unhideWhenUsed/>
    <w:rsid w:val="00A06349"/>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A06349"/>
    <w:rPr>
      <w:rFonts w:ascii="Calibri" w:eastAsia="Calibri" w:hAnsi="Calibri" w:cs="Times New Roman"/>
    </w:rPr>
  </w:style>
  <w:style w:type="paragraph" w:styleId="Footer">
    <w:name w:val="footer"/>
    <w:basedOn w:val="Normal"/>
    <w:link w:val="FooterChar"/>
    <w:uiPriority w:val="99"/>
    <w:unhideWhenUsed/>
    <w:rsid w:val="00A06349"/>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A06349"/>
    <w:rPr>
      <w:rFonts w:ascii="Calibri" w:eastAsia="Calibri" w:hAnsi="Calibri" w:cs="Times New Roman"/>
    </w:rPr>
  </w:style>
  <w:style w:type="paragraph" w:customStyle="1" w:styleId="Akti">
    <w:name w:val="Akti"/>
    <w:link w:val="AktiChar"/>
    <w:rsid w:val="00A0634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0634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06349"/>
    <w:rPr>
      <w:rFonts w:ascii="Garamond" w:eastAsia="MS Mincho" w:hAnsi="Garamond" w:cs="CG Times"/>
      <w:b/>
      <w:bCs/>
      <w:sz w:val="24"/>
      <w:lang w:val="en-GB"/>
    </w:rPr>
  </w:style>
  <w:style w:type="paragraph" w:customStyle="1" w:styleId="Paragrafi">
    <w:name w:val="Paragrafi"/>
    <w:link w:val="ParagrafiChar"/>
    <w:rsid w:val="00A0634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6349"/>
    <w:rPr>
      <w:rFonts w:ascii="Garamond" w:eastAsia="MS Mincho" w:hAnsi="Garamond" w:cs="CG Times"/>
      <w:sz w:val="24"/>
    </w:rPr>
  </w:style>
  <w:style w:type="paragraph" w:customStyle="1" w:styleId="Titulli">
    <w:name w:val="Titulli"/>
    <w:next w:val="Normal"/>
    <w:link w:val="TitulliChar"/>
    <w:uiPriority w:val="99"/>
    <w:rsid w:val="00A0634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06349"/>
    <w:rPr>
      <w:rFonts w:ascii="Garamond" w:eastAsia="MS Mincho" w:hAnsi="Garamond" w:cs="CG Times"/>
      <w:b/>
      <w:bCs/>
      <w:caps/>
      <w:sz w:val="24"/>
      <w:lang w:val="en-GB"/>
    </w:rPr>
  </w:style>
  <w:style w:type="character" w:customStyle="1" w:styleId="AktiChar">
    <w:name w:val="Akti Char"/>
    <w:basedOn w:val="DefaultParagraphFont"/>
    <w:link w:val="Akti"/>
    <w:rsid w:val="00A06349"/>
    <w:rPr>
      <w:rFonts w:ascii="Garamond" w:eastAsia="MS Mincho" w:hAnsi="Garamond" w:cs="CG Times"/>
      <w:b/>
      <w:bCs/>
      <w:caps/>
      <w:color w:val="000000"/>
      <w:sz w:val="24"/>
      <w:lang w:val="en-GB"/>
    </w:rPr>
  </w:style>
  <w:style w:type="paragraph" w:customStyle="1" w:styleId="NeniNr">
    <w:name w:val="Neni_Nr"/>
    <w:next w:val="Normal"/>
    <w:link w:val="NeniNrChar"/>
    <w:rsid w:val="00A0634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0634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06349"/>
    <w:rPr>
      <w:rFonts w:ascii="Garamond" w:eastAsia="MS Mincho" w:hAnsi="Garamond" w:cs="CG Times"/>
      <w:sz w:val="24"/>
      <w:lang w:val="en-GB"/>
    </w:rPr>
  </w:style>
  <w:style w:type="paragraph" w:customStyle="1" w:styleId="Autoriteti">
    <w:name w:val="Autoriteti"/>
    <w:next w:val="Normal"/>
    <w:link w:val="AutoritetiChar"/>
    <w:rsid w:val="00A0634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0634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06349"/>
    <w:rPr>
      <w:rFonts w:ascii="Garamond" w:eastAsia="MS Mincho" w:hAnsi="Garamond" w:cs="CG Times"/>
      <w:caps/>
      <w:sz w:val="24"/>
      <w:lang w:val="en-GB"/>
    </w:rPr>
  </w:style>
  <w:style w:type="character" w:customStyle="1" w:styleId="AutoritetiEmerChar">
    <w:name w:val="Autoriteti_Emer Char"/>
    <w:link w:val="AutoritetiEmer"/>
    <w:locked/>
    <w:rsid w:val="00A06349"/>
    <w:rPr>
      <w:rFonts w:ascii="Garamond" w:eastAsia="MS Mincho" w:hAnsi="Garamond" w:cs="Times New Roman"/>
      <w:b/>
      <w:bCs/>
      <w:sz w:val="24"/>
      <w:lang w:val="en-GB"/>
    </w:rPr>
  </w:style>
  <w:style w:type="paragraph" w:customStyle="1" w:styleId="Titull-Titull">
    <w:name w:val="Titull-Titull"/>
    <w:basedOn w:val="Paragrafi"/>
    <w:qFormat/>
    <w:rsid w:val="00A06349"/>
    <w:pPr>
      <w:ind w:firstLine="0"/>
      <w:jc w:val="center"/>
    </w:pPr>
    <w:rPr>
      <w:caps/>
      <w:szCs w:val="24"/>
    </w:rPr>
  </w:style>
  <w:style w:type="paragraph" w:customStyle="1" w:styleId="Vendosi">
    <w:name w:val="Vendosi"/>
    <w:basedOn w:val="Titull-Titull"/>
    <w:qFormat/>
    <w:rsid w:val="00A06349"/>
  </w:style>
  <w:style w:type="paragraph" w:customStyle="1" w:styleId="Hapesira7">
    <w:name w:val="Hapesira 7"/>
    <w:basedOn w:val="Paragrafi"/>
    <w:qFormat/>
    <w:rsid w:val="00A06349"/>
    <w:rPr>
      <w:sz w:val="14"/>
      <w:szCs w:val="24"/>
    </w:rPr>
  </w:style>
  <w:style w:type="paragraph" w:styleId="ListParagraph">
    <w:name w:val="List Paragraph"/>
    <w:aliases w:val="List Paragraph2"/>
    <w:basedOn w:val="Normal"/>
    <w:link w:val="ListParagraphChar"/>
    <w:uiPriority w:val="34"/>
    <w:qFormat/>
    <w:rsid w:val="00A06349"/>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A06349"/>
    <w:rPr>
      <w:rFonts w:ascii="Calibri" w:eastAsia="Times New Roman" w:hAnsi="Calibri" w:cs="Times New Roman"/>
    </w:rPr>
  </w:style>
  <w:style w:type="paragraph" w:customStyle="1" w:styleId="Style1">
    <w:name w:val="Style1"/>
    <w:basedOn w:val="Akti"/>
    <w:link w:val="Style1Char"/>
    <w:qFormat/>
    <w:rsid w:val="00A06349"/>
  </w:style>
  <w:style w:type="character" w:customStyle="1" w:styleId="Heading2Char1">
    <w:name w:val="Heading 2 Char1"/>
    <w:link w:val="Heading2"/>
    <w:uiPriority w:val="9"/>
    <w:locked/>
    <w:rsid w:val="00A06349"/>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A06349"/>
    <w:rPr>
      <w:rFonts w:ascii="Cambria" w:eastAsia="MS Mincho" w:hAnsi="Cambria" w:cs="Cambria"/>
      <w:b/>
      <w:bCs/>
      <w:sz w:val="24"/>
      <w:szCs w:val="24"/>
    </w:rPr>
  </w:style>
  <w:style w:type="paragraph" w:customStyle="1" w:styleId="ADDRESS">
    <w:name w:val="ADDRESS"/>
    <w:basedOn w:val="Normal"/>
    <w:rsid w:val="00A063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A063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A063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063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A063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A06349"/>
    <w:rPr>
      <w:rFonts w:ascii="Arial" w:eastAsia="Times New Roman" w:hAnsi="Arial" w:cs="Arial"/>
      <w:color w:val="000000"/>
      <w:sz w:val="24"/>
      <w:szCs w:val="24"/>
    </w:rPr>
  </w:style>
  <w:style w:type="paragraph" w:customStyle="1" w:styleId="BazLigjPropozues">
    <w:name w:val="Baz_Ligj_Propozues"/>
    <w:rsid w:val="00A063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063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A06349"/>
    <w:rPr>
      <w:rFonts w:ascii="Times New Roman" w:eastAsia="Times New Roman" w:hAnsi="Times New Roman" w:cs="Times New Roman"/>
      <w:caps/>
      <w:sz w:val="26"/>
      <w:szCs w:val="26"/>
      <w:lang w:val="en-GB"/>
    </w:rPr>
  </w:style>
  <w:style w:type="character" w:customStyle="1" w:styleId="apple-converted-space">
    <w:name w:val="apple-converted-space"/>
    <w:rsid w:val="00A06349"/>
  </w:style>
  <w:style w:type="character" w:styleId="Hyperlink">
    <w:name w:val="Hyperlink"/>
    <w:uiPriority w:val="99"/>
    <w:unhideWhenUsed/>
    <w:rsid w:val="00A06349"/>
    <w:rPr>
      <w:color w:val="0000FF"/>
      <w:u w:val="single"/>
    </w:rPr>
  </w:style>
  <w:style w:type="character" w:styleId="FollowedHyperlink">
    <w:name w:val="FollowedHyperlink"/>
    <w:uiPriority w:val="99"/>
    <w:unhideWhenUsed/>
    <w:rsid w:val="00A06349"/>
    <w:rPr>
      <w:color w:val="800080"/>
      <w:u w:val="single"/>
    </w:rPr>
  </w:style>
  <w:style w:type="paragraph" w:customStyle="1" w:styleId="font5">
    <w:name w:val="font5"/>
    <w:basedOn w:val="Normal"/>
    <w:rsid w:val="00A063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A063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A063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A063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A063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A063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063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A063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A063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A063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A063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A063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06349"/>
    <w:pPr>
      <w:pageBreakBefore/>
      <w:spacing w:after="0" w:line="240" w:lineRule="auto"/>
      <w:jc w:val="both"/>
    </w:pPr>
    <w:rPr>
      <w:rFonts w:ascii="CG Times" w:eastAsia="MS Mincho" w:hAnsi="CG Times" w:cs="CG Times"/>
      <w:b/>
      <w:bCs/>
      <w:sz w:val="21"/>
    </w:rPr>
  </w:style>
  <w:style w:type="paragraph" w:customStyle="1" w:styleId="KapitulliNr">
    <w:name w:val="Kapitulli_Nr"/>
    <w:rsid w:val="00A063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063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063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063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063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A063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A063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A063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A063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A063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A063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A063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A0634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063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063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063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A063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A063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A063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A063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A063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A063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A063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A063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06349"/>
  </w:style>
  <w:style w:type="paragraph" w:customStyle="1" w:styleId="PjesaNr">
    <w:name w:val="Pjesa_Nr"/>
    <w:next w:val="Normal"/>
    <w:rsid w:val="00A063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063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063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A063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A063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063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A063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A063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A063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A063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A063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063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A063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A063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A063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A063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A063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A063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A0634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063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A063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A063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A063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A063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A063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A063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A063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A063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A063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A063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A063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A063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A063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A063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A06349"/>
    <w:rPr>
      <w:b/>
      <w:bCs/>
    </w:rPr>
  </w:style>
  <w:style w:type="paragraph" w:customStyle="1" w:styleId="xl136">
    <w:name w:val="xl136"/>
    <w:basedOn w:val="Normal"/>
    <w:rsid w:val="00A063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A063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A063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A063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A063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A063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A063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A063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A063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A063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A063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A063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A063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A063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A063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A063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A063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A063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063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A06349"/>
  </w:style>
  <w:style w:type="paragraph" w:styleId="Title">
    <w:name w:val="Title"/>
    <w:basedOn w:val="Heading1"/>
    <w:next w:val="Normal"/>
    <w:link w:val="TitleChar"/>
    <w:uiPriority w:val="10"/>
    <w:qFormat/>
    <w:rsid w:val="00A06349"/>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A063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A06349"/>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link w:val="TOC1Char"/>
    <w:autoRedefine/>
    <w:uiPriority w:val="39"/>
    <w:unhideWhenUsed/>
    <w:qFormat/>
    <w:rsid w:val="00A063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A063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iPriority w:val="39"/>
    <w:unhideWhenUsed/>
    <w:qFormat/>
    <w:rsid w:val="00A063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qFormat/>
    <w:rsid w:val="00A06349"/>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A06349"/>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A06349"/>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A06349"/>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A06349"/>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A06349"/>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A06349"/>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A06349"/>
    <w:rPr>
      <w:rFonts w:ascii="Calibri" w:eastAsia="Calibri" w:hAnsi="Calibri" w:cs="Times New Roman"/>
    </w:rPr>
  </w:style>
  <w:style w:type="paragraph" w:customStyle="1" w:styleId="numridata0">
    <w:name w:val="numridata"/>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A06349"/>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A063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A06349"/>
    <w:rPr>
      <w:rFonts w:ascii="Times New Roman" w:eastAsia="Times New Roman" w:hAnsi="Times New Roman" w:cs="Times New Roman"/>
      <w:sz w:val="16"/>
      <w:szCs w:val="16"/>
    </w:rPr>
  </w:style>
  <w:style w:type="paragraph" w:customStyle="1" w:styleId="s32b251d">
    <w:name w:val="s32b251d"/>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A06349"/>
  </w:style>
  <w:style w:type="paragraph" w:customStyle="1" w:styleId="s30eec3f8">
    <w:name w:val="s30eec3f8"/>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A06349"/>
    <w:rPr>
      <w:sz w:val="24"/>
      <w:lang w:val="en-GB" w:eastAsia="fr-FR"/>
    </w:rPr>
  </w:style>
  <w:style w:type="paragraph" w:customStyle="1" w:styleId="JuPara">
    <w:name w:val="Ju_Para"/>
    <w:basedOn w:val="Normal"/>
    <w:link w:val="JuParaCar"/>
    <w:rsid w:val="00A063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A063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063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063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063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A06349"/>
    <w:rPr>
      <w:vertAlign w:val="superscript"/>
    </w:rPr>
  </w:style>
  <w:style w:type="paragraph" w:customStyle="1" w:styleId="ju-005fpara">
    <w:name w:val="ju-005fpara"/>
    <w:basedOn w:val="Normal"/>
    <w:rsid w:val="00A063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A06349"/>
  </w:style>
  <w:style w:type="character" w:customStyle="1" w:styleId="s7d2086b4">
    <w:name w:val="s7d2086b4"/>
    <w:basedOn w:val="DefaultParagraphFont"/>
    <w:uiPriority w:val="99"/>
    <w:rsid w:val="00A06349"/>
  </w:style>
  <w:style w:type="character" w:customStyle="1" w:styleId="hps">
    <w:name w:val="hps"/>
    <w:basedOn w:val="DefaultParagraphFont"/>
    <w:rsid w:val="00A06349"/>
  </w:style>
  <w:style w:type="paragraph" w:customStyle="1" w:styleId="paragrafi0">
    <w:name w:val="paragrafi"/>
    <w:basedOn w:val="Normal"/>
    <w:rsid w:val="00A063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A063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A06349"/>
    <w:rPr>
      <w:rFonts w:cs="Times New Roman"/>
    </w:rPr>
  </w:style>
  <w:style w:type="paragraph" w:customStyle="1" w:styleId="titulli0">
    <w:name w:val="titulli"/>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A06349"/>
  </w:style>
  <w:style w:type="paragraph" w:customStyle="1" w:styleId="akti0">
    <w:name w:val="akti"/>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A06349"/>
  </w:style>
  <w:style w:type="paragraph" w:customStyle="1" w:styleId="CM49">
    <w:name w:val="CM49"/>
    <w:basedOn w:val="Normal"/>
    <w:next w:val="Normal"/>
    <w:rsid w:val="00A06349"/>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A063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A06349"/>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A06349"/>
    <w:pPr>
      <w:widowControl w:val="0"/>
    </w:pPr>
    <w:rPr>
      <w:rFonts w:ascii="Helvetica" w:eastAsia="Times New Roman" w:hAnsi="Helvetica" w:cs="Helvetica"/>
      <w:lang w:val="sq-AL"/>
    </w:rPr>
  </w:style>
  <w:style w:type="paragraph" w:customStyle="1" w:styleId="CM57">
    <w:name w:val="CM57"/>
    <w:basedOn w:val="Normal"/>
    <w:next w:val="Normal"/>
    <w:rsid w:val="00A06349"/>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A06349"/>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A0634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063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0634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06349"/>
  </w:style>
  <w:style w:type="character" w:customStyle="1" w:styleId="StyleHeading6BoldChar">
    <w:name w:val="Style Heading 6 + Bold Char"/>
    <w:link w:val="StyleHeading6Bold"/>
    <w:rsid w:val="00A06349"/>
    <w:rPr>
      <w:rFonts w:ascii="Cambria" w:eastAsia="MS Mincho" w:hAnsi="Cambria" w:cs="Cambria"/>
      <w:b/>
      <w:bCs/>
      <w:i/>
      <w:iCs/>
      <w:color w:val="7F7F7F"/>
      <w:sz w:val="24"/>
      <w:szCs w:val="24"/>
    </w:rPr>
  </w:style>
  <w:style w:type="paragraph" w:customStyle="1" w:styleId="tableheaders">
    <w:name w:val="table headers"/>
    <w:rsid w:val="00A0634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06349"/>
    <w:rPr>
      <w:b w:val="0"/>
    </w:rPr>
  </w:style>
  <w:style w:type="paragraph" w:styleId="PlainText">
    <w:name w:val="Plain Text"/>
    <w:basedOn w:val="Normal"/>
    <w:link w:val="PlainTextChar"/>
    <w:uiPriority w:val="99"/>
    <w:unhideWhenUsed/>
    <w:rsid w:val="00A06349"/>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A06349"/>
    <w:rPr>
      <w:rFonts w:ascii="Consolas" w:eastAsia="Calibri" w:hAnsi="Consolas" w:cs="Times New Roman"/>
      <w:sz w:val="21"/>
      <w:szCs w:val="21"/>
      <w:lang w:val="sq-AL"/>
    </w:rPr>
  </w:style>
  <w:style w:type="paragraph" w:customStyle="1" w:styleId="StyleStyle1Bold">
    <w:name w:val="Style Style1 + Bold"/>
    <w:basedOn w:val="Style1"/>
    <w:rsid w:val="00A06349"/>
  </w:style>
  <w:style w:type="paragraph" w:customStyle="1" w:styleId="CM1">
    <w:name w:val="CM1"/>
    <w:basedOn w:val="Default"/>
    <w:next w:val="Default"/>
    <w:uiPriority w:val="99"/>
    <w:rsid w:val="00A06349"/>
    <w:rPr>
      <w:rFonts w:ascii="EUAlbertina" w:hAnsi="EUAlbertina"/>
      <w:color w:val="auto"/>
    </w:rPr>
  </w:style>
  <w:style w:type="paragraph" w:customStyle="1" w:styleId="CM4">
    <w:name w:val="CM4"/>
    <w:basedOn w:val="Normal"/>
    <w:next w:val="Normal"/>
    <w:uiPriority w:val="99"/>
    <w:rsid w:val="00A06349"/>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A06349"/>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A06349"/>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A06349"/>
    <w:rPr>
      <w:rFonts w:ascii="Tahoma" w:eastAsia="Times New Roman" w:hAnsi="Tahoma" w:cs="Times New Roman"/>
      <w:sz w:val="16"/>
      <w:szCs w:val="16"/>
      <w:lang w:val="sq-AL"/>
    </w:rPr>
  </w:style>
  <w:style w:type="numbering" w:customStyle="1" w:styleId="NoList3">
    <w:name w:val="No List3"/>
    <w:next w:val="NoList"/>
    <w:semiHidden/>
    <w:rsid w:val="00A06349"/>
  </w:style>
  <w:style w:type="numbering" w:customStyle="1" w:styleId="NoList4">
    <w:name w:val="No List4"/>
    <w:next w:val="NoList"/>
    <w:semiHidden/>
    <w:rsid w:val="00A06349"/>
  </w:style>
  <w:style w:type="paragraph" w:customStyle="1" w:styleId="Point1">
    <w:name w:val="Point 1"/>
    <w:basedOn w:val="Normal"/>
    <w:link w:val="Point1Char"/>
    <w:rsid w:val="00A06349"/>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A06349"/>
    <w:rPr>
      <w:rFonts w:ascii="Calibri" w:eastAsia="Times New Roman" w:hAnsi="Calibri" w:cs="Times New Roman"/>
      <w:sz w:val="24"/>
      <w:szCs w:val="24"/>
      <w:lang w:val="en-GB" w:eastAsia="en-GB"/>
    </w:rPr>
  </w:style>
  <w:style w:type="character" w:customStyle="1" w:styleId="longtext">
    <w:name w:val="long_text"/>
    <w:rsid w:val="00A06349"/>
    <w:rPr>
      <w:rFonts w:ascii="Comic Sans MS" w:hAnsi="Comic Sans MS"/>
      <w:b/>
      <w:sz w:val="96"/>
      <w:szCs w:val="24"/>
      <w:lang w:val="pl-PL" w:eastAsia="pl-PL" w:bidi="ar-SA"/>
    </w:rPr>
  </w:style>
  <w:style w:type="paragraph" w:customStyle="1" w:styleId="Text1">
    <w:name w:val="Text 1"/>
    <w:basedOn w:val="Normal"/>
    <w:link w:val="Text1Char"/>
    <w:rsid w:val="00A06349"/>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A06349"/>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A06349"/>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A06349"/>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A06349"/>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A06349"/>
  </w:style>
  <w:style w:type="character" w:customStyle="1" w:styleId="SectionTitleCharCharChar">
    <w:name w:val="SectionTitle Char Char Char"/>
    <w:link w:val="SectionTitleCharChar"/>
    <w:rsid w:val="00A0634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06349"/>
    <w:rPr>
      <w:rFonts w:ascii="Calibri" w:eastAsia="Times New Roman" w:hAnsi="Calibri" w:cs="Times New Roman"/>
      <w:b/>
      <w:bCs/>
      <w:smallCaps/>
      <w:sz w:val="28"/>
      <w:szCs w:val="28"/>
      <w:lang w:val="en-GB" w:eastAsia="en-GB"/>
    </w:rPr>
  </w:style>
  <w:style w:type="character" w:customStyle="1" w:styleId="Text1Char">
    <w:name w:val="Text 1 Char"/>
    <w:link w:val="Text1"/>
    <w:rsid w:val="00A06349"/>
    <w:rPr>
      <w:rFonts w:ascii="Calibri" w:eastAsia="Times New Roman" w:hAnsi="Calibri" w:cs="Times New Roman"/>
      <w:sz w:val="24"/>
      <w:szCs w:val="24"/>
      <w:lang w:val="en-GB" w:eastAsia="en-GB"/>
    </w:rPr>
  </w:style>
  <w:style w:type="character" w:customStyle="1" w:styleId="Point1CharChar">
    <w:name w:val="Point 1 Char Char"/>
    <w:rsid w:val="00A06349"/>
    <w:rPr>
      <w:sz w:val="24"/>
      <w:szCs w:val="24"/>
      <w:lang w:val="en-GB" w:eastAsia="en-GB" w:bidi="ar-SA"/>
    </w:rPr>
  </w:style>
  <w:style w:type="paragraph" w:customStyle="1" w:styleId="Point0">
    <w:name w:val="Point 0"/>
    <w:basedOn w:val="Normal"/>
    <w:rsid w:val="00A06349"/>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A06349"/>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A06349"/>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A06349"/>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A06349"/>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A06349"/>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A06349"/>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A0634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06349"/>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A06349"/>
    <w:rPr>
      <w:rFonts w:ascii="CG Times" w:hAnsi="CG Times"/>
      <w:sz w:val="22"/>
      <w:lang w:val="en-US" w:eastAsia="en-US" w:bidi="ar-SA"/>
    </w:rPr>
  </w:style>
  <w:style w:type="paragraph" w:customStyle="1" w:styleId="SectionTitle">
    <w:name w:val="SectionTitle"/>
    <w:basedOn w:val="Normal"/>
    <w:next w:val="Heading1"/>
    <w:rsid w:val="00A06349"/>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A06349"/>
  </w:style>
  <w:style w:type="paragraph" w:styleId="TableofFigures">
    <w:name w:val="table of figures"/>
    <w:basedOn w:val="Normal"/>
    <w:next w:val="Normal"/>
    <w:rsid w:val="00A06349"/>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A06349"/>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A06349"/>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A06349"/>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A06349"/>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A06349"/>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A06349"/>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A06349"/>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A06349"/>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A06349"/>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A06349"/>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A06349"/>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A06349"/>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A06349"/>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A06349"/>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A06349"/>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A06349"/>
    <w:pPr>
      <w:spacing w:after="0" w:line="360" w:lineRule="auto"/>
    </w:pPr>
    <w:rPr>
      <w:rFonts w:ascii="Tahoma" w:eastAsia="Times New Roman" w:hAnsi="Tahoma" w:cs="Times New Roman"/>
      <w:lang w:val="de-AT" w:eastAsia="de-DE"/>
    </w:rPr>
  </w:style>
  <w:style w:type="paragraph" w:styleId="List">
    <w:name w:val="List"/>
    <w:basedOn w:val="Normal"/>
    <w:rsid w:val="00A06349"/>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A06349"/>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A06349"/>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A06349"/>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A06349"/>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A06349"/>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A06349"/>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A06349"/>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A06349"/>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A06349"/>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A06349"/>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A06349"/>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A06349"/>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A06349"/>
    <w:rPr>
      <w:sz w:val="16"/>
      <w:szCs w:val="16"/>
    </w:rPr>
  </w:style>
  <w:style w:type="paragraph" w:styleId="CommentText">
    <w:name w:val="annotation text"/>
    <w:aliases w:val=" Char"/>
    <w:basedOn w:val="Normal"/>
    <w:link w:val="CommentTextChar"/>
    <w:uiPriority w:val="99"/>
    <w:unhideWhenUsed/>
    <w:rsid w:val="00A06349"/>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A063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06349"/>
    <w:rPr>
      <w:b/>
      <w:bCs/>
    </w:rPr>
  </w:style>
  <w:style w:type="character" w:customStyle="1" w:styleId="CommentSubjectChar">
    <w:name w:val="Comment Subject Char"/>
    <w:basedOn w:val="CommentTextChar"/>
    <w:link w:val="CommentSubject"/>
    <w:uiPriority w:val="99"/>
    <w:rsid w:val="00A06349"/>
    <w:rPr>
      <w:rFonts w:ascii="Calibri" w:eastAsia="MS Mincho" w:hAnsi="Calibri" w:cs="Times New Roman"/>
      <w:b/>
      <w:bCs/>
      <w:sz w:val="20"/>
      <w:szCs w:val="20"/>
      <w:lang w:val="sq-AL"/>
    </w:rPr>
  </w:style>
  <w:style w:type="paragraph" w:styleId="ListNumber4">
    <w:name w:val="List Number 4"/>
    <w:basedOn w:val="Normal"/>
    <w:rsid w:val="00A06349"/>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A06349"/>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A06349"/>
  </w:style>
  <w:style w:type="paragraph" w:styleId="MacroText">
    <w:name w:val="macro"/>
    <w:link w:val="MacroTextChar"/>
    <w:semiHidden/>
    <w:rsid w:val="00A0634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06349"/>
    <w:rPr>
      <w:rFonts w:ascii="Courier New" w:eastAsia="Times New Roman" w:hAnsi="Courier New" w:cs="Times New Roman"/>
      <w:lang w:val="de-DE" w:eastAsia="de-DE"/>
    </w:rPr>
  </w:style>
  <w:style w:type="paragraph" w:styleId="NormalIndent">
    <w:name w:val="Normal Indent"/>
    <w:basedOn w:val="Normal"/>
    <w:link w:val="NormalIndentChar"/>
    <w:rsid w:val="00A06349"/>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A06349"/>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A06349"/>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A06349"/>
    <w:rPr>
      <w:rFonts w:ascii="Tahoma" w:hAnsi="Tahoma"/>
      <w:sz w:val="22"/>
    </w:rPr>
  </w:style>
  <w:style w:type="paragraph" w:styleId="BlockText">
    <w:name w:val="Block Text"/>
    <w:basedOn w:val="Normal"/>
    <w:rsid w:val="00A06349"/>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A06349"/>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A06349"/>
    <w:rPr>
      <w:rFonts w:ascii="Tahoma" w:eastAsia="Times New Roman" w:hAnsi="Tahoma" w:cs="Times New Roman"/>
      <w:lang w:val="de-AT" w:eastAsia="de-DE"/>
    </w:rPr>
  </w:style>
  <w:style w:type="character" w:customStyle="1" w:styleId="Emphasis1">
    <w:name w:val="Emphasis1"/>
    <w:semiHidden/>
    <w:rsid w:val="00A06349"/>
  </w:style>
  <w:style w:type="paragraph" w:styleId="NoteHeading">
    <w:name w:val="Note Heading"/>
    <w:basedOn w:val="Normal"/>
    <w:next w:val="Normal"/>
    <w:link w:val="NoteHeadingChar"/>
    <w:rsid w:val="00A06349"/>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A06349"/>
    <w:rPr>
      <w:rFonts w:ascii="Tahoma" w:eastAsia="Times New Roman" w:hAnsi="Tahoma" w:cs="Times New Roman"/>
      <w:lang w:val="de-AT" w:eastAsia="de-DE"/>
    </w:rPr>
  </w:style>
  <w:style w:type="paragraph" w:styleId="MessageHeader">
    <w:name w:val="Message Header"/>
    <w:basedOn w:val="Normal"/>
    <w:link w:val="MessageHeaderChar"/>
    <w:semiHidden/>
    <w:rsid w:val="00A0634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A0634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06349"/>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A063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A06349"/>
    <w:rPr>
      <w:rFonts w:ascii="Tahoma" w:eastAsia="Times New Roman" w:hAnsi="Tahoma" w:cs="Times New Roman"/>
      <w:sz w:val="20"/>
      <w:szCs w:val="20"/>
    </w:rPr>
  </w:style>
  <w:style w:type="character" w:styleId="EndnoteReference">
    <w:name w:val="endnote reference"/>
    <w:uiPriority w:val="99"/>
    <w:semiHidden/>
    <w:unhideWhenUsed/>
    <w:rsid w:val="00A06349"/>
    <w:rPr>
      <w:vertAlign w:val="superscript"/>
    </w:rPr>
  </w:style>
  <w:style w:type="paragraph" w:styleId="BodyTextFirstIndent2">
    <w:name w:val="Body Text First Indent 2"/>
    <w:basedOn w:val="BodyTextIndent"/>
    <w:link w:val="BodyTextFirstIndent2Char"/>
    <w:semiHidden/>
    <w:rsid w:val="00A0634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06349"/>
    <w:rPr>
      <w:rFonts w:ascii="Tahoma" w:eastAsia="Times New Roman" w:hAnsi="Tahoma" w:cs="Times New Roman"/>
      <w:lang w:val="de-AT" w:eastAsia="de-DE"/>
    </w:rPr>
  </w:style>
  <w:style w:type="numbering" w:styleId="111111">
    <w:name w:val="Outline List 2"/>
    <w:basedOn w:val="NoList"/>
    <w:semiHidden/>
    <w:rsid w:val="00A06349"/>
    <w:pPr>
      <w:numPr>
        <w:numId w:val="14"/>
      </w:numPr>
    </w:pPr>
  </w:style>
  <w:style w:type="paragraph" w:customStyle="1" w:styleId="Zusatz2">
    <w:name w:val="Zusatz 2"/>
    <w:basedOn w:val="Normal"/>
    <w:next w:val="Normal"/>
    <w:semiHidden/>
    <w:rsid w:val="00A06349"/>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A06349"/>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A06349"/>
    <w:pPr>
      <w:numPr>
        <w:numId w:val="15"/>
      </w:numPr>
    </w:pPr>
  </w:style>
  <w:style w:type="paragraph" w:styleId="Salutation">
    <w:name w:val="Salutation"/>
    <w:basedOn w:val="Normal"/>
    <w:next w:val="Normal"/>
    <w:link w:val="SalutationChar"/>
    <w:semiHidden/>
    <w:rsid w:val="00A06349"/>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A06349"/>
    <w:rPr>
      <w:rFonts w:ascii="Tahoma" w:eastAsia="Times New Roman" w:hAnsi="Tahoma" w:cs="Times New Roman"/>
      <w:lang w:val="de-AT" w:eastAsia="de-DE"/>
    </w:rPr>
  </w:style>
  <w:style w:type="numbering" w:styleId="ArticleSection">
    <w:name w:val="Outline List 3"/>
    <w:basedOn w:val="NoList"/>
    <w:semiHidden/>
    <w:rsid w:val="00A06349"/>
    <w:pPr>
      <w:numPr>
        <w:numId w:val="16"/>
      </w:numPr>
    </w:pPr>
  </w:style>
  <w:style w:type="paragraph" w:styleId="Closing">
    <w:name w:val="Closing"/>
    <w:basedOn w:val="Normal"/>
    <w:link w:val="ClosingChar"/>
    <w:semiHidden/>
    <w:rsid w:val="00A06349"/>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A06349"/>
    <w:rPr>
      <w:rFonts w:ascii="Tahoma" w:eastAsia="Times New Roman" w:hAnsi="Tahoma" w:cs="Times New Roman"/>
      <w:lang w:val="de-AT" w:eastAsia="de-DE"/>
    </w:rPr>
  </w:style>
  <w:style w:type="character" w:styleId="Emphasis">
    <w:name w:val="Emphasis"/>
    <w:uiPriority w:val="99"/>
    <w:qFormat/>
    <w:rsid w:val="00A06349"/>
    <w:rPr>
      <w:i/>
      <w:iCs/>
    </w:rPr>
  </w:style>
  <w:style w:type="paragraph" w:styleId="HTMLAddress">
    <w:name w:val="HTML Address"/>
    <w:basedOn w:val="Normal"/>
    <w:link w:val="HTMLAddressChar"/>
    <w:semiHidden/>
    <w:rsid w:val="00A06349"/>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A06349"/>
    <w:rPr>
      <w:rFonts w:ascii="Tahoma" w:eastAsia="Times New Roman" w:hAnsi="Tahoma" w:cs="Times New Roman"/>
      <w:i/>
      <w:iCs/>
      <w:lang w:val="de-AT" w:eastAsia="de-DE"/>
    </w:rPr>
  </w:style>
  <w:style w:type="character" w:styleId="HTMLAcronym">
    <w:name w:val="HTML Acronym"/>
    <w:semiHidden/>
    <w:rsid w:val="00A06349"/>
  </w:style>
  <w:style w:type="character" w:styleId="HTMLSample">
    <w:name w:val="HTML Sample"/>
    <w:semiHidden/>
    <w:rsid w:val="00A06349"/>
    <w:rPr>
      <w:rFonts w:ascii="Courier New" w:hAnsi="Courier New" w:cs="Courier New"/>
    </w:rPr>
  </w:style>
  <w:style w:type="character" w:styleId="HTMLCode">
    <w:name w:val="HTML Code"/>
    <w:semiHidden/>
    <w:rsid w:val="00A06349"/>
    <w:rPr>
      <w:rFonts w:ascii="Courier New" w:hAnsi="Courier New" w:cs="Courier New"/>
      <w:sz w:val="20"/>
      <w:szCs w:val="20"/>
    </w:rPr>
  </w:style>
  <w:style w:type="character" w:styleId="HTMLDefinition">
    <w:name w:val="HTML Definition"/>
    <w:semiHidden/>
    <w:rsid w:val="00A06349"/>
    <w:rPr>
      <w:i/>
      <w:iCs/>
    </w:rPr>
  </w:style>
  <w:style w:type="character" w:styleId="HTMLTypewriter">
    <w:name w:val="HTML Typewriter"/>
    <w:semiHidden/>
    <w:rsid w:val="00A06349"/>
    <w:rPr>
      <w:rFonts w:ascii="Courier New" w:hAnsi="Courier New" w:cs="Courier New"/>
      <w:sz w:val="20"/>
      <w:szCs w:val="20"/>
    </w:rPr>
  </w:style>
  <w:style w:type="character" w:styleId="HTMLKeyboard">
    <w:name w:val="HTML Keyboard"/>
    <w:semiHidden/>
    <w:rsid w:val="00A06349"/>
    <w:rPr>
      <w:rFonts w:ascii="Courier New" w:hAnsi="Courier New" w:cs="Courier New"/>
      <w:sz w:val="20"/>
      <w:szCs w:val="20"/>
    </w:rPr>
  </w:style>
  <w:style w:type="character" w:styleId="HTMLVariable">
    <w:name w:val="HTML Variable"/>
    <w:semiHidden/>
    <w:rsid w:val="00A06349"/>
    <w:rPr>
      <w:i/>
      <w:iCs/>
    </w:rPr>
  </w:style>
  <w:style w:type="paragraph" w:styleId="HTMLPreformatted">
    <w:name w:val="HTML Preformatted"/>
    <w:basedOn w:val="Normal"/>
    <w:link w:val="HTMLPreformattedChar"/>
    <w:uiPriority w:val="99"/>
    <w:rsid w:val="00A06349"/>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A06349"/>
    <w:rPr>
      <w:rFonts w:ascii="Courier New" w:eastAsia="Times New Roman" w:hAnsi="Courier New" w:cs="Times New Roman"/>
      <w:sz w:val="20"/>
      <w:lang w:val="de-AT" w:eastAsia="de-DE"/>
    </w:rPr>
  </w:style>
  <w:style w:type="character" w:styleId="HTMLCite">
    <w:name w:val="HTML Cite"/>
    <w:semiHidden/>
    <w:rsid w:val="00A06349"/>
    <w:rPr>
      <w:i/>
      <w:iCs/>
    </w:rPr>
  </w:style>
  <w:style w:type="table" w:styleId="Table3Deffects1">
    <w:name w:val="Table 3D effects 1"/>
    <w:basedOn w:val="TableNormal"/>
    <w:semiHidden/>
    <w:rsid w:val="00A0634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0634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0634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0634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0634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0634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0634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0634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0634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0634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0634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0634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0634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0634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0634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0634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0634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0634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0634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0634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0634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0634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0634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06349"/>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A06349"/>
    <w:rPr>
      <w:rFonts w:ascii="Tahoma" w:eastAsia="Times New Roman" w:hAnsi="Tahoma" w:cs="Times New Roman"/>
      <w:lang w:val="de-AT" w:eastAsia="de-DE"/>
    </w:rPr>
  </w:style>
  <w:style w:type="paragraph" w:styleId="E-mailSignature">
    <w:name w:val="E-mail Signature"/>
    <w:basedOn w:val="Normal"/>
    <w:link w:val="E-mailSignatureChar"/>
    <w:rsid w:val="00A06349"/>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A06349"/>
    <w:rPr>
      <w:rFonts w:ascii="Tahoma" w:eastAsia="Times New Roman" w:hAnsi="Tahoma" w:cs="Times New Roman"/>
      <w:lang w:val="de-AT" w:eastAsia="de-DE"/>
    </w:rPr>
  </w:style>
  <w:style w:type="paragraph" w:styleId="BodyText2">
    <w:name w:val="Body Text 2"/>
    <w:basedOn w:val="Normal"/>
    <w:link w:val="BodyText2Char"/>
    <w:rsid w:val="00A06349"/>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A06349"/>
    <w:rPr>
      <w:rFonts w:ascii="Tahoma" w:eastAsia="Times New Roman" w:hAnsi="Tahoma" w:cs="Times New Roman"/>
      <w:lang w:val="de-AT" w:eastAsia="de-DE"/>
    </w:rPr>
  </w:style>
  <w:style w:type="paragraph" w:styleId="BodyTextIndent2">
    <w:name w:val="Body Text Indent 2"/>
    <w:basedOn w:val="Normal"/>
    <w:link w:val="BodyTextIndent2Char"/>
    <w:rsid w:val="00A06349"/>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A06349"/>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A06349"/>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A0634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0634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0634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06349"/>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A0634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06349"/>
    <w:rPr>
      <w:rFonts w:ascii="CG Times" w:eastAsia="Times New Roman" w:hAnsi="CG Times" w:cs="Times New Roman"/>
      <w:b/>
      <w:szCs w:val="24"/>
    </w:rPr>
  </w:style>
  <w:style w:type="character" w:customStyle="1" w:styleId="SubtitleChar1">
    <w:name w:val="Subtitle Char1"/>
    <w:locked/>
    <w:rsid w:val="00A06349"/>
    <w:rPr>
      <w:rFonts w:ascii="Cambria" w:hAnsi="Cambria"/>
      <w:sz w:val="24"/>
      <w:szCs w:val="24"/>
    </w:rPr>
  </w:style>
  <w:style w:type="paragraph" w:customStyle="1" w:styleId="Char1">
    <w:name w:val="Char1"/>
    <w:basedOn w:val="Normal"/>
    <w:rsid w:val="00A06349"/>
    <w:pPr>
      <w:spacing w:line="240" w:lineRule="exact"/>
    </w:pPr>
    <w:rPr>
      <w:rFonts w:ascii="Arial" w:eastAsia="Times New Roman" w:hAnsi="Arial" w:cs="Arial"/>
      <w:sz w:val="20"/>
      <w:szCs w:val="20"/>
    </w:rPr>
  </w:style>
  <w:style w:type="character" w:customStyle="1" w:styleId="CharChar11">
    <w:name w:val="Char Char11"/>
    <w:semiHidden/>
    <w:locked/>
    <w:rsid w:val="00A06349"/>
    <w:rPr>
      <w:rFonts w:ascii="Tahoma" w:hAnsi="Tahoma" w:cs="Tahoma"/>
      <w:i/>
      <w:iCs/>
      <w:sz w:val="22"/>
      <w:szCs w:val="22"/>
      <w:lang w:val="de-AT" w:eastAsia="de-DE" w:bidi="ar-SA"/>
    </w:rPr>
  </w:style>
  <w:style w:type="character" w:customStyle="1" w:styleId="CharChar36">
    <w:name w:val="Char Char36"/>
    <w:locked/>
    <w:rsid w:val="00A06349"/>
    <w:rPr>
      <w:rFonts w:ascii="Arial" w:hAnsi="Arial" w:cs="Arial"/>
      <w:b/>
      <w:bCs/>
      <w:kern w:val="32"/>
      <w:sz w:val="32"/>
      <w:szCs w:val="32"/>
      <w:lang w:val="sq-AL" w:eastAsia="en-US" w:bidi="ar-SA"/>
    </w:rPr>
  </w:style>
  <w:style w:type="character" w:customStyle="1" w:styleId="CharChar35">
    <w:name w:val="Char Char35"/>
    <w:locked/>
    <w:rsid w:val="00A06349"/>
    <w:rPr>
      <w:rFonts w:ascii="Arial" w:hAnsi="Arial" w:cs="Arial"/>
      <w:b/>
      <w:bCs/>
      <w:i/>
      <w:iCs/>
      <w:sz w:val="28"/>
      <w:szCs w:val="28"/>
      <w:lang w:val="sq-AL" w:eastAsia="en-US" w:bidi="ar-SA"/>
    </w:rPr>
  </w:style>
  <w:style w:type="character" w:customStyle="1" w:styleId="CharChar34">
    <w:name w:val="Char Char34"/>
    <w:locked/>
    <w:rsid w:val="00A06349"/>
    <w:rPr>
      <w:rFonts w:ascii="Tahoma" w:hAnsi="Tahoma"/>
      <w:b/>
      <w:kern w:val="28"/>
      <w:sz w:val="24"/>
      <w:szCs w:val="28"/>
      <w:lang w:val="de-AT" w:eastAsia="de-DE" w:bidi="ar-SA"/>
    </w:rPr>
  </w:style>
  <w:style w:type="character" w:customStyle="1" w:styleId="CharChar33">
    <w:name w:val="Char Char33"/>
    <w:locked/>
    <w:rsid w:val="00A06349"/>
    <w:rPr>
      <w:rFonts w:ascii="Tahoma" w:hAnsi="Tahoma"/>
      <w:b/>
      <w:i/>
      <w:kern w:val="28"/>
      <w:sz w:val="22"/>
      <w:szCs w:val="22"/>
      <w:lang w:val="de-AT" w:eastAsia="de-DE" w:bidi="ar-SA"/>
    </w:rPr>
  </w:style>
  <w:style w:type="character" w:customStyle="1" w:styleId="CharChar32">
    <w:name w:val="Char Char32"/>
    <w:locked/>
    <w:rsid w:val="00A06349"/>
    <w:rPr>
      <w:rFonts w:ascii="Tahoma" w:hAnsi="Tahoma"/>
      <w:b/>
      <w:i/>
      <w:kern w:val="28"/>
      <w:sz w:val="22"/>
      <w:szCs w:val="22"/>
      <w:lang w:val="de-AT" w:eastAsia="de-DE" w:bidi="ar-SA"/>
    </w:rPr>
  </w:style>
  <w:style w:type="character" w:customStyle="1" w:styleId="CharChar31">
    <w:name w:val="Char Char31"/>
    <w:locked/>
    <w:rsid w:val="00A06349"/>
    <w:rPr>
      <w:rFonts w:ascii="Tahoma" w:hAnsi="Tahoma"/>
      <w:b/>
      <w:i/>
      <w:kern w:val="28"/>
      <w:sz w:val="22"/>
      <w:szCs w:val="22"/>
      <w:lang w:val="de-AT" w:eastAsia="de-DE" w:bidi="ar-SA"/>
    </w:rPr>
  </w:style>
  <w:style w:type="character" w:customStyle="1" w:styleId="CharChar10">
    <w:name w:val="Char Char10"/>
    <w:semiHidden/>
    <w:locked/>
    <w:rsid w:val="00A06349"/>
    <w:rPr>
      <w:rFonts w:ascii="Courier New" w:hAnsi="Courier New" w:cs="Courier New"/>
      <w:szCs w:val="22"/>
      <w:lang w:val="de-AT" w:eastAsia="de-DE" w:bidi="ar-SA"/>
    </w:rPr>
  </w:style>
  <w:style w:type="character" w:customStyle="1" w:styleId="CharChar30">
    <w:name w:val="Char Char30"/>
    <w:locked/>
    <w:rsid w:val="00A06349"/>
    <w:rPr>
      <w:rFonts w:ascii="Tahoma" w:hAnsi="Tahoma"/>
      <w:b/>
      <w:i/>
      <w:kern w:val="28"/>
      <w:sz w:val="22"/>
      <w:szCs w:val="22"/>
      <w:lang w:val="de-AT" w:eastAsia="de-DE" w:bidi="ar-SA"/>
    </w:rPr>
  </w:style>
  <w:style w:type="character" w:customStyle="1" w:styleId="CharChar29">
    <w:name w:val="Char Char29"/>
    <w:locked/>
    <w:rsid w:val="00A06349"/>
    <w:rPr>
      <w:rFonts w:ascii="Tahoma" w:hAnsi="Tahoma"/>
      <w:b/>
      <w:i/>
      <w:kern w:val="28"/>
      <w:sz w:val="22"/>
      <w:szCs w:val="22"/>
      <w:lang w:val="de-AT" w:eastAsia="de-DE" w:bidi="ar-SA"/>
    </w:rPr>
  </w:style>
  <w:style w:type="character" w:customStyle="1" w:styleId="CharChar28">
    <w:name w:val="Char Char28"/>
    <w:locked/>
    <w:rsid w:val="00A06349"/>
    <w:rPr>
      <w:rFonts w:ascii="Tahoma" w:hAnsi="Tahoma"/>
      <w:b/>
      <w:i/>
      <w:kern w:val="28"/>
      <w:sz w:val="22"/>
      <w:szCs w:val="22"/>
      <w:lang w:val="de-AT" w:eastAsia="de-DE" w:bidi="ar-SA"/>
    </w:rPr>
  </w:style>
  <w:style w:type="character" w:customStyle="1" w:styleId="CharChar27">
    <w:name w:val="Char Char27"/>
    <w:locked/>
    <w:rsid w:val="00A06349"/>
    <w:rPr>
      <w:rFonts w:ascii="Calibri" w:eastAsia="Calibri" w:hAnsi="Calibri"/>
      <w:lang w:val="sq-AL" w:eastAsia="en-US" w:bidi="ar-SA"/>
    </w:rPr>
  </w:style>
  <w:style w:type="character" w:customStyle="1" w:styleId="CharChar24">
    <w:name w:val="Char Char24"/>
    <w:locked/>
    <w:rsid w:val="00A06349"/>
    <w:rPr>
      <w:rFonts w:ascii="Tahoma" w:hAnsi="Tahoma" w:cs="Tahoma"/>
      <w:sz w:val="22"/>
      <w:szCs w:val="22"/>
      <w:lang w:val="de-AT" w:eastAsia="de-DE" w:bidi="ar-SA"/>
    </w:rPr>
  </w:style>
  <w:style w:type="character" w:customStyle="1" w:styleId="CharChar23">
    <w:name w:val="Char Char23"/>
    <w:locked/>
    <w:rsid w:val="00A06349"/>
    <w:rPr>
      <w:rFonts w:ascii="Tahoma" w:hAnsi="Tahoma" w:cs="Tahoma"/>
      <w:sz w:val="22"/>
      <w:szCs w:val="22"/>
      <w:lang w:val="de-AT" w:eastAsia="de-DE" w:bidi="ar-SA"/>
    </w:rPr>
  </w:style>
  <w:style w:type="character" w:customStyle="1" w:styleId="CharChar22">
    <w:name w:val="Char Char22"/>
    <w:semiHidden/>
    <w:locked/>
    <w:rsid w:val="00A06349"/>
    <w:rPr>
      <w:rFonts w:ascii="Courier New" w:hAnsi="Courier New" w:cs="Courier New"/>
      <w:sz w:val="22"/>
      <w:szCs w:val="22"/>
      <w:lang w:val="de-DE" w:eastAsia="de-DE" w:bidi="ar-SA"/>
    </w:rPr>
  </w:style>
  <w:style w:type="character" w:customStyle="1" w:styleId="CharChar21">
    <w:name w:val="Char Char21"/>
    <w:locked/>
    <w:rsid w:val="00A06349"/>
    <w:rPr>
      <w:rFonts w:ascii="Tahoma" w:hAnsi="Tahoma" w:cs="Tahoma"/>
      <w:b/>
      <w:kern w:val="28"/>
      <w:sz w:val="36"/>
      <w:szCs w:val="36"/>
      <w:lang w:val="de-AT" w:eastAsia="de-DE" w:bidi="ar-SA"/>
    </w:rPr>
  </w:style>
  <w:style w:type="character" w:customStyle="1" w:styleId="CharChar12">
    <w:name w:val="Char Char12"/>
    <w:semiHidden/>
    <w:locked/>
    <w:rsid w:val="00A06349"/>
    <w:rPr>
      <w:rFonts w:ascii="Tahoma" w:hAnsi="Tahoma" w:cs="Tahoma"/>
      <w:sz w:val="22"/>
      <w:szCs w:val="22"/>
      <w:lang w:val="de-AT" w:eastAsia="de-DE" w:bidi="ar-SA"/>
    </w:rPr>
  </w:style>
  <w:style w:type="character" w:customStyle="1" w:styleId="CharChar9">
    <w:name w:val="Char Char9"/>
    <w:semiHidden/>
    <w:locked/>
    <w:rsid w:val="00A06349"/>
    <w:rPr>
      <w:rFonts w:ascii="Tahoma" w:hAnsi="Tahoma" w:cs="Tahoma"/>
      <w:sz w:val="22"/>
      <w:szCs w:val="22"/>
      <w:lang w:val="de-AT" w:eastAsia="de-DE" w:bidi="ar-SA"/>
    </w:rPr>
  </w:style>
  <w:style w:type="character" w:customStyle="1" w:styleId="CharChar25">
    <w:name w:val="Char Char25"/>
    <w:semiHidden/>
    <w:locked/>
    <w:rsid w:val="00A06349"/>
    <w:rPr>
      <w:rFonts w:ascii="Tahoma" w:hAnsi="Tahoma" w:cs="Tahoma"/>
      <w:sz w:val="22"/>
      <w:szCs w:val="22"/>
      <w:lang w:val="de-AT" w:eastAsia="de-DE" w:bidi="ar-SA"/>
    </w:rPr>
  </w:style>
  <w:style w:type="character" w:customStyle="1" w:styleId="CharChar15">
    <w:name w:val="Char Char15"/>
    <w:semiHidden/>
    <w:locked/>
    <w:rsid w:val="00A06349"/>
    <w:rPr>
      <w:rFonts w:ascii="Tahoma" w:hAnsi="Tahoma" w:cs="Tahoma"/>
      <w:sz w:val="22"/>
      <w:szCs w:val="22"/>
      <w:lang w:val="de-AT" w:eastAsia="de-DE" w:bidi="ar-SA"/>
    </w:rPr>
  </w:style>
  <w:style w:type="character" w:customStyle="1" w:styleId="CharChar16">
    <w:name w:val="Char Char16"/>
    <w:semiHidden/>
    <w:locked/>
    <w:rsid w:val="00A06349"/>
    <w:rPr>
      <w:rFonts w:ascii="Tahoma" w:hAnsi="Tahoma" w:cs="Arial"/>
      <w:sz w:val="24"/>
      <w:szCs w:val="24"/>
      <w:lang w:val="de-AT" w:eastAsia="de-DE" w:bidi="ar-SA"/>
    </w:rPr>
  </w:style>
  <w:style w:type="character" w:customStyle="1" w:styleId="CharChar20">
    <w:name w:val="Char Char20"/>
    <w:locked/>
    <w:rsid w:val="00A06349"/>
    <w:rPr>
      <w:rFonts w:ascii="Tahoma" w:hAnsi="Tahoma" w:cs="Tahoma"/>
      <w:b/>
      <w:kern w:val="28"/>
      <w:sz w:val="32"/>
      <w:szCs w:val="36"/>
      <w:lang w:val="de-AT" w:eastAsia="de-DE" w:bidi="ar-SA"/>
    </w:rPr>
  </w:style>
  <w:style w:type="character" w:customStyle="1" w:styleId="CharChar13">
    <w:name w:val="Char Char13"/>
    <w:semiHidden/>
    <w:locked/>
    <w:rsid w:val="00A06349"/>
    <w:rPr>
      <w:rFonts w:ascii="Tahoma" w:hAnsi="Tahoma" w:cs="Tahoma"/>
      <w:sz w:val="22"/>
      <w:szCs w:val="22"/>
      <w:lang w:val="de-AT" w:eastAsia="de-DE" w:bidi="ar-SA"/>
    </w:rPr>
  </w:style>
  <w:style w:type="character" w:customStyle="1" w:styleId="CharChar19">
    <w:name w:val="Char Char19"/>
    <w:semiHidden/>
    <w:locked/>
    <w:rsid w:val="00A06349"/>
    <w:rPr>
      <w:rFonts w:ascii="Tahoma" w:hAnsi="Tahoma" w:cs="Tahoma"/>
      <w:sz w:val="22"/>
      <w:szCs w:val="22"/>
      <w:lang w:val="de-AT" w:eastAsia="de-DE" w:bidi="ar-SA"/>
    </w:rPr>
  </w:style>
  <w:style w:type="character" w:customStyle="1" w:styleId="CharChar3">
    <w:name w:val="Char Char3"/>
    <w:semiHidden/>
    <w:locked/>
    <w:rsid w:val="00A06349"/>
  </w:style>
  <w:style w:type="character" w:customStyle="1" w:styleId="CharChar14">
    <w:name w:val="Char Char14"/>
    <w:semiHidden/>
    <w:locked/>
    <w:rsid w:val="00A06349"/>
  </w:style>
  <w:style w:type="character" w:customStyle="1" w:styleId="CharChar17">
    <w:name w:val="Char Char17"/>
    <w:locked/>
    <w:rsid w:val="00A06349"/>
    <w:rPr>
      <w:rFonts w:ascii="Tahoma" w:hAnsi="Tahoma" w:cs="Tahoma"/>
      <w:sz w:val="22"/>
      <w:szCs w:val="22"/>
      <w:lang w:val="de-AT" w:eastAsia="de-DE" w:bidi="ar-SA"/>
    </w:rPr>
  </w:style>
  <w:style w:type="character" w:customStyle="1" w:styleId="CharChar7">
    <w:name w:val="Char Char7"/>
    <w:semiHidden/>
    <w:locked/>
    <w:rsid w:val="00A06349"/>
    <w:rPr>
      <w:rFonts w:ascii="Tahoma" w:hAnsi="Tahoma" w:cs="Tahoma"/>
      <w:sz w:val="22"/>
      <w:szCs w:val="22"/>
      <w:lang w:val="de-AT" w:eastAsia="de-DE" w:bidi="ar-SA"/>
    </w:rPr>
  </w:style>
  <w:style w:type="character" w:customStyle="1" w:styleId="CharChar6">
    <w:name w:val="Char Char6"/>
    <w:semiHidden/>
    <w:locked/>
    <w:rsid w:val="00A06349"/>
    <w:rPr>
      <w:rFonts w:ascii="Tahoma" w:hAnsi="Tahoma" w:cs="Tahoma"/>
      <w:sz w:val="16"/>
      <w:szCs w:val="16"/>
      <w:lang w:val="de-AT" w:eastAsia="de-DE" w:bidi="ar-SA"/>
    </w:rPr>
  </w:style>
  <w:style w:type="character" w:customStyle="1" w:styleId="CharChar5">
    <w:name w:val="Char Char5"/>
    <w:semiHidden/>
    <w:locked/>
    <w:rsid w:val="00A06349"/>
    <w:rPr>
      <w:rFonts w:ascii="Tahoma" w:hAnsi="Tahoma" w:cs="Tahoma"/>
      <w:sz w:val="22"/>
      <w:szCs w:val="22"/>
      <w:lang w:val="de-AT" w:eastAsia="de-DE" w:bidi="ar-SA"/>
    </w:rPr>
  </w:style>
  <w:style w:type="character" w:customStyle="1" w:styleId="CharChar4">
    <w:name w:val="Char Char4"/>
    <w:semiHidden/>
    <w:locked/>
    <w:rsid w:val="00A06349"/>
    <w:rPr>
      <w:rFonts w:ascii="Tahoma" w:hAnsi="Tahoma" w:cs="Tahoma"/>
      <w:sz w:val="16"/>
      <w:szCs w:val="16"/>
      <w:lang w:val="de-AT" w:eastAsia="de-DE" w:bidi="ar-SA"/>
    </w:rPr>
  </w:style>
  <w:style w:type="character" w:customStyle="1" w:styleId="CharChar18">
    <w:name w:val="Char Char18"/>
    <w:semiHidden/>
    <w:locked/>
    <w:rsid w:val="00A06349"/>
    <w:rPr>
      <w:rFonts w:ascii="Tahoma" w:hAnsi="Tahoma" w:cs="Tahoma"/>
      <w:sz w:val="22"/>
      <w:szCs w:val="22"/>
      <w:lang w:val="de-AT" w:eastAsia="de-DE" w:bidi="ar-SA"/>
    </w:rPr>
  </w:style>
  <w:style w:type="character" w:customStyle="1" w:styleId="CharChar8">
    <w:name w:val="Char Char8"/>
    <w:locked/>
    <w:rsid w:val="00A06349"/>
    <w:rPr>
      <w:rFonts w:ascii="Tahoma" w:hAnsi="Tahoma" w:cs="Tahoma"/>
      <w:sz w:val="22"/>
      <w:szCs w:val="22"/>
      <w:lang w:val="de-AT" w:eastAsia="de-DE" w:bidi="ar-SA"/>
    </w:rPr>
  </w:style>
  <w:style w:type="character" w:customStyle="1" w:styleId="CharChar2">
    <w:name w:val="Char Char2"/>
    <w:locked/>
    <w:rsid w:val="00A06349"/>
    <w:rPr>
      <w:rFonts w:ascii="Calibri" w:eastAsia="Calibri" w:hAnsi="Calibri" w:cs="Times New Roman"/>
      <w:b/>
      <w:bCs/>
      <w:sz w:val="20"/>
      <w:szCs w:val="20"/>
      <w:lang w:val="sq-AL" w:eastAsia="en-US" w:bidi="ar-SA"/>
    </w:rPr>
  </w:style>
  <w:style w:type="character" w:customStyle="1" w:styleId="CharChar26">
    <w:name w:val="Char Char26"/>
    <w:semiHidden/>
    <w:locked/>
    <w:rsid w:val="00A06349"/>
    <w:rPr>
      <w:rFonts w:ascii="Tahoma" w:hAnsi="Tahoma" w:cs="Tahoma"/>
      <w:sz w:val="16"/>
      <w:szCs w:val="16"/>
      <w:lang w:val="sq-AL" w:eastAsia="en-US" w:bidi="ar-SA"/>
    </w:rPr>
  </w:style>
  <w:style w:type="character" w:customStyle="1" w:styleId="CommentTextChar11">
    <w:name w:val="Comment Text Char11"/>
    <w:aliases w:val="Char Char37"/>
    <w:semiHidden/>
    <w:rsid w:val="00A06349"/>
    <w:rPr>
      <w:rFonts w:ascii="Calibri" w:hAnsi="Calibri" w:hint="default"/>
      <w:lang w:val="sq-AL"/>
    </w:rPr>
  </w:style>
  <w:style w:type="character" w:customStyle="1" w:styleId="NormalIndentChar">
    <w:name w:val="Normal Indent Char"/>
    <w:link w:val="NormalIndent"/>
    <w:rsid w:val="00A0634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06349"/>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A06349"/>
    <w:pPr>
      <w:tabs>
        <w:tab w:val="num" w:pos="360"/>
        <w:tab w:val="num" w:pos="1935"/>
        <w:tab w:val="num" w:pos="2563"/>
        <w:tab w:val="num" w:pos="3474"/>
      </w:tabs>
      <w:ind w:left="1935" w:hanging="360"/>
      <w:outlineLvl w:val="6"/>
    </w:pPr>
  </w:style>
  <w:style w:type="character" w:customStyle="1" w:styleId="AODefHeadChar">
    <w:name w:val="AODefHead Char"/>
    <w:link w:val="AODefHead"/>
    <w:rsid w:val="00A06349"/>
    <w:rPr>
      <w:rFonts w:ascii="Times New Roman" w:eastAsia="Times New Roman" w:hAnsi="Times New Roman" w:cs="Times New Roman"/>
      <w:szCs w:val="20"/>
      <w:lang w:val="sq-AL" w:eastAsia="sq-AL" w:bidi="sq-AL"/>
    </w:rPr>
  </w:style>
  <w:style w:type="paragraph" w:customStyle="1" w:styleId="PARA">
    <w:name w:val="PARA"/>
    <w:basedOn w:val="Normal"/>
    <w:locked/>
    <w:rsid w:val="00A06349"/>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06349"/>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A0634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06349"/>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A0634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06349"/>
    <w:rPr>
      <w:color w:val="0000FF"/>
      <w:spacing w:val="0"/>
      <w:u w:val="double"/>
    </w:rPr>
  </w:style>
  <w:style w:type="paragraph" w:customStyle="1" w:styleId="dia">
    <w:name w:val="di(a)"/>
    <w:basedOn w:val="Normal"/>
    <w:rsid w:val="00A06349"/>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A06349"/>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A06349"/>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A06349"/>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A0634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063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A06349"/>
    <w:rPr>
      <w:rFonts w:cs="Times New Roman"/>
      <w:color w:val="808080"/>
    </w:rPr>
  </w:style>
  <w:style w:type="character" w:customStyle="1" w:styleId="az12">
    <w:name w:val="az12"/>
    <w:uiPriority w:val="99"/>
    <w:rsid w:val="00A0634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0634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06349"/>
    <w:rPr>
      <w:rFonts w:ascii="Calibri" w:eastAsia="Times New Roman" w:hAnsi="Calibri" w:cs="Times New Roman"/>
      <w:sz w:val="24"/>
      <w:szCs w:val="24"/>
      <w:lang w:val="en-GB" w:eastAsia="en-GB"/>
    </w:rPr>
  </w:style>
  <w:style w:type="paragraph" w:customStyle="1" w:styleId="Paragraf02">
    <w:name w:val="Paragraf 0.2"/>
    <w:basedOn w:val="Paragrafi"/>
    <w:qFormat/>
    <w:rsid w:val="00A06349"/>
    <w:pPr>
      <w:tabs>
        <w:tab w:val="left" w:pos="6575"/>
      </w:tabs>
    </w:pPr>
    <w:rPr>
      <w:spacing w:val="-4"/>
    </w:rPr>
  </w:style>
  <w:style w:type="table" w:customStyle="1" w:styleId="TableGrid30">
    <w:name w:val="Table Grid3"/>
    <w:basedOn w:val="TableNormal"/>
    <w:next w:val="TableGrid"/>
    <w:uiPriority w:val="59"/>
    <w:rsid w:val="00A063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06349"/>
  </w:style>
  <w:style w:type="character" w:styleId="BookTitle">
    <w:name w:val="Book Title"/>
    <w:uiPriority w:val="33"/>
    <w:qFormat/>
    <w:rsid w:val="00A06349"/>
    <w:rPr>
      <w:b/>
      <w:bCs/>
      <w:smallCaps/>
      <w:spacing w:val="5"/>
    </w:rPr>
  </w:style>
  <w:style w:type="paragraph" w:customStyle="1" w:styleId="Cover1">
    <w:name w:val="Cover1"/>
    <w:basedOn w:val="Normal"/>
    <w:next w:val="Normal"/>
    <w:rsid w:val="00A06349"/>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A06349"/>
    <w:pPr>
      <w:spacing w:after="240" w:line="240" w:lineRule="auto"/>
    </w:pPr>
    <w:rPr>
      <w:rFonts w:ascii="Arial" w:eastAsia="Times New Roman" w:hAnsi="Arial" w:cs="Times New Roman"/>
      <w:szCs w:val="20"/>
      <w:lang w:val="sq-AL" w:eastAsia="sq-AL" w:bidi="sq-AL"/>
    </w:rPr>
  </w:style>
  <w:style w:type="paragraph" w:customStyle="1" w:styleId="Stile">
    <w:name w:val="Stile"/>
    <w:rsid w:val="00A0634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06349"/>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A06349"/>
    <w:rPr>
      <w:rFonts w:ascii="Times New Roman" w:eastAsia="Times New Roman" w:hAnsi="Times New Roman" w:cs="Times New Roman"/>
      <w:szCs w:val="20"/>
      <w:lang w:val="sq-AL"/>
    </w:rPr>
  </w:style>
  <w:style w:type="character" w:customStyle="1" w:styleId="Bodytext0">
    <w:name w:val="Body text_"/>
    <w:link w:val="BodyText1"/>
    <w:rsid w:val="00A06349"/>
    <w:rPr>
      <w:rFonts w:ascii="Times New Roman" w:hAnsi="Times New Roman"/>
      <w:sz w:val="21"/>
      <w:szCs w:val="21"/>
      <w:shd w:val="clear" w:color="auto" w:fill="FFFFFF"/>
    </w:rPr>
  </w:style>
  <w:style w:type="paragraph" w:customStyle="1" w:styleId="BodyText1">
    <w:name w:val="Body Text1"/>
    <w:basedOn w:val="Normal"/>
    <w:link w:val="Bodytext0"/>
    <w:rsid w:val="00A06349"/>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A0634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06349"/>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A06349"/>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A06349"/>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A06349"/>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06349"/>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06349"/>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06349"/>
    <w:pPr>
      <w:widowControl w:val="0"/>
      <w:spacing w:after="0" w:line="240" w:lineRule="auto"/>
    </w:pPr>
  </w:style>
  <w:style w:type="paragraph" w:customStyle="1" w:styleId="xl63">
    <w:name w:val="xl63"/>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A06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A06349"/>
  </w:style>
  <w:style w:type="paragraph" w:customStyle="1" w:styleId="Char2">
    <w:name w:val="Char2"/>
    <w:basedOn w:val="Normal"/>
    <w:link w:val="FootnoteReference"/>
    <w:uiPriority w:val="99"/>
    <w:rsid w:val="00A06349"/>
    <w:pPr>
      <w:spacing w:line="240" w:lineRule="exact"/>
    </w:pPr>
    <w:rPr>
      <w:vertAlign w:val="superscript"/>
    </w:rPr>
  </w:style>
  <w:style w:type="paragraph" w:customStyle="1" w:styleId="ecxmsonormal">
    <w:name w:val="ecxmsonormal"/>
    <w:basedOn w:val="Normal"/>
    <w:rsid w:val="00A063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A06349"/>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06349"/>
    <w:rPr>
      <w:rFonts w:ascii="Garamond" w:eastAsia="MS Mincho" w:hAnsi="Garamond" w:cs="CG Times"/>
      <w:b/>
      <w:bCs/>
      <w:caps/>
      <w:color w:val="000000"/>
      <w:sz w:val="24"/>
      <w:lang w:val="en-GB"/>
    </w:rPr>
  </w:style>
  <w:style w:type="paragraph" w:customStyle="1" w:styleId="Style20">
    <w:name w:val="Style 2"/>
    <w:basedOn w:val="Normal"/>
    <w:uiPriority w:val="99"/>
    <w:qFormat/>
    <w:rsid w:val="00A06349"/>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A06349"/>
    <w:rPr>
      <w:sz w:val="24"/>
    </w:rPr>
  </w:style>
  <w:style w:type="character" w:customStyle="1" w:styleId="Style2Char">
    <w:name w:val="Style2 Char"/>
    <w:locked/>
    <w:rsid w:val="00A06349"/>
    <w:rPr>
      <w:rFonts w:ascii="Times New Roman" w:eastAsia="Times New Roman" w:hAnsi="Times New Roman"/>
      <w:color w:val="0070C0"/>
      <w:sz w:val="28"/>
      <w:szCs w:val="24"/>
      <w:lang w:val="sq-AL"/>
    </w:rPr>
  </w:style>
  <w:style w:type="character" w:styleId="IntenseEmphasis">
    <w:name w:val="Intense Emphasis"/>
    <w:uiPriority w:val="21"/>
    <w:qFormat/>
    <w:rsid w:val="00A06349"/>
    <w:rPr>
      <w:b/>
      <w:bCs/>
      <w:i/>
      <w:iCs/>
      <w:color w:val="4F81BD"/>
      <w:sz w:val="24"/>
    </w:rPr>
  </w:style>
  <w:style w:type="character" w:customStyle="1" w:styleId="longtext1">
    <w:name w:val="long_text1"/>
    <w:rsid w:val="00A06349"/>
    <w:rPr>
      <w:sz w:val="20"/>
      <w:szCs w:val="20"/>
    </w:rPr>
  </w:style>
  <w:style w:type="character" w:customStyle="1" w:styleId="BodyTextChar1">
    <w:name w:val="Body Text Char1"/>
    <w:uiPriority w:val="99"/>
    <w:semiHidden/>
    <w:rsid w:val="00A06349"/>
    <w:rPr>
      <w:rFonts w:ascii="Times New Roman" w:eastAsia="Times New Roman" w:hAnsi="Times New Roman"/>
      <w:sz w:val="24"/>
      <w:szCs w:val="24"/>
    </w:rPr>
  </w:style>
  <w:style w:type="character" w:customStyle="1" w:styleId="BodyText3Char1">
    <w:name w:val="Body Text 3 Char1"/>
    <w:uiPriority w:val="99"/>
    <w:semiHidden/>
    <w:rsid w:val="00A06349"/>
    <w:rPr>
      <w:rFonts w:ascii="Times New Roman" w:eastAsia="Times New Roman" w:hAnsi="Times New Roman"/>
      <w:sz w:val="16"/>
      <w:szCs w:val="16"/>
    </w:rPr>
  </w:style>
  <w:style w:type="character" w:customStyle="1" w:styleId="BodyTextIndent2Char1">
    <w:name w:val="Body Text Indent 2 Char1"/>
    <w:uiPriority w:val="99"/>
    <w:semiHidden/>
    <w:rsid w:val="00A06349"/>
    <w:rPr>
      <w:rFonts w:ascii="Times New Roman" w:eastAsia="Times New Roman" w:hAnsi="Times New Roman"/>
      <w:sz w:val="24"/>
      <w:szCs w:val="24"/>
    </w:rPr>
  </w:style>
  <w:style w:type="paragraph" w:customStyle="1" w:styleId="xl160">
    <w:name w:val="xl160"/>
    <w:basedOn w:val="Normal"/>
    <w:rsid w:val="00A06349"/>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A06349"/>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A06349"/>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A06349"/>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A06349"/>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A06349"/>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A06349"/>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A06349"/>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A06349"/>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A06349"/>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A06349"/>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A06349"/>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A06349"/>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A06349"/>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A06349"/>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A06349"/>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A0634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A06349"/>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A06349"/>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A0634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A06349"/>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A06349"/>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A06349"/>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A06349"/>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A06349"/>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A06349"/>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A0634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A06349"/>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A06349"/>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A06349"/>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A06349"/>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A06349"/>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A06349"/>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A06349"/>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A0634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A06349"/>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A06349"/>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A06349"/>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A06349"/>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A0634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A0634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A06349"/>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A06349"/>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A0634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A06349"/>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A06349"/>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A06349"/>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A06349"/>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A06349"/>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A06349"/>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A06349"/>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A06349"/>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A06349"/>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A06349"/>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A06349"/>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A06349"/>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A06349"/>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A06349"/>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A0634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A06349"/>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A06349"/>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A06349"/>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A06349"/>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A06349"/>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A06349"/>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A06349"/>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A06349"/>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A06349"/>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A06349"/>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A06349"/>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A06349"/>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A06349"/>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A06349"/>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A06349"/>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A06349"/>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A06349"/>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A06349"/>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A0634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A0634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A0634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A06349"/>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A063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A06349"/>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A06349"/>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A0634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A0634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A06349"/>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A0634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A06349"/>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A0634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A0634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A0634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A06349"/>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A06349"/>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A06349"/>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A06349"/>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A06349"/>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A063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A063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A06349"/>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A06349"/>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A06349"/>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A06349"/>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A06349"/>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A06349"/>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A06349"/>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A06349"/>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A06349"/>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A06349"/>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A06349"/>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A06349"/>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A06349"/>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A06349"/>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A0634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A06349"/>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A06349"/>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A06349"/>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A0634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A06349"/>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A0634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A06349"/>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A06349"/>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A06349"/>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A06349"/>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A06349"/>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A06349"/>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A06349"/>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A06349"/>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A06349"/>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A06349"/>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A06349"/>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A06349"/>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A06349"/>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A06349"/>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A06349"/>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A06349"/>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A06349"/>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A063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A0634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A0634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A06349"/>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A06349"/>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A06349"/>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A06349"/>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A06349"/>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A063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A063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A0634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A06349"/>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A0634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A0634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A06349"/>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A06349"/>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A06349"/>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A0634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A06349"/>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A0634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A06349"/>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A0634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A06349"/>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A06349"/>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A0634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A06349"/>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A06349"/>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A0634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A06349"/>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A0634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A0634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A0634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A0634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A06349"/>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A06349"/>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A06349"/>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A06349"/>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A06349"/>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A06349"/>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A06349"/>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A06349"/>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A06349"/>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A06349"/>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A0634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A06349"/>
    <w:rPr>
      <w:rFonts w:cs="Times New Roman"/>
      <w:sz w:val="19"/>
      <w:szCs w:val="19"/>
      <w:shd w:val="clear" w:color="auto" w:fill="FFFFFF"/>
    </w:rPr>
  </w:style>
  <w:style w:type="character" w:customStyle="1" w:styleId="En-tte1">
    <w:name w:val="En-tête #1_"/>
    <w:basedOn w:val="DefaultParagraphFont"/>
    <w:link w:val="En-tte10"/>
    <w:uiPriority w:val="99"/>
    <w:locked/>
    <w:rsid w:val="00A06349"/>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A06349"/>
    <w:rPr>
      <w:rFonts w:cs="Times New Roman"/>
      <w:sz w:val="20"/>
      <w:szCs w:val="20"/>
      <w:shd w:val="clear" w:color="auto" w:fill="FFFFFF"/>
    </w:rPr>
  </w:style>
  <w:style w:type="character" w:customStyle="1" w:styleId="En-tteoupieddepage0">
    <w:name w:val="En-tête ou pied de page"/>
    <w:basedOn w:val="En-tteoupieddepage"/>
    <w:uiPriority w:val="99"/>
    <w:rsid w:val="00A06349"/>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A06349"/>
    <w:rPr>
      <w:rFonts w:cs="Times New Roman"/>
      <w:sz w:val="31"/>
      <w:szCs w:val="31"/>
      <w:shd w:val="clear" w:color="auto" w:fill="FFFFFF"/>
    </w:rPr>
  </w:style>
  <w:style w:type="character" w:customStyle="1" w:styleId="TOC1Char">
    <w:name w:val="TOC 1 Char"/>
    <w:basedOn w:val="DefaultParagraphFont"/>
    <w:link w:val="TOC1"/>
    <w:uiPriority w:val="39"/>
    <w:locked/>
    <w:rsid w:val="00A06349"/>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A06349"/>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A06349"/>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A06349"/>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A06349"/>
    <w:rPr>
      <w:rFonts w:cs="Times New Roman"/>
      <w:b/>
      <w:bCs/>
      <w:sz w:val="30"/>
      <w:szCs w:val="30"/>
      <w:shd w:val="clear" w:color="auto" w:fill="FFFFFF"/>
    </w:rPr>
  </w:style>
  <w:style w:type="character" w:customStyle="1" w:styleId="En-tte3">
    <w:name w:val="En-tête #3_"/>
    <w:basedOn w:val="DefaultParagraphFont"/>
    <w:link w:val="En-tte30"/>
    <w:uiPriority w:val="99"/>
    <w:locked/>
    <w:rsid w:val="00A06349"/>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A06349"/>
    <w:rPr>
      <w:rFonts w:cs="Times New Roman"/>
      <w:shd w:val="clear" w:color="auto" w:fill="FFFFFF"/>
    </w:rPr>
  </w:style>
  <w:style w:type="character" w:customStyle="1" w:styleId="Corpsdutexte0">
    <w:name w:val="Corps du texte"/>
    <w:basedOn w:val="Corpsdutexte"/>
    <w:uiPriority w:val="99"/>
    <w:rsid w:val="00A06349"/>
    <w:rPr>
      <w:rFonts w:cs="Times New Roman"/>
      <w:u w:val="single"/>
      <w:shd w:val="clear" w:color="auto" w:fill="FFFFFF"/>
    </w:rPr>
  </w:style>
  <w:style w:type="paragraph" w:customStyle="1" w:styleId="Notedebasdepage0">
    <w:name w:val="Note de bas de page"/>
    <w:basedOn w:val="Normal"/>
    <w:link w:val="Notedebasdepage"/>
    <w:uiPriority w:val="99"/>
    <w:rsid w:val="00A06349"/>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A06349"/>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A06349"/>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A06349"/>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A06349"/>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A06349"/>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A06349"/>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A06349"/>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A06349"/>
    <w:pPr>
      <w:numPr>
        <w:numId w:val="17"/>
      </w:numPr>
    </w:pPr>
  </w:style>
  <w:style w:type="paragraph" w:customStyle="1" w:styleId="ListNumberLevel2">
    <w:name w:val="List Number (Level 2)"/>
    <w:basedOn w:val="Normal"/>
    <w:rsid w:val="00A06349"/>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A06349"/>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A06349"/>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A06349"/>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A06349"/>
  </w:style>
  <w:style w:type="paragraph" w:customStyle="1" w:styleId="Normal2">
    <w:name w:val="Normal2"/>
    <w:basedOn w:val="Normal"/>
    <w:rsid w:val="00A06349"/>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A06349"/>
  </w:style>
  <w:style w:type="paragraph" w:customStyle="1" w:styleId="en-tte300">
    <w:name w:val="en-tte30"/>
    <w:basedOn w:val="Normal"/>
    <w:rsid w:val="00A06349"/>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A06349"/>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A06349"/>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A06349"/>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A06349"/>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A06349"/>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A06349"/>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A06349"/>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A06349"/>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A06349"/>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A06349"/>
  </w:style>
  <w:style w:type="character" w:customStyle="1" w:styleId="Bodytext20">
    <w:name w:val="Body text (2)_"/>
    <w:link w:val="Bodytext24"/>
    <w:rsid w:val="00A06349"/>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06349"/>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A06349"/>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06349"/>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06349"/>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06349"/>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06349"/>
    <w:pPr>
      <w:spacing w:before="100" w:beforeAutospacing="1" w:after="100" w:afterAutospacing="1" w:line="240" w:lineRule="auto"/>
    </w:pPr>
    <w:rPr>
      <w:rFonts w:ascii="Times New Roman" w:eastAsia="Calibri" w:hAnsi="Times New Roman" w:cs="Times New Roman"/>
      <w:sz w:val="24"/>
      <w:szCs w:val="24"/>
    </w:rPr>
  </w:style>
  <w:style w:type="paragraph" w:customStyle="1" w:styleId="VENDOSI1">
    <w:name w:val="VENDOSI"/>
    <w:next w:val="Normal"/>
    <w:rsid w:val="00A06349"/>
    <w:pPr>
      <w:keepNext/>
      <w:widowControl w:val="0"/>
      <w:spacing w:after="0" w:line="240" w:lineRule="auto"/>
      <w:jc w:val="center"/>
    </w:pPr>
    <w:rPr>
      <w:rFonts w:ascii="CG Times" w:eastAsia="Batang" w:hAnsi="CG Times" w:cs="Times New Roman"/>
      <w:caps/>
      <w:lang w:val="en-GB"/>
    </w:rPr>
  </w:style>
  <w:style w:type="table" w:customStyle="1" w:styleId="GridTable1Light1">
    <w:name w:val="Grid Table 1 Light1"/>
    <w:basedOn w:val="TableNormal"/>
    <w:uiPriority w:val="46"/>
    <w:rsid w:val="00A06349"/>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15886</Words>
  <Characters>90551</Characters>
  <Application>Microsoft Office Word</Application>
  <DocSecurity>0</DocSecurity>
  <Lines>754</Lines>
  <Paragraphs>212</Paragraphs>
  <ScaleCrop>false</ScaleCrop>
  <Company/>
  <LinksUpToDate>false</LinksUpToDate>
  <CharactersWithSpaces>106225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2017-01-23T10:09:00Z</dcterms:created>
  <dcterms:modified xsi:type="dcterms:W3CDTF">2018-01-24T15:22:00Z</dcterms:modified>
</cp:coreProperties>
</file>