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61D" w:rsidRDefault="0094561D" w:rsidP="0094561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94561D" w:rsidRDefault="0094561D" w:rsidP="0094561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11, datë 17.4.2018</w:t>
      </w:r>
    </w:p>
    <w:p w:rsidR="0094561D" w:rsidRDefault="0094561D" w:rsidP="0094561D">
      <w:pPr>
        <w:pStyle w:val="NeniTitull"/>
        <w:keepNext w:val="0"/>
        <w:rPr>
          <w:spacing w:val="-4"/>
          <w:sz w:val="14"/>
          <w:lang w:val="sq-AL"/>
        </w:rPr>
      </w:pPr>
    </w:p>
    <w:p w:rsidR="0094561D" w:rsidRDefault="0094561D" w:rsidP="0094561D">
      <w:pPr>
        <w:pStyle w:val="NeniTitull"/>
        <w:keepNext w:val="0"/>
        <w:rPr>
          <w:spacing w:val="-4"/>
          <w:szCs w:val="24"/>
          <w:lang w:val="sq-AL"/>
        </w:rPr>
      </w:pPr>
      <w:r>
        <w:rPr>
          <w:spacing w:val="-4"/>
          <w:lang w:val="sq-AL"/>
        </w:rPr>
        <w:t xml:space="preserve">PËR RREGULLAT E BRENDSHME MBI </w:t>
      </w:r>
      <w:r>
        <w:rPr>
          <w:spacing w:val="-4"/>
          <w:szCs w:val="24"/>
          <w:lang w:val="sq-AL"/>
        </w:rPr>
        <w:t xml:space="preserve">MËNYRËN E EKZEKUTIMIT TË VENDIMEVE GJYQËSORE TË MINISTRISË SË FINANCAVE </w:t>
      </w:r>
    </w:p>
    <w:p w:rsidR="0094561D" w:rsidRDefault="0094561D" w:rsidP="0094561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szCs w:val="24"/>
          <w:lang w:val="sq-AL"/>
        </w:rPr>
        <w:t>DHE EKONOMISË</w:t>
      </w:r>
    </w:p>
    <w:p w:rsidR="0094561D" w:rsidRDefault="0094561D" w:rsidP="0094561D">
      <w:pPr>
        <w:pStyle w:val="Paragrafi"/>
        <w:rPr>
          <w:spacing w:val="-4"/>
          <w:sz w:val="14"/>
          <w:lang w:val="sq-AL"/>
        </w:rPr>
      </w:pP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 të Kushtetutës; të neneve 510, 589, të ligjit nr. 8116, datë 29.3.1996, “Kodi i Procedurës Civile të Republikës së Shqipërisë”, të ndryshuar; të neneve 43 e 54, të ligjit nr. 9936, datë 26.6.2008, “Për menaxhimin e sistemit buxhetor në Republikën e Shqipërisë”, të ndryshuar; të ligjit nr. 10296, datë 8.7.2012, “Për menaxhimin financiar dhe kontrollin”, të ndryshuar dhe të ligjit nr. 152, datë 30.5.2013, “Për nëpunësin civil”, të ndryshuar, ministri i Financave dhe Ekonomisë,</w:t>
      </w:r>
    </w:p>
    <w:p w:rsidR="0094561D" w:rsidRDefault="0094561D" w:rsidP="0094561D">
      <w:pPr>
        <w:pStyle w:val="Paragrafi"/>
        <w:rPr>
          <w:spacing w:val="-4"/>
          <w:sz w:val="14"/>
          <w:lang w:val="sq-AL"/>
        </w:rPr>
      </w:pPr>
    </w:p>
    <w:p w:rsidR="0094561D" w:rsidRDefault="0094561D" w:rsidP="0094561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UDHËZON:</w:t>
      </w:r>
    </w:p>
    <w:p w:rsidR="0094561D" w:rsidRDefault="0094561D" w:rsidP="0094561D">
      <w:pPr>
        <w:pStyle w:val="NeniNr"/>
        <w:keepNext w:val="0"/>
        <w:rPr>
          <w:spacing w:val="-4"/>
          <w:sz w:val="14"/>
          <w:szCs w:val="20"/>
          <w:lang w:val="sq-AL"/>
        </w:rPr>
      </w:pPr>
    </w:p>
    <w:p w:rsidR="0094561D" w:rsidRDefault="0094561D" w:rsidP="0094561D">
      <w:pPr>
        <w:pStyle w:val="NeniNr"/>
        <w:keepNext w:val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KREU I </w:t>
      </w:r>
    </w:p>
    <w:p w:rsidR="0094561D" w:rsidRDefault="0094561D" w:rsidP="0094561D">
      <w:pPr>
        <w:pStyle w:val="NeniNr"/>
        <w:keepNext w:val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TË PËRGJITHSHME</w:t>
      </w:r>
    </w:p>
    <w:p w:rsidR="0094561D" w:rsidRDefault="0094561D" w:rsidP="0094561D">
      <w:pPr>
        <w:pStyle w:val="Paragrafi"/>
        <w:rPr>
          <w:spacing w:val="-4"/>
          <w:sz w:val="14"/>
          <w:lang w:val="sq-AL"/>
        </w:rPr>
      </w:pP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Qëllimi i këtij udhëzimi është përcaktimi i mënyrës së ekzekutimit të detyrimeve monetare, që rrjedhin nga vendimet gjyqësore të formës së prerë, për Ministrinë e Financave dhe Ekonomisë.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Ekzekutimi i vendimeve gjyqësore, realizohet nga struktura përgjegjëse për financat: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Me fondet buxhetore, të akorduara në ligjin vjetor të buxhetit përkatës, për ekzekutimin e vendimeve gjyqësore;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Nga të ardhura të tjera, të siguruara nga Ministria e Financave dhe Ekonomisë në bazë të legjislacionit përkatës dhe, të cilat shërbejnë si burime financimi për vetë njësinë (nëse ka).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Struktura përgjegjëse për financat, çdo vit, parashikon fonde buxhetore të planifikuara për shpenzimet që do të kryejë institucioni, për ekzekutimin e vendimeve gjyqësore të formës së prerë.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Struktura përgjegjëse për financat është përgjegjëse për dokumentimin e të gjitha transaksioneve financiare. Ajo përgjigjet, gjithashtu, për garantimin para miratimit të shkresave/ urdhrave me karakter financiar, lidhur me ligjshmërinë, rregullshmërinë dhe respektimin e parimeve të ekonomicitetit, eficiencës dhe efektivitetit.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Struktura përgjegjëse për financat, me përparësi në vitet e ardhshme, planifikon fondet e nevojshme për shlyerjen e këtyre detyrimeve të mbartura, duke ndjekur procedurat përkatëse të planifikimit të fondeve buxhetore, të përcaktuara në aktet ligjore e nënligjore përkatëse. 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Në shlyerjen e vendimeve gjyqësore nga ana e strukturës përgjegjëse për financat, duhet t’i jepet përparësi shlyerjes së detyrimeve më të hershme.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Nëpunësi autorizues raporton te Titullari i institucionit, në mënyrë periodike, në lidhje me ekzekutimin e vendimeve gjyqësore.</w:t>
      </w:r>
    </w:p>
    <w:p w:rsidR="0094561D" w:rsidRDefault="0094561D" w:rsidP="0094561D">
      <w:pPr>
        <w:pStyle w:val="Paragrafi"/>
        <w:rPr>
          <w:spacing w:val="-4"/>
          <w:sz w:val="14"/>
          <w:lang w:val="sq-AL"/>
        </w:rPr>
      </w:pPr>
    </w:p>
    <w:p w:rsidR="0094561D" w:rsidRDefault="0094561D" w:rsidP="0094561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II</w:t>
      </w:r>
    </w:p>
    <w:p w:rsidR="0094561D" w:rsidRDefault="0094561D" w:rsidP="0094561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PROCEDURAT E NDJEKJES SË ÇËSHTJEVE GJYQËSORE DHE EKZEKUTIMI I VENDIMEVE GJYQËSORE </w:t>
      </w:r>
    </w:p>
    <w:p w:rsidR="0094561D" w:rsidRDefault="0094561D" w:rsidP="0094561D">
      <w:pPr>
        <w:pStyle w:val="Paragrafi"/>
        <w:rPr>
          <w:spacing w:val="-4"/>
          <w:sz w:val="14"/>
          <w:lang w:val="sq-AL"/>
        </w:rPr>
      </w:pP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Ministria e Financave dhe Ekonomisë merr zyrtarisht njoftimin për çështjen gjyqësore me datën e seancës ose kërkesëpadinë e komunikuar nga Gjykata, me qëllim lënien e afatit për përgatitjen e argumenteve mbrojtëse. Njoftimi, pasi protokollohet në institucion, i kalon Sekretarit të Përgjithshëm. Sekretari i Përgjithshëm bën delegimin e praktikës për trajtim, pranë strukturës përgjegjëse për ndjekjen e proceseve gjyqësore.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Drejtuesi i strukturës përgjegjëse për ndjekjen e proceseve gjyqësore, pasi merr nga Sekretari i Përgjithshëm në dorëzim praktikën, cakton një përfaqësues për të ndjekur çështjen. Për realizimin e mbrojtjes gjyqësore, struktura përgjegjëse kërkon informacion pranë drejtorive të tjera, të cilat kanë marrë pjesë në hartimin e aktit ose në procedurën e kundërshtuar. Në rast se vlerësohet e rëndësishme, struktura përgjegjëse për ndjekjen e çështjeve gjyqësore, i kërkon drejtorisë teknike caktimin e një nëpunësi për të përfaqësuar çështjen në gjykatë së bashku me nëpunësin e strukturës përgjegjëse.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 vendimet e formës së prerë, struktura përgjegjëse për ndjekjen e proceseve gjyqësore, pas marrjes së kërkesës për ekzekutimin e vendimit gjyqësor, të protokolluar pranë institucionit, bën verifikimin e dokumentacionit shoqërues. Në rast se kërkesa për ekzekutimin e vendimit, e paraqitur vullnetarisht ose nëpërmjet shërbimit përmbarimor nuk shoqërohet nga dokumentacioni i nevojshëm, struktura përgjegjëse për ndjekjen e proceseve gjyqësore i kërkon kreditorit/shërbimit përmba-rimor plotësimin e dokumentacionit.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paraqitjen e kërkesës për ekzekutim nga shërbimi përmbarimor, struktura përgjegjëse për ndjekjen e çështjeve gjyqësore paraqet pranë Gjykatës së Lartë, kërkesa për pezullimin e ekzekutimit të vendimit gjyqësor të formës së prerë, duke njoftuar edhe përmbaruesin gjyqësor.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çdo rast, vendimi i formës së prerë dhe dokumentacioni shoqërues i përcillet strukturës përgjegjëse për financën.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Në rastin kur struktura përgjegjëse për financat do të bëjë ekzekutimin e vendimit gjyqësor të formës së prerë, nga ana e kreditorit/ përmbaruesit gjyqësor duhet të jetë depozituar: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Dokumenti që vërteton njoftimin e njësisë shpenzuese debitore për ekzekutimin vullnetar dhe/ose të detyruar të detyrimit dhe marrjen dijeni nga ana e tij;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Vendimi gjyqësor, i cili, në kuptim të nenit 510 të Kodit të Procedurës Civile, konsiderohet si titull ekzekutiv, sipas rastit, origjinal apo i noterizuar ose i vërtetuar “njësia me origjinalin”.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Kërkesa për ekzekutimin e vendimeve gjyqësore të formës së prerë, për çështje të pronës publike dhe dëmshpërblimet për ish-të përndjekurit politik, pasi plotësohet dokumentacioni si më lart, u përcillet edhe strukturave përgjegjëse. 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Në rast se, kërkesa për ekzekutim lidhet me një vendim gjyqësor, që parashikon detyrimin e institucionit të rikthejë në punë një ish-punonjës, pjesë të shërbimit civil, dokumentacioni i plotë i përcillet edhe strukturës përgjegjëse për menaxhimin e burimeve njerëzore. Kjo e fundit, me marrjen dijeni të kërkesës, njofton Sekretarin e Përgjithshëm dhe merr masat për caktimin e mbledhjes së Komisionit të Posaçëm për Shqyrtimin e Vendimeve Gjyqësore të Formës së Prerë, me qëllim shqyrtimin e kërkesës për ekzekutim.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Struktura përgjegjëse për financat, pas marrjes së dokumentacionit, verifikimit të fondeve buxhetore dhe radhës së pagesës, sipas databazës të përcjellë nga struktura përgjegjëse për ndjekjen e çështjeve gjyqësore, i paraqet nëpunësit autorizues propozim për miratimin e kërkesës për ekzekutimin e vendimit gjyqësor të formës së prerë. Praktika, në çdo rast shoqërohet me aktin financiar.</w:t>
      </w:r>
    </w:p>
    <w:p w:rsidR="0094561D" w:rsidRDefault="0094561D" w:rsidP="0094561D">
      <w:pPr>
        <w:pStyle w:val="Paragrafi"/>
        <w:rPr>
          <w:rFonts w:eastAsia="Times New Roman"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/>
        </w:rPr>
        <w:t xml:space="preserve">9. Në rastet kur, struktura përgjegjëse për financat, me fondet buxhetore, që ka në dispozicion, nuk është në gjendje të shlyejë detyrimin e plotë sipas vendimit gjyqësor, ajo bën me dije nëpunësin autorizues. Në informacionin që paraqet, struktura përgjegjëse për financat i parashtron nëpunësit autorizues mundësitë për ekzekutim, për sa i takon vlerës dhe periodicitetit të pagesave. </w:t>
      </w:r>
    </w:p>
    <w:p w:rsidR="0094561D" w:rsidRDefault="0094561D" w:rsidP="0094561D">
      <w:pPr>
        <w:pStyle w:val="Paragrafi"/>
        <w:rPr>
          <w:rFonts w:eastAsia="Times New Roman"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/>
        </w:rPr>
        <w:t>Me miratimin e nëpunësit autorizues, struktura përgjegjëse për ndjekjen e proceseve gjyqësore, në bazë të nenit 517 të Kodit të Procedurës Civile, i drejtohet gjykatës me kërkesë, për shlyerjen pjesore të detyrimit me fondet e vitit/viteve në vijim, duke bërë edhe njoftimin përkatës, pranë përmbaruesit gjyqësor.</w:t>
      </w:r>
    </w:p>
    <w:p w:rsidR="0094561D" w:rsidRDefault="0094561D" w:rsidP="0094561D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</w:p>
    <w:p w:rsidR="0094561D" w:rsidRDefault="0094561D" w:rsidP="0094561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KREU III </w:t>
      </w:r>
    </w:p>
    <w:p w:rsidR="0094561D" w:rsidRDefault="0094561D" w:rsidP="0094561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TJERA</w:t>
      </w:r>
    </w:p>
    <w:p w:rsidR="0094561D" w:rsidRDefault="0094561D" w:rsidP="0094561D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Aneksi 1, “Gjurma e auditimit për procedurat e ekzekutimit të vendimeve gjyqësore”, është pjesë përbërëse e këtij udhëzimi.</w:t>
      </w:r>
    </w:p>
    <w:p w:rsidR="0094561D" w:rsidRDefault="0094561D" w:rsidP="0094561D">
      <w:pPr>
        <w:pStyle w:val="Paragrafi"/>
        <w:rPr>
          <w:rFonts w:eastAsia="Times New Roman"/>
          <w:color w:val="FF0000"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/>
        </w:rPr>
        <w:t>2. Ngarkohen strukturat e përcaktuara në këtë udhëzim për zbatimin e tij.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Udhëzimi nr. 15, datë 18.7.2012, “Mbi procedurat që ndiqen për ekzekutimin e vendimeve gjyqësore, me objekt: rikthim në vendin e punës, kthim page, dëmshpërblim për largim nga puna dhe kthim shume”, i ministrit të Financave; udhëzimi nr. 1283, datë 16.2.2015, “Për mënyrën e ekzekutimit të detyrimeve monetare të Ministrisë së Zhvillimit Ekonomik, Tregtisë dhe Sipërmarrjes në llogari të thesarit”, i ministrit të Zhvillimit Ekonomik, Tregtisë dhe Sipërmarrjes dhe çdo akt tjetër, që bie në kundërshtim me këtë udhëzim, shfuqizohen.</w:t>
      </w:r>
    </w:p>
    <w:p w:rsidR="0094561D" w:rsidRDefault="0094561D" w:rsidP="009456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94561D" w:rsidRDefault="0094561D" w:rsidP="0094561D">
      <w:pPr>
        <w:pStyle w:val="Paragrafi"/>
        <w:rPr>
          <w:spacing w:val="-4"/>
          <w:sz w:val="14"/>
          <w:lang w:val="sq-AL"/>
        </w:rPr>
      </w:pPr>
    </w:p>
    <w:p w:rsidR="0094561D" w:rsidRDefault="0094561D" w:rsidP="0094561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FINANCAVE DHE EKONOMISË </w:t>
      </w:r>
    </w:p>
    <w:p w:rsidR="0094561D" w:rsidRDefault="0094561D" w:rsidP="0094561D">
      <w:pPr>
        <w:pStyle w:val="Paragrafi"/>
        <w:jc w:val="right"/>
        <w:rPr>
          <w:b/>
          <w:spacing w:val="-4"/>
          <w:lang w:val="sq-AL"/>
        </w:rPr>
      </w:pPr>
      <w:r>
        <w:rPr>
          <w:rFonts w:eastAsia="Times New Roman"/>
          <w:b/>
          <w:spacing w:val="-4"/>
          <w:szCs w:val="24"/>
          <w:lang w:val="sq-AL"/>
        </w:rPr>
        <w:t>Arben Ahmetaj</w:t>
      </w:r>
    </w:p>
    <w:p w:rsidR="0094561D" w:rsidRDefault="0094561D" w:rsidP="0094561D">
      <w:pPr>
        <w:pStyle w:val="Paragrafi"/>
        <w:rPr>
          <w:lang w:val="sq-AL"/>
        </w:rPr>
      </w:pPr>
    </w:p>
    <w:p w:rsidR="0094561D" w:rsidRDefault="0094561D" w:rsidP="0094561D">
      <w:pPr>
        <w:spacing w:after="0" w:line="240" w:lineRule="auto"/>
        <w:rPr>
          <w:rFonts w:ascii="Garamond" w:eastAsia="MS Mincho" w:hAnsi="Garamond" w:cs="CG Times"/>
          <w:b/>
          <w:sz w:val="24"/>
          <w:szCs w:val="24"/>
          <w:lang w:val="sq-AL"/>
        </w:rPr>
        <w:sectPr w:rsidR="0094561D" w:rsidSect="0094561D">
          <w:pgSz w:w="11907" w:h="16840"/>
          <w:pgMar w:top="720" w:right="1134" w:bottom="720" w:left="1134" w:header="851" w:footer="851" w:gutter="0"/>
          <w:cols w:space="454"/>
        </w:sectPr>
      </w:pPr>
    </w:p>
    <w:p w:rsidR="0094561D" w:rsidRDefault="0094561D" w:rsidP="0094561D">
      <w:pPr>
        <w:pStyle w:val="Paragrafi"/>
        <w:rPr>
          <w:b/>
          <w:szCs w:val="24"/>
          <w:lang w:val="sq-AL"/>
        </w:rPr>
      </w:pPr>
    </w:p>
    <w:p w:rsidR="0094561D" w:rsidRDefault="0094561D" w:rsidP="0094561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lang w:val="sq-AL"/>
        </w:rPr>
        <w:object w:dxaOrig="9330" w:dyaOrig="12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6.5pt;height:633.75pt" o:ole="">
            <v:imagedata r:id="rId4" o:title=""/>
          </v:shape>
          <o:OLEObject Type="Embed" ProgID="Visio.Drawing.11" ShapeID="_x0000_i1033" DrawAspect="Content" ObjectID="_1586153060" r:id="rId5"/>
        </w:object>
      </w:r>
    </w:p>
    <w:p w:rsidR="0094561D" w:rsidRDefault="0094561D" w:rsidP="0094561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lang w:val="sq-AL"/>
        </w:rPr>
        <w:object w:dxaOrig="9360" w:dyaOrig="12825">
          <v:shape id="_x0000_i1047" type="#_x0000_t75" style="width:468pt;height:641.25pt" o:ole="">
            <v:imagedata r:id="rId6" o:title=""/>
          </v:shape>
          <o:OLEObject Type="Embed" ProgID="Visio.Drawing.11" ShapeID="_x0000_i1047" DrawAspect="Content" ObjectID="_1586153061" r:id="rId7"/>
        </w:object>
      </w:r>
    </w:p>
    <w:p w:rsidR="0094561D" w:rsidRDefault="0094561D" w:rsidP="0094561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lang w:val="sq-AL"/>
        </w:rPr>
        <w:object w:dxaOrig="9015" w:dyaOrig="12960">
          <v:shape id="_x0000_i1050" type="#_x0000_t75" style="width:450.75pt;height:9in" o:ole="">
            <v:imagedata r:id="rId8" o:title=""/>
          </v:shape>
          <o:OLEObject Type="Embed" ProgID="Visio.Drawing.11" ShapeID="_x0000_i1050" DrawAspect="Content" ObjectID="_1586153062" r:id="rId9"/>
        </w:object>
      </w:r>
    </w:p>
    <w:p w:rsidR="0094561D" w:rsidRDefault="0094561D" w:rsidP="0094561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lang w:val="sq-AL"/>
        </w:rPr>
        <w:object w:dxaOrig="9345" w:dyaOrig="12960">
          <v:shape id="_x0000_i1053" type="#_x0000_t75" style="width:467.25pt;height:9in" o:ole="">
            <v:imagedata r:id="rId10" o:title=""/>
          </v:shape>
          <o:OLEObject Type="Embed" ProgID="Visio.Drawing.11" ShapeID="_x0000_i1053" DrawAspect="Content" ObjectID="_1586153063" r:id="rId11"/>
        </w:object>
      </w:r>
    </w:p>
    <w:p w:rsidR="0094561D" w:rsidRDefault="0094561D" w:rsidP="0094561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94561D" w:rsidRDefault="0094561D" w:rsidP="0094561D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94561D" w:rsidRDefault="0094561D" w:rsidP="0094561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bookmarkStart w:id="0" w:name="_GoBack"/>
      <w:bookmarkEnd w:id="0"/>
    </w:p>
    <w:sectPr w:rsidR="0094561D" w:rsidSect="00945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B5D"/>
    <w:rsid w:val="00672B5D"/>
    <w:rsid w:val="0094561D"/>
    <w:rsid w:val="00A864B3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F0B6FAED-CF5A-4D02-ABDE-74E2F858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64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64B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864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64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64B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bruna aliaj</cp:lastModifiedBy>
  <cp:revision>3</cp:revision>
  <cp:lastPrinted>2018-04-24T08:29:00Z</cp:lastPrinted>
  <dcterms:created xsi:type="dcterms:W3CDTF">2018-04-24T08:28:00Z</dcterms:created>
  <dcterms:modified xsi:type="dcterms:W3CDTF">2018-04-25T07:17:00Z</dcterms:modified>
</cp:coreProperties>
</file>