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0D2" w:rsidRDefault="006500D2" w:rsidP="006500D2">
      <w:pPr>
        <w:pStyle w:val="NeniTitull"/>
        <w:keepNext w:val="0"/>
        <w:rPr>
          <w:lang w:val="sq-AL"/>
        </w:rPr>
      </w:pPr>
      <w:r>
        <w:rPr>
          <w:lang w:val="sq-AL"/>
        </w:rPr>
        <w:t>UDHËZIM</w:t>
      </w:r>
    </w:p>
    <w:p w:rsidR="006500D2" w:rsidRDefault="006500D2" w:rsidP="006500D2">
      <w:pPr>
        <w:pStyle w:val="NeniTitull"/>
        <w:keepNext w:val="0"/>
        <w:rPr>
          <w:lang w:val="sq-AL"/>
        </w:rPr>
      </w:pPr>
      <w:r>
        <w:rPr>
          <w:lang w:val="sq-AL"/>
        </w:rPr>
        <w:t>Nr. 14, datë 30.4.2018</w:t>
      </w:r>
    </w:p>
    <w:p w:rsidR="006500D2" w:rsidRDefault="006500D2" w:rsidP="006500D2">
      <w:pPr>
        <w:pStyle w:val="NeniTitull"/>
        <w:keepNext w:val="0"/>
        <w:rPr>
          <w:sz w:val="14"/>
          <w:lang w:val="sq-AL"/>
        </w:rPr>
      </w:pPr>
    </w:p>
    <w:p w:rsidR="006500D2" w:rsidRDefault="006500D2" w:rsidP="006500D2">
      <w:pPr>
        <w:pStyle w:val="NeniTitull"/>
        <w:keepNext w:val="0"/>
        <w:rPr>
          <w:color w:val="000000"/>
          <w:lang w:val="sq-AL"/>
        </w:rPr>
      </w:pPr>
      <w:r>
        <w:rPr>
          <w:lang w:val="sq-AL"/>
        </w:rPr>
        <w:t xml:space="preserve">PËR DISA SHTESA DHE NDRYSHIME </w:t>
      </w:r>
      <w:r>
        <w:rPr>
          <w:color w:val="000000"/>
          <w:lang w:val="sq-AL"/>
        </w:rPr>
        <w:t xml:space="preserve">NË UDHËZIMIN NR. 26, DATË 4.9.2008, “PËR TAKSAT KOMBËTARE”, </w:t>
      </w:r>
    </w:p>
    <w:p w:rsidR="006500D2" w:rsidRDefault="006500D2" w:rsidP="006500D2">
      <w:pPr>
        <w:pStyle w:val="NeniTitull"/>
        <w:keepNext w:val="0"/>
        <w:rPr>
          <w:color w:val="000000"/>
          <w:lang w:val="sq-AL"/>
        </w:rPr>
      </w:pPr>
      <w:r>
        <w:rPr>
          <w:color w:val="000000"/>
          <w:lang w:val="sq-AL"/>
        </w:rPr>
        <w:t>I NDRYSHUAR</w:t>
      </w:r>
    </w:p>
    <w:p w:rsidR="006500D2" w:rsidRDefault="006500D2" w:rsidP="006500D2">
      <w:pPr>
        <w:pStyle w:val="Hapesira7"/>
        <w:rPr>
          <w:lang w:val="sq-AL"/>
        </w:rPr>
      </w:pPr>
    </w:p>
    <w:p w:rsidR="006500D2" w:rsidRDefault="006500D2" w:rsidP="006500D2">
      <w:pPr>
        <w:pStyle w:val="NormalWeb"/>
        <w:widowControl w:val="0"/>
        <w:ind w:firstLine="284"/>
        <w:jc w:val="both"/>
        <w:rPr>
          <w:rFonts w:ascii="Garamond" w:hAnsi="Garamond"/>
          <w:color w:val="000000"/>
        </w:rPr>
      </w:pPr>
      <w:r>
        <w:rPr>
          <w:rFonts w:ascii="Garamond" w:hAnsi="Garamond"/>
          <w:color w:val="000000"/>
        </w:rPr>
        <w:t xml:space="preserve">Në mbështetje të nenit 102, pika 4 të Kushtetutës </w:t>
      </w:r>
      <w:r>
        <w:rPr>
          <w:rFonts w:ascii="Garamond" w:hAnsi="Garamond"/>
        </w:rPr>
        <w:t xml:space="preserve">së Republikës së Shqipërisë </w:t>
      </w:r>
      <w:r>
        <w:rPr>
          <w:rFonts w:ascii="Garamond" w:hAnsi="Garamond"/>
          <w:color w:val="000000"/>
        </w:rPr>
        <w:t>dhe të ligjit nr. 9975, datë 28.7.2008 “Për taksat kombëtare”, i ndryshuar, ministri i Financave</w:t>
      </w:r>
    </w:p>
    <w:p w:rsidR="006500D2" w:rsidRDefault="006500D2" w:rsidP="006500D2">
      <w:pPr>
        <w:pStyle w:val="Hapesira7"/>
        <w:rPr>
          <w:lang w:val="sq-AL"/>
        </w:rPr>
      </w:pPr>
    </w:p>
    <w:p w:rsidR="006500D2" w:rsidRDefault="006500D2" w:rsidP="006500D2">
      <w:pPr>
        <w:pStyle w:val="NeniNr"/>
        <w:keepNext w:val="0"/>
        <w:rPr>
          <w:lang w:val="sq-AL"/>
        </w:rPr>
      </w:pPr>
      <w:r>
        <w:rPr>
          <w:lang w:val="sq-AL"/>
        </w:rPr>
        <w:t>UDHËZON:</w:t>
      </w:r>
    </w:p>
    <w:p w:rsidR="006500D2" w:rsidRDefault="006500D2" w:rsidP="006500D2">
      <w:pPr>
        <w:pStyle w:val="Hapesira7"/>
        <w:rPr>
          <w:lang w:val="sq-AL"/>
        </w:rPr>
      </w:pPr>
    </w:p>
    <w:p w:rsidR="006500D2" w:rsidRDefault="006500D2" w:rsidP="006500D2">
      <w:pPr>
        <w:pStyle w:val="NormalWeb"/>
        <w:widowControl w:val="0"/>
        <w:ind w:firstLine="284"/>
        <w:rPr>
          <w:rFonts w:ascii="Garamond" w:hAnsi="Garamond"/>
          <w:color w:val="000000"/>
        </w:rPr>
      </w:pPr>
      <w:r>
        <w:rPr>
          <w:rFonts w:ascii="Garamond" w:hAnsi="Garamond"/>
          <w:color w:val="000000"/>
        </w:rPr>
        <w:t>Në udhëzimin nr. 26, datë 4.9.2008 “Për taksat kombëtare”, i ndryshuar, bëhen këto shtesa dhe ndryshime:</w:t>
      </w:r>
    </w:p>
    <w:p w:rsidR="006500D2" w:rsidRDefault="006500D2" w:rsidP="006500D2">
      <w:pPr>
        <w:pStyle w:val="NormalWeb"/>
        <w:widowControl w:val="0"/>
        <w:ind w:firstLine="284"/>
        <w:rPr>
          <w:rFonts w:ascii="Garamond" w:hAnsi="Garamond"/>
          <w:b/>
          <w:color w:val="000000"/>
        </w:rPr>
      </w:pPr>
      <w:r>
        <w:rPr>
          <w:rFonts w:ascii="Garamond" w:hAnsi="Garamond"/>
          <w:b/>
          <w:color w:val="000000"/>
        </w:rPr>
        <w:t>1. Në pikën 2.3 bëhet ndryshimi i mëposhtëm:</w:t>
      </w:r>
    </w:p>
    <w:p w:rsidR="006500D2" w:rsidRDefault="006500D2" w:rsidP="006500D2">
      <w:pPr>
        <w:pStyle w:val="ListParagraph"/>
        <w:widowControl w:val="0"/>
        <w:numPr>
          <w:ilvl w:val="0"/>
          <w:numId w:val="1"/>
        </w:numPr>
        <w:spacing w:after="0" w:line="240" w:lineRule="auto"/>
        <w:ind w:left="0" w:firstLine="284"/>
        <w:jc w:val="both"/>
        <w:rPr>
          <w:rFonts w:ascii="Garamond" w:hAnsi="Garamond"/>
          <w:sz w:val="24"/>
          <w:szCs w:val="24"/>
          <w:lang w:val="sq-AL"/>
        </w:rPr>
      </w:pPr>
      <w:r>
        <w:rPr>
          <w:rFonts w:ascii="Garamond" w:hAnsi="Garamond"/>
          <w:sz w:val="24"/>
          <w:szCs w:val="24"/>
          <w:lang w:val="sq-AL"/>
        </w:rPr>
        <w:t>Titulli i pikës 2.3 me përmbajtje “Taksa e mjeteve të përdorura të transportit caktohet sipas formulës:”, zëvendësohet me këtë përmbajtje:</w:t>
      </w:r>
    </w:p>
    <w:p w:rsidR="006500D2" w:rsidRDefault="006500D2" w:rsidP="006500D2">
      <w:pPr>
        <w:widowControl w:val="0"/>
        <w:spacing w:after="0" w:line="240" w:lineRule="auto"/>
        <w:rPr>
          <w:rFonts w:ascii="Garamond" w:hAnsi="Garamond"/>
          <w:sz w:val="24"/>
          <w:szCs w:val="24"/>
          <w:lang w:val="sq-AL"/>
        </w:rPr>
      </w:pPr>
      <w:r>
        <w:rPr>
          <w:rFonts w:ascii="Garamond" w:hAnsi="Garamond"/>
          <w:sz w:val="24"/>
          <w:szCs w:val="24"/>
          <w:lang w:val="sq-AL"/>
        </w:rPr>
        <w:t>“Taksa vjetore e mjeteve të përdorura të transportit.”</w:t>
      </w:r>
    </w:p>
    <w:p w:rsidR="006500D2" w:rsidRDefault="006500D2" w:rsidP="006500D2">
      <w:pPr>
        <w:pStyle w:val="ListParagraph"/>
        <w:widowControl w:val="0"/>
        <w:spacing w:after="0" w:line="240" w:lineRule="auto"/>
        <w:ind w:left="0" w:firstLine="284"/>
        <w:jc w:val="both"/>
        <w:rPr>
          <w:rFonts w:ascii="Garamond" w:hAnsi="Garamond"/>
          <w:b/>
          <w:color w:val="000000"/>
          <w:sz w:val="24"/>
          <w:szCs w:val="24"/>
          <w:lang w:val="sq-AL"/>
        </w:rPr>
      </w:pPr>
      <w:r>
        <w:rPr>
          <w:rFonts w:ascii="Garamond" w:hAnsi="Garamond"/>
          <w:b/>
          <w:color w:val="000000"/>
          <w:sz w:val="24"/>
          <w:szCs w:val="24"/>
          <w:lang w:val="sq-AL"/>
        </w:rPr>
        <w:t>2. Në pikën 2.3.1 bëhen shtesat dhe ndryshimet e mëposhtme:</w:t>
      </w:r>
    </w:p>
    <w:p w:rsidR="006500D2" w:rsidRDefault="006500D2" w:rsidP="006500D2">
      <w:pPr>
        <w:pStyle w:val="ListParagraph"/>
        <w:widowControl w:val="0"/>
        <w:numPr>
          <w:ilvl w:val="0"/>
          <w:numId w:val="1"/>
        </w:numPr>
        <w:spacing w:after="0" w:line="240" w:lineRule="auto"/>
        <w:ind w:left="0" w:firstLine="284"/>
        <w:jc w:val="both"/>
        <w:rPr>
          <w:rFonts w:ascii="Garamond" w:hAnsi="Garamond"/>
          <w:sz w:val="24"/>
          <w:szCs w:val="24"/>
          <w:lang w:val="sq-AL"/>
        </w:rPr>
      </w:pPr>
      <w:r>
        <w:rPr>
          <w:rFonts w:ascii="Garamond" w:hAnsi="Garamond"/>
          <w:sz w:val="24"/>
          <w:szCs w:val="24"/>
          <w:lang w:val="sq-AL"/>
        </w:rPr>
        <w:t>Në paragrafin e parë, pas fjalisë që përfundon me fjalët “10 lekë për benzinën”, hiqet fjalia me këtë përmbajtje:</w:t>
      </w:r>
    </w:p>
    <w:p w:rsidR="006500D2" w:rsidRDefault="006500D2" w:rsidP="006500D2">
      <w:pPr>
        <w:widowControl w:val="0"/>
        <w:spacing w:after="0" w:line="240" w:lineRule="auto"/>
        <w:rPr>
          <w:rFonts w:ascii="Garamond" w:hAnsi="Garamond"/>
          <w:color w:val="000000"/>
          <w:sz w:val="24"/>
          <w:szCs w:val="24"/>
          <w:lang w:val="sq-AL"/>
        </w:rPr>
      </w:pPr>
      <w:r>
        <w:rPr>
          <w:rFonts w:ascii="Garamond" w:hAnsi="Garamond"/>
          <w:sz w:val="24"/>
          <w:szCs w:val="24"/>
          <w:lang w:val="sq-AL"/>
        </w:rPr>
        <w:t>“</w:t>
      </w:r>
      <w:r>
        <w:rPr>
          <w:rFonts w:ascii="Garamond" w:hAnsi="Garamond"/>
          <w:color w:val="000000"/>
          <w:sz w:val="24"/>
          <w:szCs w:val="24"/>
          <w:lang w:val="sq-AL"/>
        </w:rPr>
        <w:t>Koeficienti sipas vjetërsisë së mjetit është si në shtojcën 1 bashkëlidhur këtij ligji dhe është pjesë përbërëse e tij.”</w:t>
      </w:r>
    </w:p>
    <w:p w:rsidR="006500D2" w:rsidRDefault="006500D2" w:rsidP="006500D2">
      <w:pPr>
        <w:pStyle w:val="ListParagraph"/>
        <w:widowControl w:val="0"/>
        <w:numPr>
          <w:ilvl w:val="0"/>
          <w:numId w:val="1"/>
        </w:numPr>
        <w:spacing w:after="0" w:line="240" w:lineRule="auto"/>
        <w:ind w:left="0" w:firstLine="284"/>
        <w:rPr>
          <w:rFonts w:ascii="Garamond" w:hAnsi="Garamond"/>
          <w:sz w:val="24"/>
          <w:szCs w:val="24"/>
          <w:lang w:val="sq-AL"/>
        </w:rPr>
      </w:pPr>
      <w:r>
        <w:rPr>
          <w:rFonts w:ascii="Garamond" w:hAnsi="Garamond"/>
          <w:sz w:val="24"/>
          <w:szCs w:val="24"/>
          <w:lang w:val="sq-AL"/>
        </w:rPr>
        <w:t>Në përfundim të paragrafit të parë, pas fjalisë që përfundon me fjalët “taksës me vitin e prodhimit”, shtohet përmbajtja e mëposhtme:</w:t>
      </w:r>
    </w:p>
    <w:p w:rsidR="006500D2" w:rsidRDefault="006500D2" w:rsidP="006500D2">
      <w:pPr>
        <w:widowControl w:val="0"/>
        <w:spacing w:after="0" w:line="240" w:lineRule="auto"/>
        <w:rPr>
          <w:rFonts w:ascii="Garamond" w:hAnsi="Garamond"/>
          <w:sz w:val="24"/>
          <w:szCs w:val="24"/>
          <w:lang w:val="sq-AL"/>
        </w:rPr>
      </w:pPr>
      <w:r>
        <w:rPr>
          <w:rFonts w:ascii="Garamond" w:hAnsi="Garamond"/>
          <w:sz w:val="24"/>
          <w:szCs w:val="24"/>
          <w:lang w:val="sq-AL"/>
        </w:rPr>
        <w:t>“Koeficientët sipas vjetërsisë për llogaritjen e taksës vjetore të mjeteve të përdorura:</w:t>
      </w:r>
    </w:p>
    <w:p w:rsidR="006500D2" w:rsidRDefault="006500D2" w:rsidP="006500D2">
      <w:pPr>
        <w:spacing w:after="0" w:line="240" w:lineRule="auto"/>
        <w:ind w:firstLine="0"/>
        <w:jc w:val="left"/>
        <w:rPr>
          <w:rFonts w:ascii="Garamond" w:hAnsi="Garamond"/>
          <w:sz w:val="24"/>
          <w:szCs w:val="24"/>
          <w:lang w:val="sq-AL"/>
        </w:rPr>
        <w:sectPr w:rsidR="006500D2" w:rsidSect="006500D2">
          <w:pgSz w:w="11907" w:h="16840"/>
          <w:pgMar w:top="720" w:right="1134" w:bottom="720" w:left="1134" w:header="851" w:footer="851" w:gutter="0"/>
          <w:cols w:space="454"/>
        </w:sectPr>
      </w:pPr>
    </w:p>
    <w:p w:rsidR="006500D2" w:rsidRDefault="006500D2" w:rsidP="006500D2">
      <w:pPr>
        <w:widowControl w:val="0"/>
        <w:spacing w:after="0" w:line="240" w:lineRule="auto"/>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7"/>
        <w:gridCol w:w="1864"/>
        <w:gridCol w:w="1177"/>
        <w:gridCol w:w="2035"/>
        <w:gridCol w:w="1115"/>
        <w:gridCol w:w="2097"/>
      </w:tblGrid>
      <w:tr w:rsidR="006500D2" w:rsidTr="006500D2">
        <w:trPr>
          <w:trHeight w:val="431"/>
        </w:trPr>
        <w:tc>
          <w:tcPr>
            <w:tcW w:w="3431" w:type="dxa"/>
            <w:gridSpan w:val="2"/>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contextualSpacing/>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Motomjete, autovetura, automjete </w:t>
            </w:r>
          </w:p>
          <w:p w:rsidR="006500D2" w:rsidRDefault="006500D2">
            <w:pPr>
              <w:widowControl w:val="0"/>
              <w:spacing w:after="0" w:line="240" w:lineRule="auto"/>
              <w:ind w:firstLine="0"/>
              <w:contextualSpacing/>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për transport të përzier</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contextualSpacing/>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Të gjitha llojet e tjera</w:t>
            </w:r>
          </w:p>
        </w:tc>
        <w:tc>
          <w:tcPr>
            <w:tcW w:w="3212" w:type="dxa"/>
            <w:gridSpan w:val="2"/>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contextualSpacing/>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Autobusët</w:t>
            </w:r>
          </w:p>
        </w:tc>
      </w:tr>
      <w:tr w:rsidR="006500D2" w:rsidTr="006500D2">
        <w:trPr>
          <w:trHeight w:val="521"/>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Mosha </w:t>
            </w:r>
          </w:p>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e mjetit</w:t>
            </w:r>
          </w:p>
        </w:tc>
        <w:tc>
          <w:tcPr>
            <w:tcW w:w="1864" w:type="dxa"/>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Koeficienti i viteve të përdorimit</w:t>
            </w:r>
          </w:p>
        </w:tc>
        <w:tc>
          <w:tcPr>
            <w:tcW w:w="1177" w:type="dxa"/>
            <w:tcBorders>
              <w:top w:val="single" w:sz="4" w:space="0" w:color="auto"/>
              <w:left w:val="single" w:sz="4" w:space="0" w:color="auto"/>
              <w:bottom w:val="single" w:sz="4" w:space="0" w:color="auto"/>
              <w:right w:val="single" w:sz="4" w:space="0" w:color="auto"/>
            </w:tcBorders>
            <w:noWrap/>
            <w:vAlign w:val="center"/>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Mosha </w:t>
            </w:r>
          </w:p>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e mjetit</w:t>
            </w:r>
          </w:p>
        </w:tc>
        <w:tc>
          <w:tcPr>
            <w:tcW w:w="2035" w:type="dxa"/>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Koeficienti i viteve </w:t>
            </w:r>
          </w:p>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të përdorimit</w:t>
            </w:r>
          </w:p>
        </w:tc>
        <w:tc>
          <w:tcPr>
            <w:tcW w:w="1115" w:type="dxa"/>
            <w:tcBorders>
              <w:top w:val="single" w:sz="4" w:space="0" w:color="auto"/>
              <w:left w:val="single" w:sz="4" w:space="0" w:color="auto"/>
              <w:bottom w:val="single" w:sz="4" w:space="0" w:color="auto"/>
              <w:right w:val="single" w:sz="4" w:space="0" w:color="auto"/>
            </w:tcBorders>
            <w:noWrap/>
            <w:vAlign w:val="center"/>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Mosha </w:t>
            </w:r>
          </w:p>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e mjetit</w:t>
            </w:r>
          </w:p>
        </w:tc>
        <w:tc>
          <w:tcPr>
            <w:tcW w:w="2097" w:type="dxa"/>
            <w:tcBorders>
              <w:top w:val="single" w:sz="4" w:space="0" w:color="auto"/>
              <w:left w:val="single" w:sz="4" w:space="0" w:color="auto"/>
              <w:bottom w:val="single" w:sz="4" w:space="0" w:color="auto"/>
              <w:right w:val="single" w:sz="4" w:space="0" w:color="auto"/>
            </w:tcBorders>
            <w:vAlign w:val="center"/>
            <w:hideMark/>
          </w:tcPr>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 xml:space="preserve">Koeficienti i viteve </w:t>
            </w:r>
          </w:p>
          <w:p w:rsidR="006500D2" w:rsidRDefault="006500D2">
            <w:pPr>
              <w:widowControl w:val="0"/>
              <w:spacing w:after="0" w:line="240" w:lineRule="auto"/>
              <w:ind w:firstLine="0"/>
              <w:jc w:val="center"/>
              <w:rPr>
                <w:rFonts w:ascii="Garamond" w:hAnsi="Garamond"/>
                <w:b/>
                <w:bCs/>
                <w:color w:val="000000"/>
                <w:sz w:val="20"/>
                <w:szCs w:val="20"/>
                <w:lang w:val="sq-AL" w:eastAsia="sq-AL"/>
              </w:rPr>
            </w:pPr>
            <w:r>
              <w:rPr>
                <w:rFonts w:ascii="Garamond" w:hAnsi="Garamond"/>
                <w:b/>
                <w:bCs/>
                <w:color w:val="000000"/>
                <w:sz w:val="20"/>
                <w:szCs w:val="20"/>
                <w:lang w:val="sq-AL" w:eastAsia="sq-AL"/>
              </w:rPr>
              <w:t>të përdorimit</w:t>
            </w:r>
          </w:p>
        </w:tc>
      </w:tr>
      <w:tr w:rsidR="006500D2" w:rsidTr="006500D2">
        <w:trPr>
          <w:trHeight w:val="242"/>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r>
      <w:tr w:rsidR="006500D2" w:rsidTr="006500D2">
        <w:trPr>
          <w:trHeight w:val="188"/>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3</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0,00</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0,18</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4</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0,07</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0,19</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0,22</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5</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0,08</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0,24</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6</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0,09</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0,21</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0,26</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7</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0,10</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0,22</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0,28</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8</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0,11</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0,23</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9</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0,12</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10</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0,24</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10</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0,32</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10</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0,13</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11</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0,28</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11</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0,34</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11</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0,14</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12</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0,32</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12</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0,36</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12</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0,15</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13</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0,36</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13</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0,38</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13</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0,16</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14</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14</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14</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0,17</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15</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0,44</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15</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0,42</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15</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0,20</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16</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0,48</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16</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0,44</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16</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0,23</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17</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0,52</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17</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0,46</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17</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0,26</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18</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0,56</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18</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0,48</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18</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0,29</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19</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0,60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19</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19</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0,32</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20</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0,64</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20</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0,52</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20</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0,35</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21</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0,68</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21</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0,54</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21</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0,38</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22</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0,70</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22</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0,56</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22</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0,40</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23</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0,72</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23</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0,58</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23</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0,42</w:t>
            </w:r>
          </w:p>
        </w:tc>
      </w:tr>
      <w:tr w:rsidR="006500D2" w:rsidTr="006500D2">
        <w:trPr>
          <w:trHeight w:val="56"/>
        </w:trPr>
        <w:tc>
          <w:tcPr>
            <w:tcW w:w="156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24</w:t>
            </w:r>
          </w:p>
        </w:tc>
        <w:tc>
          <w:tcPr>
            <w:tcW w:w="1864"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0,74</w:t>
            </w:r>
          </w:p>
        </w:tc>
        <w:tc>
          <w:tcPr>
            <w:tcW w:w="117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24</w:t>
            </w:r>
          </w:p>
        </w:tc>
        <w:tc>
          <w:tcPr>
            <w:tcW w:w="203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0,60</w:t>
            </w:r>
          </w:p>
        </w:tc>
        <w:tc>
          <w:tcPr>
            <w:tcW w:w="1115"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24</w:t>
            </w:r>
          </w:p>
        </w:tc>
        <w:tc>
          <w:tcPr>
            <w:tcW w:w="2097" w:type="dxa"/>
            <w:tcBorders>
              <w:top w:val="single" w:sz="4" w:space="0" w:color="auto"/>
              <w:left w:val="single" w:sz="4" w:space="0" w:color="auto"/>
              <w:bottom w:val="single" w:sz="4" w:space="0" w:color="auto"/>
              <w:right w:val="single" w:sz="4" w:space="0" w:color="auto"/>
            </w:tcBorders>
            <w:noWrap/>
            <w:hideMark/>
          </w:tcPr>
          <w:p w:rsidR="006500D2" w:rsidRDefault="006500D2">
            <w:pPr>
              <w:widowControl w:val="0"/>
              <w:spacing w:after="0" w:line="240" w:lineRule="auto"/>
              <w:ind w:firstLine="0"/>
              <w:jc w:val="center"/>
              <w:rPr>
                <w:rFonts w:ascii="Garamond" w:hAnsi="Garamond"/>
                <w:color w:val="000000"/>
                <w:sz w:val="20"/>
                <w:szCs w:val="20"/>
                <w:lang w:val="sq-AL" w:eastAsia="sq-AL"/>
              </w:rPr>
            </w:pPr>
            <w:r>
              <w:rPr>
                <w:rFonts w:ascii="Garamond" w:hAnsi="Garamond"/>
                <w:color w:val="000000"/>
                <w:sz w:val="20"/>
                <w:szCs w:val="20"/>
                <w:lang w:val="sq-AL" w:eastAsia="sq-AL"/>
              </w:rPr>
              <w:t>0,44</w:t>
            </w:r>
          </w:p>
        </w:tc>
      </w:tr>
    </w:tbl>
    <w:p w:rsidR="006500D2" w:rsidRDefault="006500D2" w:rsidP="006500D2">
      <w:pPr>
        <w:widowControl w:val="0"/>
        <w:spacing w:after="0" w:line="240" w:lineRule="auto"/>
        <w:rPr>
          <w:rFonts w:ascii="Garamond" w:hAnsi="Garamond"/>
          <w:bCs/>
          <w:color w:val="000000"/>
          <w:sz w:val="14"/>
          <w:szCs w:val="24"/>
          <w:lang w:val="sq-AL"/>
        </w:rPr>
      </w:pPr>
    </w:p>
    <w:p w:rsidR="006500D2" w:rsidRDefault="006500D2" w:rsidP="006500D2">
      <w:pPr>
        <w:widowControl w:val="0"/>
        <w:spacing w:after="0" w:line="240" w:lineRule="auto"/>
        <w:rPr>
          <w:rFonts w:ascii="Garamond" w:hAnsi="Garamond"/>
          <w:bCs/>
          <w:color w:val="000000"/>
          <w:lang w:val="sq-AL"/>
        </w:rPr>
      </w:pPr>
      <w:r>
        <w:rPr>
          <w:rFonts w:ascii="Garamond" w:hAnsi="Garamond"/>
          <w:bCs/>
          <w:color w:val="000000"/>
          <w:lang w:val="sq-AL"/>
        </w:rPr>
        <w:t>Shënim. Pas vitit të 24-t të përdorimit, për autobusët koeficienti rritet me 0,03 dhe për të gjitha mjetet e tjera rritet me 0,00. Për motomjete, autoveturat, automjetet për transport të përzier rritet me 0,04.”</w:t>
      </w:r>
    </w:p>
    <w:p w:rsidR="006500D2" w:rsidRDefault="006500D2" w:rsidP="006500D2">
      <w:pPr>
        <w:widowControl w:val="0"/>
        <w:spacing w:after="0" w:line="240" w:lineRule="auto"/>
        <w:rPr>
          <w:rFonts w:ascii="Garamond" w:hAnsi="Garamond"/>
          <w:sz w:val="20"/>
          <w:szCs w:val="20"/>
          <w:lang w:val="sq-AL"/>
        </w:rPr>
      </w:pPr>
    </w:p>
    <w:p w:rsidR="006500D2" w:rsidRDefault="006500D2" w:rsidP="006500D2">
      <w:pPr>
        <w:spacing w:after="0" w:line="240" w:lineRule="auto"/>
        <w:ind w:firstLine="0"/>
        <w:jc w:val="left"/>
        <w:rPr>
          <w:rFonts w:ascii="Garamond" w:eastAsia="Times New Roman" w:hAnsi="Garamond"/>
          <w:sz w:val="24"/>
          <w:szCs w:val="24"/>
          <w:lang w:val="sq-AL"/>
        </w:rPr>
        <w:sectPr w:rsidR="006500D2" w:rsidSect="006500D2">
          <w:type w:val="continuous"/>
          <w:pgSz w:w="11907" w:h="16840"/>
          <w:pgMar w:top="720" w:right="1134" w:bottom="720" w:left="1134" w:header="851" w:footer="851" w:gutter="0"/>
          <w:cols w:space="720"/>
        </w:sectPr>
      </w:pPr>
    </w:p>
    <w:p w:rsidR="006500D2" w:rsidRDefault="006500D2" w:rsidP="00650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lastRenderedPageBreak/>
        <w:t xml:space="preserve"> Në përfundim të paragrafit të tretë që përfundon me fjalët “te njësitë e qeverisjes vendore”, hiqet:</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“P.sh.: Autovetura nafte”, tabela përkatëse si dhe “autovetura benzine”, tabela përkatëse. </w:t>
      </w:r>
    </w:p>
    <w:p w:rsidR="006500D2" w:rsidRDefault="006500D2" w:rsidP="00650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Në fillim të paragrafit të katërt, hiqet fjalia e mëposhtme:</w:t>
      </w:r>
    </w:p>
    <w:p w:rsidR="006500D2" w:rsidRDefault="006500D2" w:rsidP="006500D2">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“Shënim. Në bazë të shtojcës nr. 1 të ligjit nr. 10 458, datë 29.7.2011 “Për disa ndryshime në ligjin nr. 9975, datë 28.7.2008 “Për taksat kombëtare”, të ndryshuar, pas vitit të 24-t të përdorimit, për autoveturat, koeficienti rritet me 0.04.”</w:t>
      </w:r>
    </w:p>
    <w:p w:rsidR="006500D2" w:rsidRDefault="006500D2" w:rsidP="006500D2">
      <w:pPr>
        <w:widowControl w:val="0"/>
        <w:spacing w:after="0" w:line="240" w:lineRule="auto"/>
        <w:rPr>
          <w:rFonts w:ascii="Garamond" w:hAnsi="Garamond"/>
          <w:strike/>
          <w:color w:val="000000"/>
          <w:spacing w:val="-4"/>
          <w:sz w:val="24"/>
          <w:szCs w:val="24"/>
          <w:lang w:val="sq-AL"/>
        </w:rPr>
      </w:pPr>
      <w:r>
        <w:rPr>
          <w:rFonts w:ascii="Garamond" w:hAnsi="Garamond"/>
          <w:color w:val="000000"/>
          <w:spacing w:val="-4"/>
          <w:sz w:val="24"/>
          <w:szCs w:val="24"/>
          <w:lang w:val="sq-AL"/>
        </w:rPr>
        <w:t>- Paragrafi i shtatë, fillon me fjalët “Mjeti me cilindratë 1900 cm</w:t>
      </w:r>
      <w:r>
        <w:rPr>
          <w:rFonts w:ascii="Garamond" w:hAnsi="Garamond"/>
          <w:color w:val="000000"/>
          <w:spacing w:val="-4"/>
          <w:sz w:val="24"/>
          <w:szCs w:val="24"/>
          <w:vertAlign w:val="superscript"/>
          <w:lang w:val="sq-AL"/>
        </w:rPr>
        <w:t>3</w:t>
      </w:r>
      <w:r>
        <w:rPr>
          <w:rFonts w:ascii="Garamond" w:hAnsi="Garamond"/>
          <w:color w:val="000000"/>
          <w:spacing w:val="-4"/>
          <w:sz w:val="24"/>
          <w:szCs w:val="24"/>
          <w:lang w:val="sq-AL"/>
        </w:rPr>
        <w:t>” dhe përfundon me fjalët “pjesa tjetër Buxhetit të Shtetit”, hiqet dhe zëvendësohet me përmbajtjen e mëposhtme:</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“Mjeti me cilindratë 2993 cm</w:t>
      </w:r>
      <w:r>
        <w:rPr>
          <w:rFonts w:ascii="Garamond" w:hAnsi="Garamond"/>
          <w:spacing w:val="-4"/>
          <w:sz w:val="24"/>
          <w:szCs w:val="24"/>
          <w:vertAlign w:val="superscript"/>
          <w:lang w:val="sq-AL"/>
        </w:rPr>
        <w:t>3</w:t>
      </w:r>
      <w:r>
        <w:rPr>
          <w:rFonts w:ascii="Garamond" w:hAnsi="Garamond"/>
          <w:spacing w:val="-4"/>
          <w:sz w:val="24"/>
          <w:szCs w:val="24"/>
          <w:lang w:val="sq-AL"/>
        </w:rPr>
        <w:t xml:space="preserve">, me naftë dhe vit prodhimi 2003, për vitin 2015 ka paguar taksën vjetore të mjeteve të përdorura në datën 22.9.2015, në vlerën 11,972 lekë. Në datën 21.1.2017 pronari i mjetit paraqitet për të paguar taksën e vitit 2016 në vlerën 13,469 lekë. Duke qenë se është me 4 muaj vonesë për pagesën e TVMP-së, për taksën e mjetit aplikohet 20% gjobë mbi shumën e taksës që duhet të paguajë për vitin 2016, në vlerën 2,694 lekë. Vlera totale që pronari i automjetit duhet të paguajë për vitin 2016 është 16,163 lekë.” Nga ana tjetër, duke qenë se është paraqitur më datë 21.1.2017, vlefshmëria e TVMP-së për vitin në vazhdim llogaritet nga data 1.1.2017. Për këtë arsye, përveç taksës së vitit 2016, pronari i mjetit detyrohet të paguajë edhe detyrimin e TVMP-së për vitin 2017, në shumën 14,965 lekë dhe vlerën e gjobës prej 5% për një muaj që është në vlerën 748 lekë. Në total vlera e taksave për vitin 2017 që duhet të paguajë është 15,713 lekë, me afat vlefshmërie deri më 21.1.2018. </w:t>
      </w:r>
      <w:r>
        <w:rPr>
          <w:rFonts w:ascii="Garamond" w:hAnsi="Garamond"/>
          <w:spacing w:val="-4"/>
          <w:sz w:val="24"/>
          <w:szCs w:val="24"/>
          <w:lang w:val="sq-AL"/>
        </w:rPr>
        <w:tab/>
        <w:t xml:space="preserve">Të ardhurat nga taksa dhe gjobat për çdo rast, mblidhen nga strukturat e Drejtorisë së Përgjithshme të Shërbimeve të Transportit Rrugor, nëpërmjet drejtorive rajonale, para kryerjes së kontrollit teknik vjetor të detyrueshëm të mjetit dhe shpërndahen sipas procedurave të përcaktuara me vendim të Këshillit të Ministrave, nga të cilat, 5% strukturave të Drejtorisë së Përgjithshme të Shërbimeve të Transportit Rrugor, 25% buxhetit të qeverisjes vendore dhe pjesa tjetër Buxhetit të Shtetit. </w:t>
      </w:r>
    </w:p>
    <w:p w:rsidR="006500D2" w:rsidRDefault="00190285" w:rsidP="006500D2">
      <w:pPr>
        <w:pStyle w:val="ListParagraph"/>
        <w:widowControl w:val="0"/>
        <w:numPr>
          <w:ilvl w:val="0"/>
          <w:numId w:val="2"/>
        </w:numPr>
        <w:autoSpaceDE w:val="0"/>
        <w:autoSpaceDN w:val="0"/>
        <w:adjustRightInd w:val="0"/>
        <w:spacing w:after="0" w:line="240" w:lineRule="auto"/>
        <w:ind w:left="0" w:firstLine="284"/>
        <w:jc w:val="both"/>
        <w:rPr>
          <w:rFonts w:ascii="Garamond" w:eastAsia="Calibri" w:hAnsi="Garamond"/>
          <w:b/>
          <w:color w:val="000000"/>
          <w:spacing w:val="-4"/>
          <w:sz w:val="24"/>
          <w:szCs w:val="24"/>
          <w:lang w:val="sq-AL"/>
        </w:rPr>
      </w:pPr>
      <w:bookmarkStart w:id="0" w:name="_GoBack"/>
      <w:bookmarkEnd w:id="0"/>
      <w:r>
        <w:rPr>
          <w:rFonts w:ascii="Garamond" w:eastAsia="Calibri" w:hAnsi="Garamond"/>
          <w:b/>
          <w:color w:val="000000"/>
          <w:spacing w:val="-4"/>
          <w:sz w:val="24"/>
          <w:szCs w:val="24"/>
          <w:lang w:val="sq-AL"/>
        </w:rPr>
        <w:t xml:space="preserve"> </w:t>
      </w:r>
      <w:r w:rsidR="006500D2">
        <w:rPr>
          <w:rFonts w:ascii="Garamond" w:eastAsia="Calibri" w:hAnsi="Garamond"/>
          <w:b/>
          <w:color w:val="000000"/>
          <w:spacing w:val="-4"/>
          <w:sz w:val="24"/>
          <w:szCs w:val="24"/>
          <w:lang w:val="sq-AL"/>
        </w:rPr>
        <w:t xml:space="preserve">Në pikën 2.11 bëhen këto shtesa dhe ndryshime: </w:t>
      </w:r>
    </w:p>
    <w:p w:rsidR="006500D2" w:rsidRDefault="006500D2" w:rsidP="006500D2">
      <w:pPr>
        <w:pStyle w:val="ListParagraph"/>
        <w:widowControl w:val="0"/>
        <w:numPr>
          <w:ilvl w:val="0"/>
          <w:numId w:val="1"/>
        </w:numPr>
        <w:autoSpaceDE w:val="0"/>
        <w:autoSpaceDN w:val="0"/>
        <w:adjustRightInd w:val="0"/>
        <w:spacing w:after="0" w:line="240" w:lineRule="auto"/>
        <w:ind w:left="0" w:firstLine="284"/>
        <w:jc w:val="both"/>
        <w:rPr>
          <w:rFonts w:ascii="Garamond" w:eastAsia="Calibri" w:hAnsi="Garamond"/>
          <w:color w:val="000000"/>
          <w:spacing w:val="-4"/>
          <w:sz w:val="24"/>
          <w:szCs w:val="24"/>
          <w:lang w:val="sq-AL"/>
        </w:rPr>
      </w:pPr>
      <w:r>
        <w:rPr>
          <w:rFonts w:ascii="Garamond" w:eastAsia="Calibri" w:hAnsi="Garamond"/>
          <w:color w:val="000000"/>
          <w:spacing w:val="-4"/>
          <w:sz w:val="24"/>
          <w:szCs w:val="24"/>
          <w:lang w:val="sq-AL"/>
        </w:rPr>
        <w:t>P</w:t>
      </w:r>
      <w:r>
        <w:rPr>
          <w:rFonts w:ascii="Garamond" w:hAnsi="Garamond"/>
          <w:color w:val="000000"/>
          <w:spacing w:val="-4"/>
          <w:sz w:val="24"/>
          <w:szCs w:val="24"/>
          <w:lang w:val="sq-AL"/>
        </w:rPr>
        <w:t>ika 2.11 ndryshon me përmbajtjen e mëposhtme:</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“2.11. Taksë regjistrimi fillestar dhe taksë e përvitshme për automjetet luksoze. </w:t>
      </w:r>
    </w:p>
    <w:p w:rsidR="006500D2" w:rsidRDefault="006500D2" w:rsidP="006500D2">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 xml:space="preserve">Në kuptim të ligjit për taksat kombëtare dhe të këtij udhëzimi, “automjet luksoz” konsiderohet autovetura deri në 6+1, e cila plotëson të paktën njërin nga kushtet e mëposhtme: </w:t>
      </w:r>
    </w:p>
    <w:p w:rsidR="006500D2" w:rsidRDefault="006500D2" w:rsidP="006500D2">
      <w:pPr>
        <w:pStyle w:val="ListParagraph"/>
        <w:widowControl w:val="0"/>
        <w:spacing w:after="0" w:line="240" w:lineRule="auto"/>
        <w:ind w:left="0" w:firstLine="284"/>
        <w:jc w:val="both"/>
        <w:rPr>
          <w:rFonts w:ascii="Garamond" w:hAnsi="Garamond"/>
          <w:color w:val="000000"/>
          <w:spacing w:val="-4"/>
          <w:sz w:val="24"/>
          <w:szCs w:val="24"/>
          <w:lang w:val="sq-AL"/>
        </w:rPr>
      </w:pPr>
      <w:r>
        <w:rPr>
          <w:rFonts w:ascii="Garamond" w:hAnsi="Garamond"/>
          <w:color w:val="000000"/>
          <w:spacing w:val="-4"/>
          <w:sz w:val="24"/>
          <w:szCs w:val="24"/>
          <w:lang w:val="sq-AL"/>
        </w:rPr>
        <w:tab/>
        <w:t>a) cilindratën të barabartë ose më të madhe se 3000 cm</w:t>
      </w:r>
      <w:r>
        <w:rPr>
          <w:rFonts w:ascii="Garamond" w:hAnsi="Garamond"/>
          <w:color w:val="000000"/>
          <w:spacing w:val="-4"/>
          <w:sz w:val="24"/>
          <w:szCs w:val="24"/>
          <w:vertAlign w:val="superscript"/>
          <w:lang w:val="sq-AL"/>
        </w:rPr>
        <w:t>3</w:t>
      </w:r>
      <w:r>
        <w:rPr>
          <w:rFonts w:ascii="Garamond" w:hAnsi="Garamond"/>
          <w:color w:val="000000"/>
          <w:spacing w:val="-4"/>
          <w:sz w:val="24"/>
          <w:szCs w:val="24"/>
          <w:lang w:val="sq-AL"/>
        </w:rPr>
        <w:t>;</w:t>
      </w:r>
    </w:p>
    <w:p w:rsidR="006500D2" w:rsidRDefault="006500D2" w:rsidP="006500D2">
      <w:pPr>
        <w:pStyle w:val="ListParagraph"/>
        <w:widowControl w:val="0"/>
        <w:spacing w:after="0" w:line="240" w:lineRule="auto"/>
        <w:ind w:left="0" w:firstLine="284"/>
        <w:jc w:val="both"/>
        <w:rPr>
          <w:rFonts w:ascii="Garamond" w:hAnsi="Garamond"/>
          <w:color w:val="000000"/>
          <w:spacing w:val="-4"/>
          <w:sz w:val="24"/>
          <w:szCs w:val="24"/>
          <w:lang w:val="sq-AL"/>
        </w:rPr>
      </w:pPr>
      <w:r>
        <w:rPr>
          <w:rFonts w:ascii="Garamond" w:hAnsi="Garamond"/>
          <w:color w:val="000000"/>
          <w:spacing w:val="-4"/>
          <w:sz w:val="24"/>
          <w:szCs w:val="24"/>
          <w:lang w:val="sq-AL"/>
        </w:rPr>
        <w:t xml:space="preserve"> ose</w:t>
      </w:r>
    </w:p>
    <w:p w:rsidR="006500D2" w:rsidRDefault="006500D2" w:rsidP="006500D2">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ab/>
        <w:t xml:space="preserve">b) vlerën/çmimin të barabartë ose më shumë se 5 000 000 lekë. Pavarësisht nga pagesa e taksës vjetore të mjeteve të përdorura, mbi makinat luksoze zbatohet taksë regjistrimi fillestar në masën 70 000 lekë për regjistrim të çdo makine luksoze dhe taksë e përvitshme në masën 21 000 lekë çdo vit. Drejtoria e Përgjithshme e Shërbimeve të Transportit Rrugor, si agjente e përcaktuar nga ligji për mbledhjen e këtyre taksave, deklaron dhe paguan taksën e mjeteve të përdorura të transportit, në administratën tatimore në përputhje me pikën 1.2.1 dhe 1.2.2 të këtij udhëzimi. </w:t>
      </w:r>
      <w:r>
        <w:rPr>
          <w:rFonts w:ascii="Garamond" w:hAnsi="Garamond"/>
          <w:spacing w:val="-4"/>
          <w:sz w:val="24"/>
          <w:szCs w:val="24"/>
          <w:lang w:val="sq-AL"/>
        </w:rPr>
        <w:t>Vlera e mjetit do të plotësohet nga Drejtoria e Përgjithshme e Shërbimeve të Transportit Rrugor në sistemin informatikë në fushën “</w:t>
      </w:r>
      <w:r>
        <w:rPr>
          <w:rFonts w:ascii="Garamond" w:hAnsi="Garamond"/>
          <w:i/>
          <w:spacing w:val="-4"/>
          <w:sz w:val="24"/>
          <w:szCs w:val="24"/>
          <w:lang w:val="sq-AL"/>
        </w:rPr>
        <w:t>vlera e mjetit</w:t>
      </w:r>
      <w:r>
        <w:rPr>
          <w:rFonts w:ascii="Garamond" w:hAnsi="Garamond"/>
          <w:spacing w:val="-4"/>
          <w:sz w:val="24"/>
          <w:szCs w:val="24"/>
          <w:lang w:val="sq-AL"/>
        </w:rPr>
        <w:t>”, për të gjitha rastet e regjistrimeve të reja, ndryshimit të pronësisë, si dhe kur nga kontrolli është konstatuar se vlera e mjetit nuk është ajo e duhura. Lidhur me përcaktimin e vlerës së mjetit, do të veprohet si më poshtë:</w:t>
      </w:r>
      <w:r>
        <w:rPr>
          <w:rFonts w:ascii="Garamond" w:hAnsi="Garamond"/>
          <w:i/>
          <w:spacing w:val="-4"/>
          <w:sz w:val="24"/>
          <w:szCs w:val="24"/>
          <w:lang w:val="sq-AL"/>
        </w:rPr>
        <w:t xml:space="preserve"> </w:t>
      </w:r>
    </w:p>
    <w:p w:rsidR="006500D2" w:rsidRDefault="006500D2" w:rsidP="006500D2">
      <w:pPr>
        <w:pStyle w:val="ListParagraph"/>
        <w:widowControl w:val="0"/>
        <w:spacing w:after="0" w:line="240" w:lineRule="auto"/>
        <w:ind w:left="284"/>
        <w:jc w:val="both"/>
        <w:rPr>
          <w:rFonts w:ascii="Garamond" w:hAnsi="Garamond"/>
          <w:spacing w:val="-4"/>
          <w:sz w:val="24"/>
          <w:szCs w:val="24"/>
          <w:lang w:val="sq-AL"/>
        </w:rPr>
      </w:pPr>
      <w:r>
        <w:rPr>
          <w:rFonts w:ascii="Garamond" w:eastAsia="Calibri" w:hAnsi="Garamond"/>
          <w:spacing w:val="-4"/>
          <w:sz w:val="24"/>
          <w:szCs w:val="24"/>
          <w:lang w:val="sq-AL"/>
        </w:rPr>
        <w:t xml:space="preserve">i. </w:t>
      </w:r>
      <w:r>
        <w:rPr>
          <w:rFonts w:ascii="Garamond" w:eastAsia="Calibri" w:hAnsi="Garamond"/>
          <w:spacing w:val="-4"/>
          <w:sz w:val="24"/>
          <w:szCs w:val="24"/>
          <w:lang w:val="sq-AL"/>
        </w:rPr>
        <w:t xml:space="preserve">Për mjetet e importit të paregjistruara në </w:t>
      </w:r>
      <w:r>
        <w:rPr>
          <w:rFonts w:ascii="Garamond" w:hAnsi="Garamond"/>
          <w:spacing w:val="-4"/>
          <w:sz w:val="24"/>
          <w:szCs w:val="24"/>
          <w:lang w:val="sq-AL"/>
        </w:rPr>
        <w:t>Drejtorinë e Përgjithshme të Shërbimeve të Transportit Rrugor:</w:t>
      </w:r>
    </w:p>
    <w:p w:rsidR="006500D2" w:rsidRDefault="006500D2" w:rsidP="006500D2">
      <w:pPr>
        <w:pStyle w:val="Paragrafi"/>
        <w:rPr>
          <w:rFonts w:eastAsia="Times New Roman"/>
          <w:spacing w:val="-4"/>
          <w:lang w:val="sq-AL"/>
        </w:rPr>
      </w:pPr>
      <w:r>
        <w:rPr>
          <w:spacing w:val="-4"/>
          <w:lang w:val="sq-AL"/>
        </w:rPr>
        <w:t>a) Për mjetet e importit të paregjistruara në Drejtorinë e Përgjithshme të Shërbimeve të Transportit Rrugor, vlera e mjetit do të merret nga d</w:t>
      </w:r>
      <w:r>
        <w:rPr>
          <w:rFonts w:eastAsia="Calibri"/>
          <w:spacing w:val="-4"/>
          <w:lang w:val="sq-AL"/>
        </w:rPr>
        <w:t xml:space="preserve">eklarata me referencë doganore DAV, </w:t>
      </w:r>
      <w:r>
        <w:rPr>
          <w:spacing w:val="-4"/>
          <w:lang w:val="sq-AL"/>
        </w:rPr>
        <w:t xml:space="preserve">e cila </w:t>
      </w:r>
      <w:r>
        <w:rPr>
          <w:rFonts w:eastAsia="Calibri"/>
          <w:spacing w:val="-4"/>
          <w:lang w:val="sq-AL"/>
        </w:rPr>
        <w:t>llogaritet si totali i vlerës së tatueshme (baza e tatueshme) mbi të cilën llogaritet Tatimi mbi Vlerën e Shtuar dhe duke i shtuar TVSH e llogaritur në doganë (Totali = Baza e tatueshme + TVSH).</w:t>
      </w:r>
    </w:p>
    <w:p w:rsidR="006500D2" w:rsidRDefault="006500D2" w:rsidP="006500D2">
      <w:pPr>
        <w:pStyle w:val="Paragrafi"/>
        <w:rPr>
          <w:rFonts w:eastAsia="Calibri"/>
          <w:spacing w:val="-4"/>
          <w:lang w:val="sq-AL"/>
        </w:rPr>
      </w:pPr>
      <w:r>
        <w:rPr>
          <w:rFonts w:eastAsia="Calibri"/>
          <w:spacing w:val="-4"/>
          <w:lang w:val="sq-AL"/>
        </w:rPr>
        <w:t>b) Kur mjeti blihet nga subjekte të licencuara, vlera e mjetit do të merret nga fatura tatimore e shitjes, e cila është vlera totale e barabartë me vlerën e tatueshme duke i shtuar dhe Tatimin mbi Vlerën e Shtuar.</w:t>
      </w:r>
    </w:p>
    <w:p w:rsidR="006500D2" w:rsidRDefault="006500D2" w:rsidP="006500D2">
      <w:pPr>
        <w:pStyle w:val="Paragrafi"/>
        <w:rPr>
          <w:rFonts w:eastAsia="Calibri"/>
          <w:spacing w:val="-4"/>
          <w:lang w:val="sq-AL"/>
        </w:rPr>
      </w:pPr>
      <w:r>
        <w:rPr>
          <w:rFonts w:eastAsia="Calibri"/>
          <w:spacing w:val="-4"/>
          <w:lang w:val="sq-AL"/>
        </w:rPr>
        <w:lastRenderedPageBreak/>
        <w:t xml:space="preserve">Në rast se për të njëjtin mjet disponohen dy ose më shumë dokumente, si për shembull, </w:t>
      </w:r>
      <w:r>
        <w:rPr>
          <w:spacing w:val="-4"/>
          <w:lang w:val="sq-AL"/>
        </w:rPr>
        <w:t>d</w:t>
      </w:r>
      <w:r>
        <w:rPr>
          <w:rFonts w:eastAsia="Calibri"/>
          <w:spacing w:val="-4"/>
          <w:lang w:val="sq-AL"/>
        </w:rPr>
        <w:t xml:space="preserve">eklaratë me referencë doganore DAV dhe Faturë Tatimore Shitje, gjithmonë do merret për tu regjistruar në fushën </w:t>
      </w:r>
      <w:r>
        <w:rPr>
          <w:spacing w:val="-4"/>
          <w:lang w:val="sq-AL"/>
        </w:rPr>
        <w:t>“</w:t>
      </w:r>
      <w:r>
        <w:rPr>
          <w:i/>
          <w:spacing w:val="-4"/>
          <w:lang w:val="sq-AL"/>
        </w:rPr>
        <w:t>vlera e mjetit</w:t>
      </w:r>
      <w:r>
        <w:rPr>
          <w:spacing w:val="-4"/>
          <w:lang w:val="sq-AL"/>
        </w:rPr>
        <w:t xml:space="preserve">” </w:t>
      </w:r>
      <w:r>
        <w:rPr>
          <w:rFonts w:eastAsia="Calibri"/>
          <w:spacing w:val="-4"/>
          <w:lang w:val="sq-AL"/>
        </w:rPr>
        <w:t>vlera totale e mjetit që është më e madhe në këto dokumente.</w:t>
      </w:r>
    </w:p>
    <w:p w:rsidR="006500D2" w:rsidRDefault="006500D2" w:rsidP="006500D2">
      <w:pPr>
        <w:pStyle w:val="Paragrafi"/>
        <w:rPr>
          <w:rFonts w:eastAsia="Calibri"/>
          <w:spacing w:val="-4"/>
          <w:lang w:val="sq-AL"/>
        </w:rPr>
      </w:pPr>
      <w:r>
        <w:rPr>
          <w:spacing w:val="-4"/>
          <w:lang w:val="sq-AL"/>
        </w:rPr>
        <w:t>ii. Për mjetet që janë të regjistruara në Drejtorinë e Përgjithshme të Shërbimeve të Transportit Rrugor:</w:t>
      </w:r>
    </w:p>
    <w:p w:rsidR="006500D2" w:rsidRDefault="006500D2" w:rsidP="006500D2">
      <w:pPr>
        <w:pStyle w:val="Paragrafi"/>
        <w:rPr>
          <w:spacing w:val="-4"/>
          <w:lang w:val="sq-AL"/>
        </w:rPr>
      </w:pPr>
      <w:r>
        <w:rPr>
          <w:rFonts w:eastAsia="Calibri"/>
          <w:spacing w:val="-4"/>
          <w:lang w:val="sq-AL"/>
        </w:rPr>
        <w:t>a) Kur mjeti blihet nga subjekte të licencuara vlera e mjetit do të merret nga fatura tatimore e shitjes, e cila është vlera totale e barabartë me vlerën e tatueshme duke i shtuar dhe Tatimin mbi Vlerën e Shtuar.</w:t>
      </w:r>
    </w:p>
    <w:p w:rsidR="006500D2" w:rsidRDefault="006500D2" w:rsidP="006500D2">
      <w:pPr>
        <w:pStyle w:val="Paragrafi"/>
        <w:rPr>
          <w:rFonts w:eastAsia="Calibri"/>
          <w:spacing w:val="-4"/>
          <w:lang w:val="sq-AL"/>
        </w:rPr>
      </w:pPr>
      <w:r>
        <w:rPr>
          <w:rFonts w:eastAsia="Calibri"/>
          <w:spacing w:val="-4"/>
          <w:lang w:val="sq-AL"/>
        </w:rPr>
        <w:t>b) Vlera e mjetit në kontratën noteriale të shit-blerjes.</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iii. Për rastet me kontratë të qirasë financiare (</w:t>
      </w:r>
      <w:r>
        <w:rPr>
          <w:rFonts w:ascii="Garamond" w:hAnsi="Garamond"/>
          <w:i/>
          <w:spacing w:val="-4"/>
          <w:sz w:val="24"/>
          <w:szCs w:val="24"/>
          <w:lang w:val="sq-AL"/>
        </w:rPr>
        <w:t>leasing</w:t>
      </w:r>
      <w:r>
        <w:rPr>
          <w:rFonts w:ascii="Garamond" w:hAnsi="Garamond"/>
          <w:spacing w:val="-4"/>
          <w:sz w:val="24"/>
          <w:szCs w:val="24"/>
          <w:lang w:val="sq-AL"/>
        </w:rPr>
        <w:t>)</w:t>
      </w:r>
      <w:r>
        <w:rPr>
          <w:rFonts w:ascii="Garamond" w:hAnsi="Garamond"/>
          <w:i/>
          <w:spacing w:val="-4"/>
          <w:sz w:val="24"/>
          <w:szCs w:val="24"/>
          <w:lang w:val="sq-AL"/>
        </w:rPr>
        <w:t>,</w:t>
      </w:r>
      <w:r>
        <w:rPr>
          <w:rFonts w:ascii="Garamond" w:hAnsi="Garamond"/>
          <w:spacing w:val="-4"/>
          <w:sz w:val="24"/>
          <w:szCs w:val="24"/>
          <w:lang w:val="sq-AL"/>
        </w:rPr>
        <w:t xml:space="preserve"> do të merret vlera totale në kontratën e qirasë financiare dhe jo vlera në kontratën e furnizimit (kontratë shitjeje) e cila i shërben qiramarrësit për njohjen faktike të pronësisë së automjetit nga qiradhënësi te qiramarrësi dhe që lidhet midis palëve vetëm pas shlyerjes prej qiramarrësit të këstit të fundit të qirasë financiare.</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iv. Për rastet kur nga dokumentacioni shoqërues nuk përcaktohet vlera e mjetit (akt-dhurimi, dëshmi trashëgimie etj.), shërbimi do të refuzohet deri në plotësimin e kësaj vlere nga subjekti që ka nënshkruar dokumentin ose me dakordësinë e përfituesit do të merret vlera që ndodhet në dosjen e mjetit duke ju referuar rasteve të sqaruara më sipër. Vlera e mjetit do të plotësohet në monedhën lekë dhe në rast se vlera e mjetit nga dokumentacioni shoqërues është në monedhë tjetër, do të llogaritet vlera korresponduese në lekë, referuar kursit ditor të Bankës së Shqipërisë sipas datës së dokumentit në monedhë të huaj, printimi i së cilës pasi vuloset nga specialisti përkatës i bashkëlidhet dokumenteve.</w:t>
      </w:r>
    </w:p>
    <w:p w:rsidR="006500D2" w:rsidRDefault="006500D2" w:rsidP="006500D2">
      <w:pPr>
        <w:pStyle w:val="ListParagraph"/>
        <w:widowControl w:val="0"/>
        <w:numPr>
          <w:ilvl w:val="0"/>
          <w:numId w:val="2"/>
        </w:numPr>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rPr>
        <w:t xml:space="preserve"> Në pikën 2.11.2 bëhen ndryshimet e mëposhtme:</w:t>
      </w:r>
    </w:p>
    <w:p w:rsidR="006500D2" w:rsidRDefault="006500D2" w:rsidP="006500D2">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Në paragrafin e parë, në fund të fjalës “të zbatohen masat shtrënguese”, shtohet përmbajtja e mëposhtme:</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w:t>
      </w:r>
      <w:r>
        <w:rPr>
          <w:rFonts w:ascii="Garamond" w:hAnsi="Garamond"/>
          <w:bCs/>
          <w:spacing w:val="-4"/>
          <w:sz w:val="24"/>
          <w:szCs w:val="24"/>
          <w:lang w:val="sq-AL"/>
        </w:rPr>
        <w:t xml:space="preserve">në zbatim </w:t>
      </w:r>
      <w:r>
        <w:rPr>
          <w:rFonts w:ascii="Garamond" w:hAnsi="Garamond"/>
          <w:spacing w:val="-4"/>
          <w:sz w:val="24"/>
          <w:szCs w:val="24"/>
          <w:lang w:val="sq-AL"/>
        </w:rPr>
        <w:t xml:space="preserve">të ligjit nr. 9920, datë 19.5.2008 “Për procedurat tatimore në RSH”, i ndryshuar, </w:t>
      </w:r>
      <w:r>
        <w:rPr>
          <w:rFonts w:ascii="Garamond" w:hAnsi="Garamond"/>
          <w:bCs/>
          <w:spacing w:val="-4"/>
          <w:sz w:val="24"/>
          <w:szCs w:val="24"/>
          <w:lang w:val="sq-AL"/>
        </w:rPr>
        <w:t>si agjent tatimor detyrohet të zbatojë të gjitha dispozitat ligjore në fuqi që rregullojnë veprimtarinë e agjentit tatimor</w:t>
      </w:r>
      <w:r>
        <w:rPr>
          <w:rFonts w:ascii="Garamond" w:hAnsi="Garamond"/>
          <w:spacing w:val="-4"/>
          <w:sz w:val="24"/>
          <w:szCs w:val="24"/>
          <w:lang w:val="sq-AL"/>
        </w:rPr>
        <w:t>.</w:t>
      </w:r>
    </w:p>
    <w:p w:rsidR="006500D2" w:rsidRDefault="006500D2" w:rsidP="006500D2">
      <w:pPr>
        <w:pStyle w:val="ListParagraph"/>
        <w:widowControl w:val="0"/>
        <w:numPr>
          <w:ilvl w:val="0"/>
          <w:numId w:val="2"/>
        </w:numPr>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rPr>
        <w:t xml:space="preserve"> Në fund pikës 2.11.2, shtohet paragrafi me përmbajtja e mëposhtme:</w:t>
      </w:r>
    </w:p>
    <w:p w:rsidR="006500D2" w:rsidRDefault="006500D2" w:rsidP="006500D2">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“Shembull: Mjeti me cilindratë 3628 cm</w:t>
      </w:r>
      <w:r>
        <w:rPr>
          <w:rFonts w:ascii="Garamond" w:hAnsi="Garamond"/>
          <w:spacing w:val="-4"/>
          <w:sz w:val="24"/>
          <w:szCs w:val="24"/>
          <w:vertAlign w:val="superscript"/>
          <w:lang w:val="sq-AL"/>
        </w:rPr>
        <w:t>3</w:t>
      </w:r>
      <w:r>
        <w:rPr>
          <w:rFonts w:ascii="Garamond" w:hAnsi="Garamond"/>
          <w:spacing w:val="-4"/>
          <w:sz w:val="24"/>
          <w:szCs w:val="24"/>
          <w:lang w:val="sq-AL"/>
        </w:rPr>
        <w:t xml:space="preserve">, me naftë dhe vit prodhimi 2008, për vitin 2015 ka paguar taksën vjetore të mjeteve të përdorura në datën 27.12.2015, për vlerën 9,524 lekë. Në datën 12.1.2017 pronari i mjetit paraqitet për të paguar taksën e vitit 2016. Mjetit i ka kaluar afati më shumë se 10 ditë nga afati i vlefshmërisë së taksës, pra llogaritet me 1 muaj vonesë për pagesën e TVMP-së për vitin 2016. Për këtë arsye, pronari i mjetit duhet të paguajë TVMP e vitit 2016 në shumën 9,977 si dhe 5% gjobë mbi shumën e taksës së TVMP-së në shumën 499 lekë. Shuma totale e TVMP-së që duhet të paguajë për vitin 2016 është 16,163 lekë. Gjithashtu, nëse mjeti është me cilindratë më të madhe ose të barabartë me 3000 cm3, detyrohet të paguajë edhe TVML për vitit 2016 në shumën 21,000 lekë dhe gjobë për TVML prej 5% në shumën 1,050 lekë. Shuma totale e taksave (TVMP+TVML) që pronari i mjetit duhet të paguajë për vitin 2016 është në shumën 32,526 lekë. </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Nga ana tjetër, duke qenë se subjekti është paraqitur më datë 12.1.2017, i ka mbaruar afati i vlefshmërisë së taksave për këtë mjet, detyrohet të paguajë edhe detyrimet për TVMP për vitin 2017, në vlerën 10,431 lekë dhe vlera e gjobës prej 5% për një muaj vonesë që është në vlerën 522 lekë. Shuma totale që subjekti detyrohet të paguajë është 10,953 lekë. Afati i vlefshmërisë për vitin 2017 fillon nga data 1.1.2017. Gjithashtu, subjekti ka detyrimin të paguajë edhe TVML për vitit 2017 në shumën 21,000 lekë dhe gjobë prej 5% në shumën 1,050 lekë. Shuma totale e taksave për vitin 2017 është në shumën 33,003 lekë me afat vlefshmërie deri në 12.1.2018. </w:t>
      </w:r>
    </w:p>
    <w:p w:rsidR="006500D2" w:rsidRDefault="006500D2" w:rsidP="006500D2">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Shembull: Pronari i mjetit me cilindratë 3653 cm</w:t>
      </w:r>
      <w:r>
        <w:rPr>
          <w:rFonts w:ascii="Garamond" w:hAnsi="Garamond"/>
          <w:spacing w:val="-4"/>
          <w:sz w:val="24"/>
          <w:szCs w:val="24"/>
          <w:vertAlign w:val="superscript"/>
          <w:lang w:val="sq-AL"/>
        </w:rPr>
        <w:t>3</w:t>
      </w:r>
      <w:r>
        <w:rPr>
          <w:rFonts w:ascii="Garamond" w:hAnsi="Garamond"/>
          <w:spacing w:val="-4"/>
          <w:sz w:val="24"/>
          <w:szCs w:val="24"/>
          <w:lang w:val="sq-AL"/>
        </w:rPr>
        <w:t>, me benzinë dhe vit prodhimi 2006, paraqitet pranë strukturave të Drejtorisë së Përgjithshme të Shërbimeve të Transportit Rrugor për të regjistruar për herë të parë mjetin më datë 16.6.2017. Në datën 16.6.2017 pronari i mjetit ka detyrimin të paguajë TVMP-në për 7-muaj të vitit 2017 në shumën 5,966 lekë (3653*0.28*10=10,228/12*7). Duke qenë se është me cilindratë më të madhe ose të barabartë me 3000 cm</w:t>
      </w:r>
      <w:r>
        <w:rPr>
          <w:rFonts w:ascii="Garamond" w:hAnsi="Garamond"/>
          <w:spacing w:val="-4"/>
          <w:sz w:val="24"/>
          <w:szCs w:val="24"/>
          <w:vertAlign w:val="superscript"/>
          <w:lang w:val="sq-AL"/>
        </w:rPr>
        <w:t>3</w:t>
      </w:r>
      <w:r>
        <w:rPr>
          <w:rFonts w:ascii="Garamond" w:hAnsi="Garamond"/>
          <w:spacing w:val="-4"/>
          <w:sz w:val="24"/>
          <w:szCs w:val="24"/>
          <w:lang w:val="sq-AL"/>
        </w:rPr>
        <w:t xml:space="preserve"> duhet të paguajë dhe TRML në shumën 70,000 lekë dhe TVML për 7 muaj të vitit 2017 në shumën 12,250 (21,000/12*7) lekë. Vlera totale e taksave </w:t>
      </w:r>
      <w:r>
        <w:rPr>
          <w:rFonts w:ascii="Garamond" w:hAnsi="Garamond"/>
          <w:spacing w:val="-4"/>
          <w:sz w:val="24"/>
          <w:szCs w:val="24"/>
          <w:lang w:val="sq-AL"/>
        </w:rPr>
        <w:lastRenderedPageBreak/>
        <w:t>(TVMP+TVML) që pronari i mjetit duhet të paguajë për vitin 2017 është 88,216 lekë.</w:t>
      </w:r>
    </w:p>
    <w:p w:rsidR="006500D2" w:rsidRDefault="006500D2" w:rsidP="006500D2">
      <w:pPr>
        <w:pStyle w:val="Default"/>
        <w:widowControl w:val="0"/>
        <w:ind w:firstLine="284"/>
        <w:jc w:val="both"/>
        <w:rPr>
          <w:rFonts w:ascii="Garamond" w:hAnsi="Garamond"/>
          <w:spacing w:val="-4"/>
          <w:lang w:val="sq-AL"/>
        </w:rPr>
      </w:pPr>
      <w:r>
        <w:rPr>
          <w:rFonts w:ascii="Garamond" w:hAnsi="Garamond"/>
          <w:spacing w:val="-4"/>
          <w:lang w:val="sq-AL"/>
        </w:rPr>
        <w:t>Ky udhëzim hyn në fuqi me botimin e tij në Fletoren Zyrtare.</w:t>
      </w:r>
    </w:p>
    <w:p w:rsidR="006500D2" w:rsidRDefault="006500D2" w:rsidP="006500D2">
      <w:pPr>
        <w:pStyle w:val="Hapesira7"/>
        <w:rPr>
          <w:lang w:val="sq-AL"/>
        </w:rPr>
      </w:pPr>
    </w:p>
    <w:p w:rsidR="006500D2" w:rsidRDefault="006500D2" w:rsidP="006500D2">
      <w:pPr>
        <w:widowControl w:val="0"/>
        <w:spacing w:after="0" w:line="240" w:lineRule="auto"/>
        <w:jc w:val="right"/>
        <w:rPr>
          <w:rFonts w:ascii="Garamond" w:hAnsi="Garamond"/>
          <w:spacing w:val="-4"/>
          <w:sz w:val="24"/>
          <w:szCs w:val="24"/>
          <w:lang w:val="sq-AL"/>
        </w:rPr>
      </w:pPr>
      <w:r>
        <w:rPr>
          <w:rFonts w:ascii="Garamond" w:hAnsi="Garamond"/>
          <w:spacing w:val="-4"/>
          <w:sz w:val="24"/>
          <w:szCs w:val="24"/>
          <w:lang w:val="sq-AL"/>
        </w:rPr>
        <w:t xml:space="preserve">MINISTRI I FINANCAVE </w:t>
      </w:r>
    </w:p>
    <w:p w:rsidR="006500D2" w:rsidRDefault="006500D2" w:rsidP="006500D2">
      <w:pPr>
        <w:widowControl w:val="0"/>
        <w:spacing w:after="0" w:line="240" w:lineRule="auto"/>
        <w:jc w:val="right"/>
        <w:rPr>
          <w:rFonts w:ascii="Garamond" w:hAnsi="Garamond"/>
          <w:bCs/>
          <w:spacing w:val="-4"/>
          <w:sz w:val="24"/>
          <w:szCs w:val="24"/>
          <w:lang w:val="sq-AL"/>
        </w:rPr>
      </w:pPr>
      <w:r>
        <w:rPr>
          <w:rFonts w:ascii="Garamond" w:hAnsi="Garamond"/>
          <w:spacing w:val="-4"/>
          <w:sz w:val="24"/>
          <w:szCs w:val="24"/>
          <w:lang w:val="sq-AL"/>
        </w:rPr>
        <w:t>DHE EKONOMISË</w:t>
      </w:r>
    </w:p>
    <w:p w:rsidR="006500D2" w:rsidRDefault="006500D2" w:rsidP="006500D2">
      <w:pPr>
        <w:widowControl w:val="0"/>
        <w:spacing w:after="0" w:line="240" w:lineRule="auto"/>
        <w:jc w:val="right"/>
        <w:rPr>
          <w:rFonts w:ascii="Garamond" w:hAnsi="Garamond"/>
          <w:b/>
          <w:bCs/>
          <w:spacing w:val="-4"/>
          <w:sz w:val="24"/>
          <w:szCs w:val="24"/>
          <w:lang w:val="sq-AL"/>
        </w:rPr>
      </w:pPr>
      <w:r>
        <w:rPr>
          <w:rFonts w:ascii="Garamond" w:hAnsi="Garamond"/>
          <w:b/>
          <w:bCs/>
          <w:spacing w:val="-4"/>
          <w:sz w:val="24"/>
          <w:szCs w:val="24"/>
          <w:lang w:val="sq-AL"/>
        </w:rPr>
        <w:t>Arben Ahmetaj</w:t>
      </w:r>
    </w:p>
    <w:p w:rsidR="00DB259D" w:rsidRDefault="00DB259D"/>
    <w:sectPr w:rsidR="00DB259D" w:rsidSect="006500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471196"/>
    <w:multiLevelType w:val="hybridMultilevel"/>
    <w:tmpl w:val="D9A41840"/>
    <w:lvl w:ilvl="0" w:tplc="A53A1622">
      <w:numFmt w:val="bullet"/>
      <w:lvlText w:val="-"/>
      <w:lvlJc w:val="left"/>
      <w:pPr>
        <w:ind w:left="720" w:hanging="360"/>
      </w:pPr>
      <w:rPr>
        <w:rFonts w:ascii="Times New Roman" w:eastAsia="Times New Roman" w:hAnsi="Times New Roman" w:cs="Times New Roman" w:hint="default"/>
        <w:b/>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 w15:restartNumberingAfterBreak="0">
    <w:nsid w:val="620362B6"/>
    <w:multiLevelType w:val="hybridMultilevel"/>
    <w:tmpl w:val="989C0E72"/>
    <w:lvl w:ilvl="0" w:tplc="041C000F">
      <w:start w:val="2"/>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 w15:restartNumberingAfterBreak="0">
    <w:nsid w:val="64501E81"/>
    <w:multiLevelType w:val="hybridMultilevel"/>
    <w:tmpl w:val="902C5B50"/>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D2"/>
    <w:rsid w:val="00190285"/>
    <w:rsid w:val="006500D2"/>
    <w:rsid w:val="00DB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08B430-4476-4454-89C6-A188B57A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0D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Normal (Web) Char Char Char Char Char Char"/>
    <w:uiPriority w:val="1"/>
    <w:semiHidden/>
    <w:unhideWhenUsed/>
    <w:qFormat/>
    <w:rsid w:val="006500D2"/>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6500D2"/>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6500D2"/>
    <w:pPr>
      <w:ind w:left="720" w:firstLine="0"/>
      <w:contextualSpacing/>
      <w:jc w:val="left"/>
    </w:pPr>
    <w:rPr>
      <w:rFonts w:ascii="Times New Roman" w:eastAsia="Times New Roman" w:hAnsi="Times New Roman"/>
    </w:rPr>
  </w:style>
  <w:style w:type="character" w:customStyle="1" w:styleId="ParagrafiChar">
    <w:name w:val="Paragrafi Char"/>
    <w:link w:val="Paragrafi"/>
    <w:locked/>
    <w:rsid w:val="006500D2"/>
    <w:rPr>
      <w:rFonts w:ascii="Garamond" w:eastAsia="MS Mincho" w:hAnsi="Garamond" w:cs="CG Times"/>
      <w:sz w:val="24"/>
    </w:rPr>
  </w:style>
  <w:style w:type="paragraph" w:customStyle="1" w:styleId="Paragrafi">
    <w:name w:val="Paragrafi"/>
    <w:link w:val="ParagrafiChar"/>
    <w:qFormat/>
    <w:rsid w:val="006500D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6500D2"/>
    <w:rPr>
      <w:rFonts w:ascii="Garamond" w:eastAsia="MS Mincho" w:hAnsi="Garamond" w:cs="CG Times"/>
      <w:sz w:val="24"/>
      <w:lang w:val="en-GB"/>
    </w:rPr>
  </w:style>
  <w:style w:type="paragraph" w:customStyle="1" w:styleId="NeniNr">
    <w:name w:val="Neni_Nr"/>
    <w:next w:val="Normal"/>
    <w:link w:val="NeniNrChar"/>
    <w:qFormat/>
    <w:rsid w:val="006500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500D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6500D2"/>
    <w:rPr>
      <w:sz w:val="14"/>
      <w:szCs w:val="24"/>
    </w:rPr>
  </w:style>
  <w:style w:type="character" w:customStyle="1" w:styleId="DefaultChar">
    <w:name w:val="Default Char"/>
    <w:link w:val="Default"/>
    <w:locked/>
    <w:rsid w:val="006500D2"/>
    <w:rPr>
      <w:rFonts w:ascii="Times New Roman" w:hAnsi="Times New Roman" w:cs="Times New Roman"/>
      <w:color w:val="000000"/>
      <w:sz w:val="24"/>
      <w:szCs w:val="24"/>
    </w:rPr>
  </w:style>
  <w:style w:type="paragraph" w:customStyle="1" w:styleId="Default">
    <w:name w:val="Default"/>
    <w:link w:val="DefaultChar"/>
    <w:qFormat/>
    <w:rsid w:val="006500D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99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1653</Words>
  <Characters>9428</Characters>
  <Application>Microsoft Office Word</Application>
  <DocSecurity>0</DocSecurity>
  <Lines>78</Lines>
  <Paragraphs>22</Paragraphs>
  <ScaleCrop>false</ScaleCrop>
  <Company/>
  <LinksUpToDate>false</LinksUpToDate>
  <CharactersWithSpaces>11059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2018-05-07T14:08:00Z</dcterms:created>
  <dcterms:modified xsi:type="dcterms:W3CDTF">2018-05-07T14:11:00Z</dcterms:modified>
</cp:coreProperties>
</file>