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F6F" w:rsidRDefault="00EF2F6F" w:rsidP="00EF2F6F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>UDHËZIM</w:t>
      </w:r>
    </w:p>
    <w:p w:rsidR="00EF2F6F" w:rsidRDefault="00EF2F6F" w:rsidP="00EF2F6F">
      <w:pPr>
        <w:pStyle w:val="NeniTitull"/>
        <w:rPr>
          <w:lang w:val="sq-AL"/>
        </w:rPr>
      </w:pPr>
      <w:r>
        <w:rPr>
          <w:lang w:val="sq-AL"/>
        </w:rPr>
        <w:t>Nr. 18, datë 14.5.2018</w:t>
      </w:r>
    </w:p>
    <w:p w:rsidR="00EF2F6F" w:rsidRDefault="00EF2F6F" w:rsidP="00EF2F6F">
      <w:pPr>
        <w:pStyle w:val="NeniTitull"/>
        <w:rPr>
          <w:sz w:val="14"/>
          <w:lang w:val="sq-AL"/>
        </w:rPr>
      </w:pPr>
    </w:p>
    <w:p w:rsidR="00EF2F6F" w:rsidRDefault="00EF2F6F" w:rsidP="00EF2F6F">
      <w:pPr>
        <w:pStyle w:val="NeniTitull"/>
        <w:rPr>
          <w:lang w:val="sq-AL"/>
        </w:rPr>
      </w:pPr>
      <w:r>
        <w:rPr>
          <w:lang w:val="sq-AL"/>
        </w:rPr>
        <w:t>PËR FORMATIN E FORMULARIT TË DEKLARIMIT DHE PAGESËS SË TATIMIT MBI LOJËRAT E FATIT</w:t>
      </w:r>
    </w:p>
    <w:p w:rsidR="00EF2F6F" w:rsidRDefault="00EF2F6F" w:rsidP="00EF2F6F">
      <w:pPr>
        <w:pStyle w:val="Paragrafi"/>
        <w:rPr>
          <w:sz w:val="14"/>
          <w:lang w:val="sq-AL"/>
        </w:rPr>
      </w:pP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Në mbështetje të pikës 4, të nenit 102, të Kushtetutës së Republikës së Shqipërisë; të nenit 64, pika 4 të ligjit nr. 9920, datë 19.5.2008, “Për procedurat tatimore në Republikën e Shqipërisë”, të ndryshuar, ministri i Financave dhe Ekonomisë</w:t>
      </w:r>
    </w:p>
    <w:p w:rsidR="00EF2F6F" w:rsidRDefault="00EF2F6F" w:rsidP="00EF2F6F">
      <w:pPr>
        <w:pStyle w:val="Paragrafi"/>
        <w:rPr>
          <w:sz w:val="14"/>
          <w:lang w:val="sq-AL"/>
        </w:rPr>
      </w:pPr>
    </w:p>
    <w:p w:rsidR="00EF2F6F" w:rsidRDefault="00EF2F6F" w:rsidP="00EF2F6F">
      <w:pPr>
        <w:pStyle w:val="NeniNr"/>
        <w:rPr>
          <w:lang w:val="sq-AL"/>
        </w:rPr>
      </w:pPr>
      <w:r>
        <w:rPr>
          <w:lang w:val="sq-AL"/>
        </w:rPr>
        <w:t>UDHËZON:</w:t>
      </w:r>
    </w:p>
    <w:p w:rsidR="00EF2F6F" w:rsidRDefault="00EF2F6F" w:rsidP="00EF2F6F">
      <w:pPr>
        <w:pStyle w:val="Paragrafi"/>
        <w:rPr>
          <w:sz w:val="14"/>
          <w:lang w:val="sq-AL"/>
        </w:rPr>
      </w:pP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1. Miratimin e formularit të deklarimit dhe pagesës së tatimit mbi lojërat e fatit, sipas formatit bashkëlidhur këtij udhëzimi.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 xml:space="preserve">2. Formati i formularit përmbledh 3 (tri) fletë formati me dimension A4. Formatit të formularit i bashkëlidhet udhëzuesi sqarues, i cili përmbledh 5 (pesë) fletë formati me dimension A4. 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3. Udhëzimi i ministrit të Financave nr. 27, datë 25.11.2013, “Për formatin e formularit të deklarimit dhe pagesës së tatimit mbi lojërat e fatit”, shfuqizohet.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EF2F6F" w:rsidRDefault="00EF2F6F" w:rsidP="00EF2F6F">
      <w:pPr>
        <w:pStyle w:val="Paragrafi"/>
        <w:ind w:firstLine="0"/>
        <w:rPr>
          <w:sz w:val="14"/>
          <w:lang w:val="sq-AL"/>
        </w:rPr>
      </w:pPr>
    </w:p>
    <w:p w:rsidR="00EF2F6F" w:rsidRDefault="00EF2F6F" w:rsidP="00EF2F6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FINANCAVE </w:t>
      </w:r>
    </w:p>
    <w:p w:rsidR="00EF2F6F" w:rsidRDefault="00EF2F6F" w:rsidP="00EF2F6F">
      <w:pPr>
        <w:pStyle w:val="Paragrafi"/>
        <w:jc w:val="right"/>
        <w:rPr>
          <w:lang w:val="sq-AL"/>
        </w:rPr>
      </w:pPr>
      <w:r>
        <w:rPr>
          <w:lang w:val="sq-AL"/>
        </w:rPr>
        <w:t>DHE EKONOMISË</w:t>
      </w:r>
    </w:p>
    <w:p w:rsidR="00EF2F6F" w:rsidRDefault="00EF2F6F" w:rsidP="00EF2F6F">
      <w:pPr>
        <w:pStyle w:val="Paragrafi"/>
        <w:jc w:val="right"/>
        <w:rPr>
          <w:b/>
          <w:bCs/>
          <w:spacing w:val="-1"/>
          <w:lang w:val="sq-AL"/>
        </w:rPr>
      </w:pPr>
      <w:r>
        <w:rPr>
          <w:b/>
          <w:bCs/>
          <w:spacing w:val="-1"/>
          <w:lang w:val="sq-AL"/>
        </w:rPr>
        <w:t>Arben Ahmetaj</w:t>
      </w:r>
    </w:p>
    <w:p w:rsidR="00EF2F6F" w:rsidRDefault="00EF2F6F" w:rsidP="00EF2F6F">
      <w:pPr>
        <w:pStyle w:val="Paragrafi"/>
        <w:jc w:val="right"/>
        <w:rPr>
          <w:b/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spacing w:after="0" w:line="240" w:lineRule="auto"/>
        <w:ind w:firstLine="0"/>
        <w:jc w:val="left"/>
        <w:rPr>
          <w:rFonts w:ascii="Garamond" w:eastAsia="MS Mincho" w:hAnsi="Garamond" w:cs="CG Times"/>
          <w:bCs/>
          <w:spacing w:val="-1"/>
          <w:sz w:val="24"/>
          <w:lang w:val="sq-AL"/>
        </w:rPr>
        <w:sectPr w:rsidR="00EF2F6F" w:rsidSect="00EF2F6F">
          <w:pgSz w:w="11907" w:h="16840"/>
          <w:pgMar w:top="720" w:right="1134" w:bottom="720" w:left="1134" w:header="851" w:footer="851" w:gutter="0"/>
          <w:cols w:space="454"/>
        </w:sect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55"/>
      </w:tblGrid>
      <w:tr w:rsidR="00EF2F6F" w:rsidTr="00EF2F6F">
        <w:trPr>
          <w:trHeight w:val="300"/>
        </w:trPr>
        <w:tc>
          <w:tcPr>
            <w:tcW w:w="0" w:type="auto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lang w:val="sq-AL"/>
              </w:rPr>
            </w:pPr>
            <w:r>
              <w:rPr>
                <w:lang w:val="sq-AL"/>
              </w:rPr>
              <w:lastRenderedPageBreak/>
              <w:t>FORMULAR I DEKLARIMIT DHE PAGESËS                   Numri i vendosjes së dokumentit (NVD)</w:t>
            </w:r>
          </w:p>
        </w:tc>
      </w:tr>
      <w:tr w:rsidR="00EF2F6F" w:rsidTr="00EF2F6F">
        <w:trPr>
          <w:trHeight w:val="300"/>
        </w:trPr>
        <w:tc>
          <w:tcPr>
            <w:tcW w:w="0" w:type="auto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SË TATIMIT MBI LOJËRAT E FATIT                                   (Vetëm për përdorim zyrtar)</w:t>
            </w:r>
          </w:p>
        </w:tc>
      </w:tr>
      <w:tr w:rsidR="00EF2F6F" w:rsidTr="00EF2F6F">
        <w:trPr>
          <w:trHeight w:val="297"/>
        </w:trPr>
        <w:tc>
          <w:tcPr>
            <w:tcW w:w="0" w:type="auto"/>
            <w:vAlign w:val="center"/>
          </w:tcPr>
          <w:p w:rsidR="00EF2F6F" w:rsidRDefault="00EF2F6F">
            <w:pPr>
              <w:pStyle w:val="Paragrafi"/>
              <w:spacing w:line="276" w:lineRule="auto"/>
              <w:rPr>
                <w:lang w:val="sq-AL"/>
              </w:rPr>
            </w:pPr>
          </w:p>
        </w:tc>
      </w:tr>
    </w:tbl>
    <w:p w:rsidR="00EF2F6F" w:rsidRDefault="00EF2F6F" w:rsidP="00EF2F6F">
      <w:pPr>
        <w:pStyle w:val="Paragrafi"/>
        <w:rPr>
          <w:lang w:val="sq-AL"/>
        </w:rPr>
      </w:pPr>
      <w:r>
        <w:rPr>
          <w:rFonts w:eastAsia="Calibri"/>
          <w:lang w:val="sq-AL"/>
        </w:rPr>
        <w:t xml:space="preserve">                                    [2] Periudha tatimore</w:t>
      </w:r>
    </w:p>
    <w:tbl>
      <w:tblPr>
        <w:tblpPr w:leftFromText="180" w:rightFromText="180" w:bottomFromText="200" w:vertAnchor="text" w:horzAnchor="page" w:tblpX="5105" w:tblpY="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</w:tblGrid>
      <w:tr w:rsidR="00EF2F6F" w:rsidTr="00EF2F6F">
        <w:trPr>
          <w:trHeight w:val="841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6F" w:rsidRDefault="00EF2F6F">
            <w:pPr>
              <w:pStyle w:val="Paragrafi"/>
              <w:spacing w:line="276" w:lineRule="auto"/>
              <w:rPr>
                <w:rFonts w:eastAsia="Calibri"/>
                <w:color w:val="000000"/>
                <w:lang w:val="sq-AL"/>
              </w:rPr>
            </w:pPr>
          </w:p>
          <w:p w:rsidR="00EF2F6F" w:rsidRDefault="00EF2F6F">
            <w:pPr>
              <w:pStyle w:val="Paragrafi"/>
              <w:spacing w:line="276" w:lineRule="auto"/>
              <w:rPr>
                <w:rFonts w:eastAsia="Calibri"/>
                <w:color w:val="000000"/>
                <w:lang w:val="sq-AL"/>
              </w:rPr>
            </w:pPr>
            <w:r>
              <w:rPr>
                <w:rFonts w:eastAsia="Calibri"/>
                <w:color w:val="000000"/>
                <w:lang w:val="sq-AL"/>
              </w:rPr>
              <w:t>[1] Numri Serial:  _________________________________________</w:t>
            </w:r>
          </w:p>
          <w:p w:rsidR="00EF2F6F" w:rsidRDefault="00EF2F6F">
            <w:pPr>
              <w:pStyle w:val="Paragrafi"/>
              <w:spacing w:line="276" w:lineRule="auto"/>
              <w:rPr>
                <w:rFonts w:eastAsia="Calibri"/>
                <w:lang w:val="sq-AL"/>
              </w:rPr>
            </w:pPr>
          </w:p>
        </w:tc>
      </w:tr>
    </w:tbl>
    <w:p w:rsidR="00EF2F6F" w:rsidRDefault="00EF2F6F" w:rsidP="00EF2F6F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942975" cy="723900"/>
            <wp:effectExtent l="0" t="0" r="9525" b="0"/>
            <wp:docPr id="1" name="Picture 1" descr="small_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_m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F6F" w:rsidRDefault="00EF2F6F" w:rsidP="00EF2F6F">
      <w:pPr>
        <w:pStyle w:val="Paragrafi"/>
        <w:rPr>
          <w:rFonts w:eastAsia="Calibri"/>
          <w:color w:val="000000"/>
          <w:lang w:val="sq-AL"/>
        </w:rPr>
      </w:pPr>
      <w:r>
        <w:rPr>
          <w:rFonts w:eastAsia="Calibri"/>
          <w:lang w:val="sq-AL"/>
        </w:rPr>
        <w:t xml:space="preserve">                       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EF2F6F" w:rsidTr="00EF2F6F">
        <w:trPr>
          <w:trHeight w:val="1859"/>
          <w:jc w:val="center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Numri i identifikimit i personit të tatueshëm (NIPT):                             [3]________________________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Emri tregtar i personit të tatueshëm:                                                       [4]________________________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Emri, mbiemri i personit fizik:                                                                 [5]________________________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Adresa:                                                                                                     [6]________________________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Qyteti/komuna/rrethi:                                                                               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Numri i telefonit:                                                                                      [7]________________________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 xml:space="preserve">                                                                                                                             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Lajmëroni nëse informacioni i mësipërm është jo i plotë ose ka ndryshuar.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 xml:space="preserve">                                                                                                                    </w:t>
            </w:r>
          </w:p>
        </w:tc>
      </w:tr>
    </w:tbl>
    <w:p w:rsidR="00EF2F6F" w:rsidRDefault="00EF2F6F" w:rsidP="00EF2F6F">
      <w:pPr>
        <w:pStyle w:val="Paragrafi"/>
        <w:rPr>
          <w:lang w:val="sq-AL"/>
        </w:rPr>
      </w:pPr>
    </w:p>
    <w:tbl>
      <w:tblPr>
        <w:tblpPr w:leftFromText="180" w:rightFromText="180" w:bottomFromText="200" w:vertAnchor="text" w:horzAnchor="page" w:tblpX="3031" w:tblpY="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</w:tblGrid>
      <w:tr w:rsidR="00EF2F6F" w:rsidTr="00EF2F6F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6F" w:rsidRDefault="00EF2F6F">
            <w:pPr>
              <w:pStyle w:val="Paragrafi"/>
              <w:spacing w:line="276" w:lineRule="auto"/>
              <w:rPr>
                <w:rFonts w:eastAsia="Calibri"/>
                <w:lang w:val="sq-AL"/>
              </w:rPr>
            </w:pPr>
          </w:p>
        </w:tc>
      </w:tr>
    </w:tbl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 xml:space="preserve">    [8]                        Pa veprimtari </w:t>
      </w:r>
    </w:p>
    <w:p w:rsidR="00EF2F6F" w:rsidRDefault="00EF2F6F" w:rsidP="00EF2F6F">
      <w:pPr>
        <w:pStyle w:val="Paragrafi"/>
        <w:ind w:firstLine="0"/>
        <w:rPr>
          <w:lang w:val="sq-AL"/>
        </w:rPr>
      </w:pPr>
    </w:p>
    <w:p w:rsidR="00EF2F6F" w:rsidRDefault="00EF2F6F" w:rsidP="00EF2F6F">
      <w:pPr>
        <w:pStyle w:val="Paragrafi"/>
        <w:ind w:firstLine="0"/>
        <w:rPr>
          <w:b/>
          <w:sz w:val="20"/>
          <w:szCs w:val="20"/>
          <w:lang w:val="sq-AL"/>
        </w:rPr>
      </w:pPr>
      <w:r>
        <w:rPr>
          <w:lang w:val="sq-AL"/>
        </w:rPr>
        <w:t xml:space="preserve">  </w:t>
      </w:r>
      <w:r>
        <w:rPr>
          <w:b/>
          <w:sz w:val="20"/>
          <w:szCs w:val="20"/>
          <w:lang w:val="sq-AL"/>
        </w:rPr>
        <w:t>SEKSIONI A</w:t>
      </w: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279"/>
        <w:gridCol w:w="5936"/>
        <w:gridCol w:w="1329"/>
        <w:gridCol w:w="1075"/>
      </w:tblGrid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Rubrika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Emërtimi i veprimtarisë së lojës së fatit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Detyrimi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BINGO PËR PJESËMARRJE BRENDA SALLËS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[9/10]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Bingo që zhvillohen për pjesëmarrës brenda sallës, në rrethe, të kat. 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[11/12]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Bingo që zhvillohen për pjesëmarrës brenda sallës, në rrethe, të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[11]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[12]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[13/14]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Bingo që zhvillohen për pjesëmarrës brenda sallës, në rrethe, të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[14]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II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BASTE SPORTIVE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1 deri 99 NIPTE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[15]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[16]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100 deri në 149 NIPTE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highlight w:val="darkGray"/>
                <w:lang w:val="sq-AL"/>
              </w:rPr>
            </w:pPr>
            <w:r>
              <w:rPr>
                <w:sz w:val="20"/>
                <w:szCs w:val="20"/>
                <w:highlight w:val="darkGray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[16]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Mbi 150 NIPTE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[18/19]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sportive për pikë basti, në rrethe, të kat. 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[20/21]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sportive për pikë basti, në rrethe, të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[21]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[22/23]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sportive për pikë basti, në rrethe, të kat. III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[23]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III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KAZINO ELEKTRONIKE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[24/25]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 në rrethe, kat. 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[25]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[26/27]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makinë elektronike të tipit slot, videolotari, rrethe, të kat. 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[28/29]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 në rrethe,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[30/31]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makinë elektronike të tipit slot, videolotari, rrethe, të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[31]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[32/33]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 në rrethe, kat. III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[33]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[34/35]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makinë elektronike të tipit slot, videolotari, rrethe, të kat. III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[35]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[36/37]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makinë elektronike me më shumë se një pozicion (ruletë)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[38/39]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pozicion në makinat elektronike me më shumë se një pozicion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[39]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IV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KAZINO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[40/41]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 xml:space="preserve">Për tryezat me më shumë se një pozicion, ruletë (për çdo pozicion)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[41]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[42/43]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tryezë të lojërave me letër dhe ose me zare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[43]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[44/45]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lojëra elektronike dhe videolotari (për çdo kompjuter elektronik)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[45]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[46/47]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makina slot me fitim në çast (për çdo kompjuter)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[47]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V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BASTE GARA NË PISTË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[48]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gara  në pistë, kuotë fikse për shoqërinë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[48]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[49/50]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Pika shitjeje n</w:t>
            </w:r>
            <w:r>
              <w:rPr>
                <w:rFonts w:cs="Times New Roman"/>
                <w:color w:val="000000"/>
                <w:sz w:val="20"/>
                <w:szCs w:val="20"/>
                <w:lang w:val="sq-AL"/>
              </w:rPr>
              <w:t>ë</w:t>
            </w:r>
            <w:r>
              <w:rPr>
                <w:color w:val="000000"/>
                <w:sz w:val="20"/>
                <w:szCs w:val="20"/>
                <w:lang w:val="sq-AL"/>
              </w:rPr>
              <w:t xml:space="preserve"> baste gara  në pistë (tatim, kuotë fikse  për çdo pikë  shitjeje)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[49]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[50]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lastRenderedPageBreak/>
              <w:t>[51/52]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gara në pistë, lojëra elektronike në hipodrom me fitim të çastit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[51]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[52]</w:t>
            </w:r>
          </w:p>
        </w:tc>
      </w:tr>
      <w:tr w:rsidR="00EF2F6F" w:rsidTr="00EF2F6F">
        <w:trPr>
          <w:gridAfter w:val="2"/>
          <w:wAfter w:w="1232" w:type="pct"/>
          <w:trHeight w:val="287"/>
          <w:jc w:val="center"/>
        </w:trPr>
        <w:tc>
          <w:tcPr>
            <w:tcW w:w="726" w:type="pct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</w:p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SEKSIONI B</w:t>
            </w:r>
          </w:p>
        </w:tc>
        <w:tc>
          <w:tcPr>
            <w:tcW w:w="30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Rubrika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Emërtimi i veprimtarisë së lojës së fatit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Qarkullimi/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fitimi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Detyrimi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VI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BINGO TELEVIZIVE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[53/54]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Bingo që nuk zhvillohen për pjesëmarrës brenda sallës 10%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[54]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[II/1]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BASTE SPORTIVE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sportive 25% mbi fitimin nga loja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[55]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[III/1]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KAZINO ELEKTRONIKE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[56/57]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sallë, slot, videolotari, rrethe, të kat. I (4%),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[58/59]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sallë, slot, videolotari, rrethe, të kat. II (4%),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[60/61]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sallë, slot, videolotari, rrethe, të kat. III (4%),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[61]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VII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LOTARI KOMBËTARE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[62/63]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Lotari kombëtare 10%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[63]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VIII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KAZINO ELEKTRONIKE NË DISTANCË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[64/65]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Kazino elektronike në distancë 1.5%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[65]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[IV/1]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KAZINO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[66/67]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tryezat me më shumë se një pozicion, ruletë 12%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[68/69]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tryezat të lojërave me letër dhe ose me zare 12%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[70/71]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lojërat elektronike dhe videolotari në kazino 4%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[71]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[72/73]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makinat slot me fitim në çast 4%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[73]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</w:p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rFonts w:cs="Times New Roman"/>
                <w:b/>
                <w:szCs w:val="24"/>
                <w:lang w:val="sq-AL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Cs w:val="24"/>
                <w:lang w:val="sq-AL"/>
              </w:rPr>
              <w:t>Seksioni “C” dhe seksioni C.1 plotësohet vetëm nga tatimpaguesit dhe lojërat e fatit të përfshira në Sistemin Qendror të Monitorimit Online (SQMO)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</w:p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SEKSIONI C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Cs w:val="20"/>
                <w:lang w:val="sq-AL"/>
              </w:rPr>
            </w:pP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Rubrika</w:t>
            </w:r>
          </w:p>
        </w:tc>
        <w:tc>
          <w:tcPr>
            <w:tcW w:w="304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Emërtimi i veprimtarisë së lojës së fatit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Nr.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Detyrimi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IX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BASTE SPORTIVE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[74/75]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Pika sekondare të hapura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[75]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KAZINO/KAZINO ME 5 YJE/RESORT KAZINO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[76/77]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Pozicione në tryeza me më shumë se një pozicion, ruletë (për çdo pozicion)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[78/79]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Tryeza të lojërave me letër dhe ose me zare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[80/81]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Makina elektronike në kazino me 5 yje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[81]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BASTE GARA NË PISTË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[82]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Baste gara  në pistë, kuotë fikse për shoqërinë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[82]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[83/84]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Pika shitjeje në baste gara  në pistë (tatim, kuotë fikse  për çdo pikë  shitjeje)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[84]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[85/86]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Kompjutera elektronikë ose pozicione të makinës elektronike në lojërat elektronike me fitim në cast në bastet sportive gara  në pistë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[85]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[86]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3768" w:type="pct"/>
            <w:gridSpan w:val="3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SEKSIONI C.1</w:t>
            </w:r>
          </w:p>
        </w:tc>
      </w:tr>
      <w:tr w:rsidR="00EF2F6F" w:rsidTr="00EF2F6F">
        <w:trPr>
          <w:trHeight w:val="6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Rubrika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Emërtimi i veprimtarisë së lojës së fatit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Qarkullimi/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ardhurat bruto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Detyrimi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XII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BINGO TELEVIZIVE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[87/88]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Bingo televizive me 15%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[87]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[88]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XIII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BASTE SPORTIVE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[89/90]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Baste sportive me 15%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[89]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[90]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XIV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LOTARI KOMBËTARE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lastRenderedPageBreak/>
              <w:t>[91/92]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Lotari kombëtare 15%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[91]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[92]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XV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LOJË  ELEKTRONIKE NË DISTANCË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[93/94]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Loje  elektronike në distancë 15% e të ardhurave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[94]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XVI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KAZINO/KAZINO ME 5 YJE/RESORT KAZINO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[95/96]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 tryezat me më shumë se një pozicion ruletë, 12% mbi vëllimin e qarkullimit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[95]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[96]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[97/98]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 tryezat të lojërave me letër dhe ose me zare, 12% mbi vëllimin e qarkullimit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[97]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[98]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[99/100]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 lojërat elektronike dhe videolotari në kazino, 25%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[99]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[100]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[101/102]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 makinat slot me fitim në çast, 25%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[101]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[102]</w:t>
            </w:r>
          </w:p>
        </w:tc>
      </w:tr>
      <w:tr w:rsidR="00EF2F6F" w:rsidTr="00EF2F6F">
        <w:trPr>
          <w:trHeight w:val="233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XVII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KAZINO ELEKTRONIKE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</w:tr>
      <w:tr w:rsidR="00EF2F6F" w:rsidTr="00EF2F6F">
        <w:trPr>
          <w:trHeight w:val="408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[103/104]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 çdo makinë elektronike të tipit slot, videolotari, 15%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[104]</w:t>
            </w:r>
          </w:p>
        </w:tc>
      </w:tr>
    </w:tbl>
    <w:p w:rsidR="00EF2F6F" w:rsidRDefault="00EF2F6F" w:rsidP="00EF2F6F">
      <w:pPr>
        <w:pStyle w:val="Paragrafi"/>
        <w:rPr>
          <w:sz w:val="14"/>
          <w:lang w:val="sq-AL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7088"/>
        <w:gridCol w:w="2740"/>
      </w:tblGrid>
      <w:tr w:rsidR="00EF2F6F" w:rsidTr="00EF2F6F">
        <w:trPr>
          <w:trHeight w:val="300"/>
        </w:trPr>
        <w:tc>
          <w:tcPr>
            <w:tcW w:w="7088" w:type="dxa"/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[105] Tatimi për t’u paguar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[105]</w:t>
            </w:r>
          </w:p>
        </w:tc>
      </w:tr>
      <w:tr w:rsidR="00EF2F6F" w:rsidTr="00EF2F6F">
        <w:trPr>
          <w:trHeight w:val="300"/>
        </w:trPr>
        <w:tc>
          <w:tcPr>
            <w:tcW w:w="7088" w:type="dxa"/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[106] Dënime/interesa për vonesa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[106]</w:t>
            </w:r>
          </w:p>
        </w:tc>
      </w:tr>
      <w:tr w:rsidR="00EF2F6F" w:rsidTr="00EF2F6F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[107] TOTALI PËR T’U PAGUAR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[107]</w:t>
            </w:r>
          </w:p>
        </w:tc>
      </w:tr>
    </w:tbl>
    <w:p w:rsidR="00EF2F6F" w:rsidRDefault="00EF2F6F" w:rsidP="00EF2F6F">
      <w:pPr>
        <w:pStyle w:val="Paragrafi"/>
        <w:rPr>
          <w:sz w:val="12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Data dhe firma e personit të tatueshëm - Deklaroj  nën përgjegjësinë time që informacioni i mësipërm është i plotë dhe i saktë. </w:t>
      </w:r>
    </w:p>
    <w:p w:rsidR="00EF2F6F" w:rsidRDefault="00EF2F6F" w:rsidP="00EF2F6F">
      <w:pPr>
        <w:pStyle w:val="Paragrafi"/>
        <w:ind w:firstLine="0"/>
        <w:rPr>
          <w:lang w:val="sq-AL"/>
        </w:rPr>
      </w:pPr>
    </w:p>
    <w:p w:rsidR="00EF2F6F" w:rsidRDefault="00EF2F6F" w:rsidP="00EF2F6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2"/>
          <w:lang w:val="sq-AL"/>
        </w:rPr>
        <w:sectPr w:rsidR="00EF2F6F" w:rsidSect="00EF2F6F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EF2F6F" w:rsidRDefault="00EF2F6F" w:rsidP="00EF2F6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UDHËZUES PËR MËNYRËN E PLOTËSIMIT TË FORMULARIT</w:t>
      </w:r>
    </w:p>
    <w:p w:rsidR="00EF2F6F" w:rsidRDefault="00EF2F6F" w:rsidP="00EF2F6F">
      <w:pPr>
        <w:pStyle w:val="Paragrafi"/>
        <w:rPr>
          <w:spacing w:val="-4"/>
          <w:sz w:val="10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Numri serial gjenerohet nga Drejtoria Rajonale Tatimore dhe shërben për të azhurnuar regjistrimet kur paraqitet deklarata.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Periudha tatimore është mujore ose pjesë e muajit në rast mbylljeje të aktivitetit.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Numri i identifikimit të personit të tatueshëm (NIPT) është numri i dhënë nga Drejtoria Rajonale Tatimore ose Qendra Kombëtare e Biznesit dhe që identifikon personin e tatueshëm në të gjitha marrëdhëniet me Drejtorinë Rajonale Tatimore.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Emri tregtar i personit të tatueshëm është emri me të cilin paraqitet veprimtaria dhe që shënohet në certifikatën e NIPT-it.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Emri, mbiemri i personit fizik vendoset kur veprimtaria ekonomike kryhet nga një person fizik dhe nuk ka emër tregtar.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Adresa tregohet për vendin kryesor të ushtrimit të veprimtarisë. Kjo adresë është treguar edhe në certifikatën e NIPT-it.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Numri i telefonit (n.q.s. ka) tregon numrin e telefonit në vendin kryesor të ushtrimit të veprimtarisë ekonomike.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Pa veprimtari zgjidhet vetëm nëse nuk është kryer aktivitet gjatë periudhës për të cilën bëhet deklarimi. Vendosni një kryq në kutinë 8. </w:t>
      </w:r>
    </w:p>
    <w:p w:rsidR="00EF2F6F" w:rsidRDefault="00EF2F6F" w:rsidP="00EF2F6F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SEKSIONI A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</w:t>
      </w:r>
      <w:r>
        <w:rPr>
          <w:spacing w:val="-4"/>
          <w:lang w:val="sq-AL"/>
        </w:rPr>
        <w:tab/>
        <w:t>BINGO ME PJESËMARRËS BRENDA SALLËS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[ 9] Numri i sallave në rreth të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[10] Kuota fikse për sallë në rreth të kategorisë I shumëzuar me numrin e sallave në rrethe të kategorisë I, rubrika [9] x 500 000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[11] Numri i sallave në rreth të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[12] Kuota fikse për sallë në rreth të kategorisë II shumëzuar me numrin e sallave në rrethe të kategorisë II, rubrika [11]  x 400 000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[13] Numri i sallave në rreth të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[14] Kuota fikse për sallë në rreth të kategorisë III shumëzuar me numrin e sallave në rrethe të kategorisë III, rubrika [13] x 300 000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</w:t>
      </w:r>
      <w:r>
        <w:rPr>
          <w:spacing w:val="-4"/>
          <w:lang w:val="sq-AL"/>
        </w:rPr>
        <w:tab/>
        <w:t>BASTET SPORTIVE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[15] Kuota fikse sipas ligjit në vlerën 10.000.000 lekë.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rezulton më e madhe se kjo vlerë,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është më e vogël se kjo vlerë, atëherë kjo rubrikë mbetet dhe rubrika 55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[16] Kuota fikse sipas ligjit në  vlerën 12.000.000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rezulton më e madhe se kjo vlerë,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është më e vogël se kjo vlerë, atëherë kjo rubrikë mbetet dhe rubrika 55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[17] Kuota fikse sipas ligjit në vlerën 14.000.000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rezulton më e madhe se kjo vlerë,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është më e vogël se kjo vlerë, atëherë kjo rubrikë mbetet dhe rubrika 55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[18] Numri i pikave të bastit në rrethe të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[19] Kuota fikse për pikë basti në rreth të kategorisë I shumëzuar me numrin e pikave të bastit në rrethe të kategorisë I, rubrika [18] x 40 000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[20] Numri i pikave të bastit në rrethe të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[21] Kuota fikse për pikë basti në rreth të kategorisë II shumëzuar me numrin e pikave të bastit në rrethe të kategorisë II, rubrika [20] x 30 000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[22] Numri i pikave të bastit në rrethe të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[23] Kuota fikse për pikë basti në rreth të kategorisë III shumëzuar me numrin e pikave të bastit në rrethe të kategorisë III, rubrika [22] x 20 000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III. KAZINO ELEKTRONIKE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[24] Numri i sallave në rrethe të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[25] Kuota fikse për sallë në rrethe të kategorisë i shumëzuar me numrin e sallave në rrethe të kategorisë I, rubrika [24] x 400.000 lekë.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57 rezulton më e madhe se kjo vlerë plus rubrikën 27, atëherë këto rubrika bëhen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57 është më e vogël se këto vlera, atëherë këto rubrika mbeten dhe rubrika 56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[26] Numri i makinave slot e videolotari në rrethe të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[27] Kuota fikse për makinë slot e videolotari shumëzuar për numrin e makinave slot e videolotari në rrethe të kategorisë I, rubrika [26] x 100.000 lekë, por jo më pak se 1.000.000 lekë.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57 rezulton më e madhe se kjo vlerë plus rubrikën 27, atëherë këto rubrika bëhen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57 është më e vogël se këto vlera atëherë këto rubrika mbeten dhe rubrika 56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[28] Numri i sallave në rrethe të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[29] Kuota fikse për sallë në rrethe të kategorisë II shumëzuar me numrin e sallave në rrethe të kategorisë II, rubrika [28] x 200.000 lekë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59 rezulton më e madhe se kjo vlerë plus rubrikën 31 atëherë këto rubrika bëhen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59 është më e vogël se këto vlera atëherë këto rubrika mbeten dhe rubrika 58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[30] Numri i makinave slot e videolotari në rrethe të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[31] Kuota fikse për makinë slot e videolotari shumëzuar për numrin e makinave slot e videolotari në rrethe të kategorisë II, rubrika [30] x 60.000 lekë por jo më pak se 600.000 lekë.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59 rezulton më e madhe se kjo vlerë plus rubrikën 29, atëherë këto rubrika bëhen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59 është më e vogël se këto vlera, atëherë këto rubrika mbeten dhe rubrika 58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[32] Numri i sallave në rrethe të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[33] Kuota fikse për sallë në rrethe të kategorisë III shumëzuar me numrin e sallave në rrethe të kategorisë III, rubrika [32] x 100.000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61 rezulton më e madhe se kjo vlerë plus rubrikën 35 atëherë këto rubrika bëhen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61 është më e vogël se këto vlera atëherë këto rubrika mbeten dhe rubrika 60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[34] Numri i makinave slot e videolotari në rrethe të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[35] Kuota fikse për makinë slot e videolotari shumëzuar për numrin e makinave slot e videolotari në rrethe të kategorisë III, rubrika [34] x 40.000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61 rezulton më e madhe se kjo vlerë plus rubrikën 35 atëherë këto rubrika bëhen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61 është më e vogël se këto vlera, atëherë këto rubrika mbeten dhe rubrika 60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[36] Numri i makinave elektronike me më shumë se një pozicion (ruletë).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[37] Kuota fikse për makinë elektronike me më shumë se një pozicion shumëzuar me numrin e makinave elektronike me më shumë se një pozicion (ruletë), rubrika [36] x1 000 000 lekë.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[38] Numri i pozicioneve në makinat elektronike me më shumë se një pozicion.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[39] Kuota fikse për pozicion në makinat elektronike me më shumë se një pozicion shumëzuar me numrin e pozicioneve në makinat elektronike me më shumë se një pozicion, rubrika [38] x 300 000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IV. KAZINO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[40] Numri i pozicioneve në tryezat me më shumë se një pozicion ruletë.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[41] Kuota fikse për pozicion shumëzuar me numrin e pozicioneve në tryezat me më shumë se një pozicion ruletë, rubrika [40] x 1 500 000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[42] Numri i tryezave të lojërave me letër dhe/ose me zare.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[43] Kuota fikse për çdo tryezë të lojërave me letër ose me zare shumëzuar me numrin e tryezave të lojërave me letër dhe/ose me zare, rubrika  [42] x 1 500 000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[44] Numri i kompjuterëve elektronikë për lojëra elektronike dhe videolotari në kazino.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[45] Kuota fikse për kompjuter elektronik shumëzuar me numrin e kompjuterëve elektronikë për lojëra elektronike dhe videolotari në kazino, rubrika [44] x 120 000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[46] Numri i kompjuterëve elektronikë në makinat slot me fitim në çast në kazino.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[47] Kuota fikse për kompjuter elektronik në makinat slot, me fitim në çast, shumëzuar me numrin e kompjuterëve elektronikë me fitim në çast në kazino, rubrika [46] x 120 000 lekë vlera.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V.</w:t>
      </w:r>
      <w:r>
        <w:rPr>
          <w:spacing w:val="-4"/>
          <w:lang w:val="sq-AL"/>
        </w:rPr>
        <w:tab/>
        <w:t>GARAT NË PISTË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[48] Kuota fikse për bastet e garave në pistë, vlera 2 000 000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[49] Numri i pikave të shitjes për bastet e garave në pistë.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[50] Kuota fikse për çdo pikë shitjeje shumëzuar me numrin e pikave të shitjes për baste të garave në pistë [49], rubrika 49 x 40 000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[51] Numri i kompjuterëve elektronikë ose pozicioneve të makinave elektronike të vendosura në mjediset e hipodromit për lojërat elektronike me fitim në çast.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[52] Kuota fikse për kompjuterët elektronikë apo pozicion të makinave elektronike të vendosura në mjediset e hipodromit për lojërat elektronike me fitim në çast shumëzuar me numrin e kompjuterëve elektronikë ose pozicioneve të makinave elektronike të vendosura në mjediset e hipodromit për lojërat elektronike me fitim në çast, rubrika [51] x 40 000 lekë.</w:t>
      </w:r>
    </w:p>
    <w:p w:rsidR="00EF2F6F" w:rsidRDefault="00EF2F6F" w:rsidP="00EF2F6F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SEKSIONI B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VI. BINGO TELEVIZIVE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[53] Vëllimi i qarkullimit për bingo që zhvillohen për pjesëmarrës brenda sallës.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[54] Norma e tatimit/e taksës në përqindje e përcaktuar me ligj [10%] shumëzuar me vëllimin e qarkullimit për bingo që zhvillohen për pjesëmarrës brenda sallës, rubrika [53] x 10%.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[II/1] BASTE SPORTIVE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[55] Fitimi nga loja shumëzuar me normën në përqindje të përcaktuar me ligj [25%].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rubrikat 15, 16, 17 rezultojnë më të mëdha se kjo vlerë,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rubrikat 15, 16, 17 janë më të vogla se kjo vlerë, atëherë kjo rubrikë mbetet dhe rubrikat 15, 16, 17 bëhen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[III/1] KAZINO ELEKTRONIKE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[56] Vëllimi i qarkullimit për sallat, makinat slot e videolotari për rrethet e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[57] Norma e tatimit/e taksës në përqindje e përcaktuar me ligj [4%] shumëzuar me vëllimin e qarkullimit për sallat, makinat slot e videolotari për rrethet e kategorisë I, rubrika [56] x 4%.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[58] Vëllimi i qarkullimit për sallat, makinat slot e videolotari për rrethet e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[59] Norma e tatimit/e taksës në përqindje e përcaktuar me ligj [4%] shumëzuar me vëllimin e qarkullimit për sallat, makinat slot e videolotari për rrethet e kategorisë II, rubrika  [58] x 4%.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[60] Vëllimi i qarkullimit për sallat, makinat slot e videolotari për rrethet e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[61] Norma e tatimit/e taksës në përqindje e përcaktuar me ligj [4%] shumëzuar me vëllimin e qarkullimit për sallat, makinat slot e videolotari për rrethet e kategorisë III, rubrika [60] x 4%.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VII. LOTARIA KOMBËTARE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[62] Vëllimi i qarkullimit për lotarinë kombëtare.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[63] Norma e tatimit/e taksës në përqindje e caktuar me ligj [10%] shumëzuar me vëllimin e qarkullimit për lotarinë kombëtare, rubrika [62] x 10%.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VIII. KAZINO ELEKTRONIKE NË DISTANCË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[64] Vëllimi i qarkullimit për kazinotë elektronike në distancë.</w:t>
      </w:r>
    </w:p>
    <w:p w:rsidR="00EF2F6F" w:rsidRDefault="00EF2F6F" w:rsidP="00EF2F6F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[65] Norma e tatimit/e taksës në përqindje e caktuar me ligj [1.5%] shumëzuar me vëllimin e qarkullimit për kazinotë elektronike në distancë, rubrika [64] x 1.5%, por jo më pak se 7 000 000 lekë. </w:t>
      </w:r>
    </w:p>
    <w:p w:rsidR="00EF2F6F" w:rsidRDefault="00EF2F6F" w:rsidP="00EF2F6F">
      <w:pPr>
        <w:pStyle w:val="Paragrafi"/>
        <w:rPr>
          <w:spacing w:val="-6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[IV/1] KAZINO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[66] Vëllimi i qarkullimit për tryezat me më shumë se një pozicion (ruletë).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[67] Norma e tatimit/e taksës në përqindje e përcaktuar me ligj [12%] shumëzuar me vëllimin e qarkullimit për tryezat me më shumë se një pozicion (ruletë), rubrika [66] x 12%.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[68] Vëllimi i qarkullimit për tryezat e lojërave me letër dhe/ose me zare.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[69] Norma e tatimit/e taksës në përqindje e përcaktuar me ligj [12%] shumëzuar me vëllimin e qarkullimit për tryezat e lojërave me letër dhe/ose me zare, rubrika [68] x 12%.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[70] Vëllimi i qarkullimit për lojërat elektronike dhe videolotaritë të vendosura në mjediset e kazinosë.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[71] Norma e tatimit/e taksës në përqindje e miratuar me ligj [4%] shumëzuar me vëllimin e qarkullimit për lojërat elektronike dhe videolotaritë të vendosura në mjediset e kazinosë, rubrika [70] x 4%.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[72] Vëllimi i qarkullimit për makinat slot me fitim në çast të vendosura në mjediset e kazinosë.</w:t>
      </w:r>
    </w:p>
    <w:p w:rsidR="00EF2F6F" w:rsidRDefault="00EF2F6F" w:rsidP="00EF2F6F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[73] Norma e tatimit/e taksës në përqindje e miratuar me ligj [4%] shumëzuar me vëllimin e qarkullimit për makinat slot me fitim në çast të vendosura në mjediset e kazinosë, rubrika [72] x 4%.</w:t>
      </w:r>
    </w:p>
    <w:p w:rsidR="00EF2F6F" w:rsidRDefault="00EF2F6F" w:rsidP="00EF2F6F">
      <w:pPr>
        <w:pStyle w:val="Paragrafi"/>
        <w:ind w:firstLine="0"/>
        <w:rPr>
          <w:rFonts w:eastAsia="Times New Roman" w:cs="Times New Roman"/>
          <w:bCs/>
          <w:i/>
          <w:iCs/>
          <w:spacing w:val="-4"/>
          <w:sz w:val="10"/>
          <w:lang w:val="sq-AL"/>
        </w:rPr>
      </w:pPr>
    </w:p>
    <w:p w:rsidR="00EF2F6F" w:rsidRDefault="00EF2F6F" w:rsidP="00EF2F6F">
      <w:pPr>
        <w:pStyle w:val="Paragrafi"/>
        <w:ind w:firstLine="0"/>
        <w:jc w:val="center"/>
        <w:rPr>
          <w:rFonts w:cs="Times New Roman"/>
          <w:b/>
          <w:spacing w:val="-4"/>
          <w:lang w:val="sq-AL"/>
        </w:rPr>
      </w:pPr>
      <w:r>
        <w:rPr>
          <w:rFonts w:eastAsia="Times New Roman" w:cs="Times New Roman"/>
          <w:b/>
          <w:bCs/>
          <w:i/>
          <w:iCs/>
          <w:spacing w:val="-4"/>
          <w:lang w:val="sq-AL"/>
        </w:rPr>
        <w:t>Seksioni “C” dhe seksioni “C”/1 plotësohet vetëm nga tatimpaguesit dhe lojërat e fatit të përfshira në Sistemin Qendror të Monitorimit Online (SQMO)</w:t>
      </w:r>
    </w:p>
    <w:p w:rsidR="00EF2F6F" w:rsidRDefault="00EF2F6F" w:rsidP="00EF2F6F">
      <w:pPr>
        <w:pStyle w:val="Paragrafi"/>
        <w:rPr>
          <w:rFonts w:cs="Times New Roman"/>
          <w:spacing w:val="-4"/>
          <w:sz w:val="6"/>
          <w:lang w:val="sq-AL"/>
        </w:rPr>
      </w:pPr>
    </w:p>
    <w:p w:rsidR="00EF2F6F" w:rsidRDefault="00EF2F6F" w:rsidP="00EF2F6F">
      <w:pPr>
        <w:pStyle w:val="Paragrafi"/>
        <w:rPr>
          <w:rFonts w:cs="Times New Roman"/>
          <w:b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SEKSIONI C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IX. BASTE SPORTIVE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[74] Numri i pikave sportive të hapura për baste sportive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[75] Niveli fiks për çdo pikë (kufiri minimal i taksës përcaktuar me ligj) i shumëzuar me numrin e pikave sportive, rubrika [74] x 40 000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90 rezulton më e madhe se kjo vlerë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90 është më e vogël se kjo vlerë, atëherë plotësohet kjo rubrikë dhe dhe rubrika 90 bëhet 0.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X. KAZINO, KAZINO ME 5 YJE, RESORT KAZINO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[76] Numri i pozicione në tryeza me më shumë se një pozicion, ruletë.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[77] Niveli fiks i taksës për çdo pikë (kufiri minimal i taksës përcaktuar me ligj) shumëzuar me nr. e pozicioneve në tryeza me më shumë se një pozicion, ruletë, rubrika [76] x  300 000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96 rezulton më e madhe se kjo vlerë atëherë kjo rubrikë bëhet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96 është më e vogël se kjo vlerë, atëherë plotësohet kjo rubrikë dhe rubrika 96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[78] Nr. i tryezave të lojërave me letër dhe ose me zare.</w:t>
      </w:r>
    </w:p>
    <w:p w:rsidR="00EF2F6F" w:rsidRDefault="00EF2F6F" w:rsidP="00EF2F6F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[79] Niveli fiks i taksës për çdo pikë (kufiri minimal i taksës përcaktuar me ligj) shumëzuar me  nr. e </w:t>
      </w:r>
      <w:r>
        <w:rPr>
          <w:rFonts w:eastAsia="Times New Roman" w:cs="Times New Roman"/>
          <w:spacing w:val="-4"/>
          <w:lang w:val="sq-AL"/>
        </w:rPr>
        <w:t>tryezave  të lojërave me letër dhe ose me zare, rubrika [78] x 1 500 000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98 rezulton më e madhe se kjo vlerë atëherë kjo rubrikë bëhet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98 është më e vogël se kjo vlerë, atëherë plotësohet kjo rubrikë dhe rubrika 98 bëhet 0.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[80] Nr. i makinave elektronike në kazino me 5 yje.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[81] Kuota fikse e taksës sipas ligjit shumëzuar me nr. e makinave elektronike në kazino me 5 yje, rubrika [80] x 140 000 lekë.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* Kjo rubrikë plotësohet një herë në vit në deklaratën e muajit janar, si një detyrim vjetor për vitin pararendës.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XI. BASTE GARA NË PISTË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[82] Kuota fikse sipas ligjit në vlerën 2 000 000 lekë.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[83] Numri i pikave të shitjes në baste gara në pistë.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[84] Niveli fiks i taksës për pikë i shumëzuar me numrin e pikave të bastit gara në pistë, rubrika [83] x 40 000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[85] Nr. i kompjuterave elektronikë ose pozicione të makinës elektronike në lojërat elektronike me fitim në çast në bastet sportive gara në pistë. </w:t>
      </w:r>
    </w:p>
    <w:p w:rsidR="00EF2F6F" w:rsidRDefault="00EF2F6F" w:rsidP="00EF2F6F">
      <w:pPr>
        <w:pStyle w:val="Paragrafi"/>
        <w:rPr>
          <w:spacing w:val="-4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[86] Niveli fiks i taksës për çdo kompjuter ose pozicion të makinës elektronike shumëzuar me nr. e kompjuterave elektronikë ose pozicione të makinës elektronike në lojërat elektronike me fitim në çast, në bastet sportive gara në pistë, rubrika [85] x 40 000. </w:t>
      </w:r>
    </w:p>
    <w:p w:rsidR="00EF2F6F" w:rsidRDefault="00EF2F6F" w:rsidP="00EF2F6F">
      <w:pPr>
        <w:pStyle w:val="Paragrafi"/>
        <w:rPr>
          <w:rFonts w:cs="Times New Roman"/>
          <w:b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SEKSIONI C.1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XII. BINGO TELEVIZIVE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[87] Të ardhurat bruto të realizuara për bingo televizive për periudhën për të cilën paguhet taksa.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[88] Norma e taksës në %, e përcaktuar me ligj, shumëzuar me të ardhurat bruto, rubrika [87] x 15% mbi të ardhurat bruto.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XIII. BASTE SPORTIVE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[89] Të ardhurat bruto të realizuara për baste sportive për periudhën për të cilën paguhet taksa.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[90] Norma e taksës në %, e përcaktuar me ligj, për baste sportive shumëzuar me të ardhurat bruto, rubrika [89] x 15%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XIV. LOTARI KOMBËTARE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[91] Të ardhurat bruto të realizuara për lotari kombëtare për periudhën për të cilën paguhet taksa.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[92] Norma e taksës në %, e përcaktuar me ligj, për lotarinë kombëtare shumëzuar me të ardhurat bruto, rubrika [91] x 15%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XV LOJË ELEKTRONIKE NË DISTANCË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[93]. Të ardhurat bruto të realizuara për lojë elektronike në distancë për periudhën për të cilën paguhet taksa.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[94] Norma e taksës në %, e përcaktuar me ligj, për lojë elektronike në distancë shumëzuar me të ardhurat bruto, rubrika [93] x 15 % mbi të ardhurat bruto.</w:t>
      </w:r>
    </w:p>
    <w:p w:rsidR="00EF2F6F" w:rsidRDefault="00EF2F6F" w:rsidP="00EF2F6F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XVI. KAZINO/KAZINO ME 5 YJE/RESORT KAZINO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[95] Vëllimi i qarkullimit i realizuar për periudhën për të cilën paguhet taksa për tryezat me më shumë se një pozicion, ruletë.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[96] Norma e taksës në %, e përcaktuar me ligj, shumëzuar me vëllimin e qarkullimit të realizuar për periudhën për të cilën paguhet taksa për tryezat me më shumë se një pozicion, ruletë, rubrika [95] x 12% mbi vëllimin e qarkullimit.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[97] Vëllimi i qarkullimit i realizuar për periudhën për të cilën paguhet për tryezat të lojërave me letër dhe ose me zare.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[98] Norma e taksës në %, e përcaktuar me ligj, shumëzuar me vëllimin e qarkullimit i realizuar për periudhën për të cilën paguhet taksa për tryezat të lojërave me letër dhe ose me zare, rubrika [97] x 12% mbi vëllimin e qarkullimit.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[99] Të ardhura bruto të realizuara për periudhën për të cilën paguhet taksa për lojërat elektronike dhe videolotari në kazino.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[100] Norma e taksës në %, e përcaktuar me ligj, shumëzuar me të ardhura bruto të realizuara për periudhën për të cilën paguhet taksa për lojërat elektronike dhe videolotari në kazino, rubrika [99] x 25%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[101] Të ardhura bruto të realizuara për periudhën për të cilën paguhet taksa për makinat slot me fitim në çast.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[102] Norma e taksës në %, e përcaktuar me ligj, shumëzuar me të ardhura bruto të realizuara për periudhën për të cilën paguhet taksa për makinat slot me fitim në çast, rubrika [101] x 25%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XVII. KAZINO ELEKTRONIKE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[103] Të ardhurat bruto të realizuara për periudhën për të cilën paguhet taksa për çdo makinë elektronike të tipit slot, videolotari.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[104] Norma e taksës në %, e përcaktuar me ligj, shumëzuar me të ardhurat bruto të realizuara për periudhën për të cilët paguhet taksa për çdo makinë elektronike të tipit slot, videolotari, rubrika [103] x 15%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[105] Tatimi për t’u paguar është shuma e kutive të kolonës “detyrimi”. Pra, shuma e rubrikave: tatimi për t’u paguar = 10 + 12 + 14 + 15 + 16 + 17 + 19 + 21 + 23 + 25 + 27 + 29 + 31 + 33 + 35 + 37 + 39 + 41 + 43 + 45 + 47 + 48 + 50 + 52 + 54 + 55 + 57 + 59 + 61 + 63 + 65 + 67 + 69 + 71 + 73 + 75 + 77 + 79 + 81 + 82 + 84 + 86 + 88 + 90 + 92 + 94 + 96 + 98 + 100 + 102 + 104).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[106] Dënime/interesa për vonesa janë dënimet dhe interesat për vonesat në deklarim ose pagesë që mund të llogariten paraprakisht dhe që mund të paguhen me deklaratën.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[107] Totali për t’u paguar është shuma e tatimit për t’u paguar (kutia 105) me dënimet dhe interesat e llogaritura me deklaratën (kutia 106), (107=105+106). </w:t>
      </w:r>
    </w:p>
    <w:p w:rsidR="00490EEA" w:rsidRDefault="00490EEA"/>
    <w:sectPr w:rsidR="00490EEA" w:rsidSect="00EF2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29"/>
    <w:rsid w:val="00161BA9"/>
    <w:rsid w:val="00490EEA"/>
    <w:rsid w:val="007F5D38"/>
    <w:rsid w:val="00841729"/>
    <w:rsid w:val="00EF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F6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F2F6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F2F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F2F6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F2F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2F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A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F6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F2F6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F2F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F2F6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F2F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2F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A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3708</Words>
  <Characters>21139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2018-05-17T14:31:00Z</cp:lastPrinted>
  <dcterms:created xsi:type="dcterms:W3CDTF">2018-05-17T14:28:00Z</dcterms:created>
  <dcterms:modified xsi:type="dcterms:W3CDTF">2018-05-18T06:28:00Z</dcterms:modified>
</cp:coreProperties>
</file>