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2F6F" w:rsidRDefault="00EF2F6F" w:rsidP="00EF2F6F">
      <w:pPr>
        <w:pStyle w:val="NeniTitull"/>
        <w:rPr>
          <w:lang w:val="sq-AL"/>
        </w:rPr>
      </w:pPr>
      <w:r>
        <w:rPr>
          <w:lang w:val="sq-AL"/>
        </w:rPr>
        <w:t>UDHËZIM</w:t>
      </w:r>
    </w:p>
    <w:p w:rsidR="00EF2F6F" w:rsidRDefault="00EF2F6F" w:rsidP="00EF2F6F">
      <w:pPr>
        <w:pStyle w:val="NeniTitull"/>
        <w:rPr>
          <w:lang w:val="sq-AL"/>
        </w:rPr>
      </w:pPr>
      <w:r>
        <w:rPr>
          <w:lang w:val="sq-AL"/>
        </w:rPr>
        <w:t>Nr. 18, datë 14.5.2018</w:t>
      </w:r>
    </w:p>
    <w:p w:rsidR="00EF2F6F" w:rsidRDefault="00EF2F6F" w:rsidP="00EF2F6F">
      <w:pPr>
        <w:pStyle w:val="NeniTitull"/>
        <w:rPr>
          <w:sz w:val="14"/>
          <w:lang w:val="sq-AL"/>
        </w:rPr>
      </w:pPr>
    </w:p>
    <w:p w:rsidR="00EF2F6F" w:rsidRDefault="00EF2F6F" w:rsidP="00EF2F6F">
      <w:pPr>
        <w:pStyle w:val="NeniTitull"/>
        <w:rPr>
          <w:lang w:val="sq-AL"/>
        </w:rPr>
      </w:pPr>
      <w:r>
        <w:rPr>
          <w:lang w:val="sq-AL"/>
        </w:rPr>
        <w:t>PËR FORMATIN E FORMULARIT TË DEKLARIMIT DHE PAGESËS SË TATIMIT MBI LOJËRAT E FATIT</w:t>
      </w:r>
    </w:p>
    <w:p w:rsidR="00EF2F6F" w:rsidRDefault="00EF2F6F" w:rsidP="00EF2F6F">
      <w:pPr>
        <w:pStyle w:val="Paragrafi"/>
        <w:rPr>
          <w:sz w:val="14"/>
          <w:lang w:val="sq-AL"/>
        </w:rPr>
      </w:pPr>
    </w:p>
    <w:p w:rsidR="00D30829" w:rsidRDefault="00D30829" w:rsidP="00D30829">
      <w:pPr>
        <w:pStyle w:val="Paragrafi"/>
        <w:jc w:val="center"/>
        <w:rPr>
          <w:i/>
          <w:lang w:val="sq-AL"/>
        </w:rPr>
      </w:pPr>
      <w:r w:rsidRPr="00D30829">
        <w:rPr>
          <w:i/>
          <w:lang w:val="sq-AL"/>
        </w:rPr>
        <w:t>(Ndryshuar me udh</w:t>
      </w:r>
      <w:r w:rsidR="0016234B">
        <w:rPr>
          <w:i/>
          <w:lang w:val="sq-AL"/>
        </w:rPr>
        <w:t>ë</w:t>
      </w:r>
      <w:r w:rsidRPr="00D30829">
        <w:rPr>
          <w:i/>
          <w:lang w:val="sq-AL"/>
        </w:rPr>
        <w:t>zimin nr. 23, datë 28.10.2025</w:t>
      </w:r>
      <w:r>
        <w:rPr>
          <w:i/>
          <w:lang w:val="sq-AL"/>
        </w:rPr>
        <w:t>)</w:t>
      </w:r>
    </w:p>
    <w:p w:rsidR="00D30829" w:rsidRDefault="00D30829" w:rsidP="00D30829">
      <w:pPr>
        <w:pStyle w:val="Paragrafi"/>
        <w:jc w:val="right"/>
        <w:rPr>
          <w:i/>
          <w:lang w:val="sq-AL"/>
        </w:rPr>
      </w:pPr>
      <w:r>
        <w:rPr>
          <w:i/>
          <w:lang w:val="sq-AL"/>
        </w:rPr>
        <w:t>(I p</w:t>
      </w:r>
      <w:r w:rsidR="0016234B">
        <w:rPr>
          <w:i/>
          <w:lang w:val="sq-AL"/>
        </w:rPr>
        <w:t>ë</w:t>
      </w:r>
      <w:r>
        <w:rPr>
          <w:i/>
          <w:lang w:val="sq-AL"/>
        </w:rPr>
        <w:t>rdit</w:t>
      </w:r>
      <w:r w:rsidR="0016234B">
        <w:rPr>
          <w:i/>
          <w:lang w:val="sq-AL"/>
        </w:rPr>
        <w:t>ë</w:t>
      </w:r>
      <w:r>
        <w:rPr>
          <w:i/>
          <w:lang w:val="sq-AL"/>
        </w:rPr>
        <w:t>suar)</w:t>
      </w:r>
    </w:p>
    <w:p w:rsidR="00D30829" w:rsidRPr="00D30829" w:rsidRDefault="00D30829" w:rsidP="00D30829">
      <w:pPr>
        <w:pStyle w:val="Paragrafi"/>
        <w:jc w:val="right"/>
        <w:rPr>
          <w:i/>
          <w:lang w:val="sq-AL"/>
        </w:rPr>
      </w:pPr>
    </w:p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>Në mbështetje të pikës 4, të nenit 102, të Kushtetutës së Republikës së Shqipërisë; të nenit 64, pika 4 të ligjit nr. 9920, datë 19.5.2008, “Për procedurat tatimore në Republikën e Shqipërisë”, të ndryshuar, ministri i Financave dhe Ekonomisë</w:t>
      </w:r>
    </w:p>
    <w:p w:rsidR="00EF2F6F" w:rsidRDefault="00EF2F6F" w:rsidP="00EF2F6F">
      <w:pPr>
        <w:pStyle w:val="Paragrafi"/>
        <w:rPr>
          <w:sz w:val="14"/>
          <w:lang w:val="sq-AL"/>
        </w:rPr>
      </w:pPr>
    </w:p>
    <w:p w:rsidR="00EF2F6F" w:rsidRDefault="00EF2F6F" w:rsidP="00EF2F6F">
      <w:pPr>
        <w:pStyle w:val="NeniNr"/>
        <w:rPr>
          <w:lang w:val="sq-AL"/>
        </w:rPr>
      </w:pPr>
      <w:r>
        <w:rPr>
          <w:lang w:val="sq-AL"/>
        </w:rPr>
        <w:t>UDHËZON:</w:t>
      </w:r>
    </w:p>
    <w:p w:rsidR="00EF2F6F" w:rsidRDefault="00EF2F6F" w:rsidP="00EF2F6F">
      <w:pPr>
        <w:pStyle w:val="Paragrafi"/>
        <w:rPr>
          <w:sz w:val="14"/>
          <w:lang w:val="sq-AL"/>
        </w:rPr>
      </w:pPr>
    </w:p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>1. Miratimin e formularit të deklarimit dhe pagesës së tatimit mbi lojërat e fatit, sipas formatit bashkëlidhur këtij udhëzimi.</w:t>
      </w:r>
    </w:p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 xml:space="preserve">2. Formati i formularit përmbledh 3 (tri) fletë formati me dimension A4. Formatit të formularit i bashkëlidhet udhëzuesi sqarues, i cili përmbledh 5 (pesë) fletë formati me dimension A4. </w:t>
      </w:r>
    </w:p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>3. Udhëzimi i ministrit të Financave nr. 27, datë 25.11.2013, “Për formatin e formularit të deklarimit dhe pagesës së tatimit mbi lojërat e fatit”, shfuqizohet.</w:t>
      </w:r>
    </w:p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>Ky udhëzim hyn në fuqi pas botimit në Fletoren Zyrtare.</w:t>
      </w:r>
    </w:p>
    <w:p w:rsidR="00EF2F6F" w:rsidRDefault="00EF2F6F" w:rsidP="00EF2F6F">
      <w:pPr>
        <w:pStyle w:val="Paragrafi"/>
        <w:ind w:firstLine="0"/>
        <w:rPr>
          <w:sz w:val="14"/>
          <w:lang w:val="sq-AL"/>
        </w:rPr>
      </w:pPr>
    </w:p>
    <w:p w:rsidR="00EF2F6F" w:rsidRDefault="00EF2F6F" w:rsidP="00EF2F6F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FINANCAVE </w:t>
      </w:r>
    </w:p>
    <w:p w:rsidR="00EF2F6F" w:rsidRDefault="00EF2F6F" w:rsidP="00EF2F6F">
      <w:pPr>
        <w:pStyle w:val="Paragrafi"/>
        <w:jc w:val="right"/>
        <w:rPr>
          <w:lang w:val="sq-AL"/>
        </w:rPr>
      </w:pPr>
      <w:bookmarkStart w:id="0" w:name="_GoBack"/>
      <w:bookmarkEnd w:id="0"/>
      <w:r>
        <w:rPr>
          <w:lang w:val="sq-AL"/>
        </w:rPr>
        <w:t>DHE EKONOMISË</w:t>
      </w:r>
    </w:p>
    <w:p w:rsidR="00EF2F6F" w:rsidRDefault="00EF2F6F" w:rsidP="00EF2F6F">
      <w:pPr>
        <w:pStyle w:val="Paragrafi"/>
        <w:jc w:val="right"/>
        <w:rPr>
          <w:b/>
          <w:bCs/>
          <w:spacing w:val="-1"/>
          <w:lang w:val="sq-AL"/>
        </w:rPr>
      </w:pPr>
      <w:r>
        <w:rPr>
          <w:b/>
          <w:bCs/>
          <w:spacing w:val="-1"/>
          <w:lang w:val="sq-AL"/>
        </w:rPr>
        <w:t>Arben Ahmetaj</w:t>
      </w:r>
    </w:p>
    <w:p w:rsidR="00EF2F6F" w:rsidRDefault="00EF2F6F" w:rsidP="00EF2F6F">
      <w:pPr>
        <w:pStyle w:val="Paragrafi"/>
        <w:jc w:val="right"/>
        <w:rPr>
          <w:b/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spacing w:after="0" w:line="240" w:lineRule="auto"/>
        <w:ind w:firstLine="0"/>
        <w:jc w:val="left"/>
        <w:rPr>
          <w:rFonts w:ascii="Garamond" w:eastAsia="MS Mincho" w:hAnsi="Garamond" w:cs="CG Times"/>
          <w:bCs/>
          <w:spacing w:val="-1"/>
          <w:sz w:val="24"/>
          <w:lang w:val="sq-AL"/>
        </w:rPr>
        <w:sectPr w:rsidR="00EF2F6F" w:rsidSect="00EF2F6F">
          <w:pgSz w:w="11907" w:h="16840"/>
          <w:pgMar w:top="720" w:right="1134" w:bottom="720" w:left="1134" w:header="851" w:footer="851" w:gutter="0"/>
          <w:cols w:space="454"/>
        </w:sect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p w:rsidR="00EF2F6F" w:rsidRDefault="00EF2F6F" w:rsidP="00EF2F6F">
      <w:pPr>
        <w:pStyle w:val="Paragrafi"/>
        <w:rPr>
          <w:bCs/>
          <w:spacing w:val="-1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639"/>
      </w:tblGrid>
      <w:tr w:rsidR="00EF2F6F" w:rsidTr="00EF2F6F">
        <w:trPr>
          <w:trHeight w:val="300"/>
        </w:trPr>
        <w:tc>
          <w:tcPr>
            <w:tcW w:w="0" w:type="auto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lang w:val="sq-AL"/>
              </w:rPr>
            </w:pPr>
            <w:r>
              <w:rPr>
                <w:lang w:val="sq-AL"/>
              </w:rPr>
              <w:t>FORMULAR I DEKLARIMIT DHE PAGESËS                   Numri i vendosjes së dokumentit (NVD)</w:t>
            </w:r>
          </w:p>
        </w:tc>
      </w:tr>
      <w:tr w:rsidR="00EF2F6F" w:rsidTr="00EF2F6F">
        <w:trPr>
          <w:trHeight w:val="300"/>
        </w:trPr>
        <w:tc>
          <w:tcPr>
            <w:tcW w:w="0" w:type="auto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>SË TATIMIT MBI LOJËRAT E FATIT                                   (Vetëm për përdorim zyrtar)</w:t>
            </w:r>
          </w:p>
        </w:tc>
      </w:tr>
      <w:tr w:rsidR="00EF2F6F" w:rsidTr="00EF2F6F">
        <w:trPr>
          <w:trHeight w:val="297"/>
        </w:trPr>
        <w:tc>
          <w:tcPr>
            <w:tcW w:w="0" w:type="auto"/>
            <w:vAlign w:val="center"/>
          </w:tcPr>
          <w:p w:rsidR="00EF2F6F" w:rsidRDefault="00EF2F6F">
            <w:pPr>
              <w:pStyle w:val="Paragrafi"/>
              <w:spacing w:line="276" w:lineRule="auto"/>
              <w:rPr>
                <w:lang w:val="sq-AL"/>
              </w:rPr>
            </w:pPr>
          </w:p>
        </w:tc>
      </w:tr>
    </w:tbl>
    <w:p w:rsidR="00EF2F6F" w:rsidRDefault="00EF2F6F" w:rsidP="00EF2F6F">
      <w:pPr>
        <w:pStyle w:val="Paragrafi"/>
        <w:rPr>
          <w:lang w:val="sq-AL"/>
        </w:rPr>
      </w:pPr>
      <w:r>
        <w:rPr>
          <w:rFonts w:eastAsia="Calibri"/>
          <w:lang w:val="sq-AL"/>
        </w:rPr>
        <w:t xml:space="preserve">                                    [2] Periudha tatimore</w:t>
      </w:r>
    </w:p>
    <w:tbl>
      <w:tblPr>
        <w:tblpPr w:leftFromText="180" w:rightFromText="180" w:bottomFromText="200" w:vertAnchor="text" w:horzAnchor="page" w:tblpX="5105" w:tblpY="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2"/>
      </w:tblGrid>
      <w:tr w:rsidR="00EF2F6F" w:rsidTr="00EF2F6F">
        <w:trPr>
          <w:trHeight w:val="841"/>
        </w:trPr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6F" w:rsidRDefault="00EF2F6F">
            <w:pPr>
              <w:pStyle w:val="Paragrafi"/>
              <w:spacing w:line="276" w:lineRule="auto"/>
              <w:rPr>
                <w:rFonts w:eastAsia="Calibri"/>
                <w:color w:val="000000"/>
                <w:lang w:val="sq-AL"/>
              </w:rPr>
            </w:pPr>
          </w:p>
          <w:p w:rsidR="00EF2F6F" w:rsidRDefault="00EF2F6F">
            <w:pPr>
              <w:pStyle w:val="Paragrafi"/>
              <w:spacing w:line="276" w:lineRule="auto"/>
              <w:rPr>
                <w:rFonts w:eastAsia="Calibri"/>
                <w:color w:val="000000"/>
                <w:lang w:val="sq-AL"/>
              </w:rPr>
            </w:pPr>
            <w:r>
              <w:rPr>
                <w:rFonts w:eastAsia="Calibri"/>
                <w:color w:val="000000"/>
                <w:lang w:val="sq-AL"/>
              </w:rPr>
              <w:t>[1] Numri Serial:  _________________________________________</w:t>
            </w:r>
          </w:p>
          <w:p w:rsidR="00EF2F6F" w:rsidRDefault="00EF2F6F">
            <w:pPr>
              <w:pStyle w:val="Paragrafi"/>
              <w:spacing w:line="276" w:lineRule="auto"/>
              <w:rPr>
                <w:rFonts w:eastAsia="Calibri"/>
                <w:lang w:val="sq-AL"/>
              </w:rPr>
            </w:pPr>
          </w:p>
        </w:tc>
      </w:tr>
    </w:tbl>
    <w:p w:rsidR="00EF2F6F" w:rsidRDefault="00EF2F6F" w:rsidP="00EF2F6F">
      <w:pPr>
        <w:pStyle w:val="Paragrafi"/>
        <w:rPr>
          <w:lang w:val="sq-AL"/>
        </w:rPr>
      </w:pPr>
      <w:r>
        <w:rPr>
          <w:noProof/>
        </w:rPr>
        <w:drawing>
          <wp:inline distT="0" distB="0" distL="0" distR="0">
            <wp:extent cx="942975" cy="723900"/>
            <wp:effectExtent l="0" t="0" r="9525" b="0"/>
            <wp:docPr id="1" name="Picture 1" descr="small_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mall_m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F6F" w:rsidRDefault="00EF2F6F" w:rsidP="00EF2F6F">
      <w:pPr>
        <w:pStyle w:val="Paragrafi"/>
        <w:rPr>
          <w:rFonts w:eastAsia="Calibri"/>
          <w:color w:val="000000"/>
          <w:lang w:val="sq-AL"/>
        </w:rPr>
      </w:pPr>
      <w:r>
        <w:rPr>
          <w:rFonts w:eastAsia="Calibri"/>
          <w:lang w:val="sq-AL"/>
        </w:rPr>
        <w:t xml:space="preserve">                        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EF2F6F" w:rsidTr="00EF2F6F">
        <w:trPr>
          <w:trHeight w:val="1859"/>
          <w:jc w:val="center"/>
        </w:trPr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rFonts w:eastAsia="Calibri"/>
                <w:sz w:val="20"/>
                <w:szCs w:val="20"/>
                <w:lang w:val="sq-AL"/>
              </w:rPr>
            </w:pPr>
            <w:r>
              <w:rPr>
                <w:rFonts w:eastAsia="Calibri"/>
                <w:sz w:val="20"/>
                <w:szCs w:val="20"/>
                <w:lang w:val="sq-AL"/>
              </w:rPr>
              <w:t>Numri i identifikimit i personit të tatueshëm (NIPT):                             [3]________________________</w:t>
            </w:r>
          </w:p>
          <w:p w:rsidR="00EF2F6F" w:rsidRDefault="00EF2F6F">
            <w:pPr>
              <w:pStyle w:val="Paragrafi"/>
              <w:spacing w:line="276" w:lineRule="auto"/>
              <w:ind w:firstLine="0"/>
              <w:rPr>
                <w:rFonts w:eastAsia="Calibri"/>
                <w:sz w:val="20"/>
                <w:szCs w:val="20"/>
                <w:lang w:val="sq-AL"/>
              </w:rPr>
            </w:pPr>
            <w:r>
              <w:rPr>
                <w:rFonts w:eastAsia="Calibri"/>
                <w:sz w:val="20"/>
                <w:szCs w:val="20"/>
                <w:lang w:val="sq-AL"/>
              </w:rPr>
              <w:t>Emri tregtar i personit të tatueshëm:                                                       [4]________________________</w:t>
            </w:r>
          </w:p>
          <w:p w:rsidR="00EF2F6F" w:rsidRDefault="00EF2F6F">
            <w:pPr>
              <w:pStyle w:val="Paragrafi"/>
              <w:spacing w:line="276" w:lineRule="auto"/>
              <w:ind w:firstLine="0"/>
              <w:rPr>
                <w:rFonts w:eastAsia="Calibri"/>
                <w:sz w:val="20"/>
                <w:szCs w:val="20"/>
                <w:lang w:val="sq-AL"/>
              </w:rPr>
            </w:pPr>
            <w:r>
              <w:rPr>
                <w:rFonts w:eastAsia="Calibri"/>
                <w:sz w:val="20"/>
                <w:szCs w:val="20"/>
                <w:lang w:val="sq-AL"/>
              </w:rPr>
              <w:t>Emri, mbiemri i personit fizik:                                                                 [5]________________________</w:t>
            </w:r>
          </w:p>
          <w:p w:rsidR="00EF2F6F" w:rsidRDefault="00EF2F6F">
            <w:pPr>
              <w:pStyle w:val="Paragrafi"/>
              <w:spacing w:line="276" w:lineRule="auto"/>
              <w:ind w:firstLine="0"/>
              <w:rPr>
                <w:rFonts w:eastAsia="Calibri"/>
                <w:sz w:val="20"/>
                <w:szCs w:val="20"/>
                <w:lang w:val="sq-AL"/>
              </w:rPr>
            </w:pPr>
            <w:r>
              <w:rPr>
                <w:rFonts w:eastAsia="Calibri"/>
                <w:sz w:val="20"/>
                <w:szCs w:val="20"/>
                <w:lang w:val="sq-AL"/>
              </w:rPr>
              <w:t>Adresa:                                                                                                     [6]________________________</w:t>
            </w:r>
          </w:p>
          <w:p w:rsidR="00EF2F6F" w:rsidRDefault="00EF2F6F">
            <w:pPr>
              <w:pStyle w:val="Paragrafi"/>
              <w:spacing w:line="276" w:lineRule="auto"/>
              <w:ind w:firstLine="0"/>
              <w:rPr>
                <w:rFonts w:eastAsia="Calibri"/>
                <w:sz w:val="20"/>
                <w:szCs w:val="20"/>
                <w:lang w:val="sq-AL"/>
              </w:rPr>
            </w:pPr>
            <w:r>
              <w:rPr>
                <w:rFonts w:eastAsia="Calibri"/>
                <w:sz w:val="20"/>
                <w:szCs w:val="20"/>
                <w:lang w:val="sq-AL"/>
              </w:rPr>
              <w:t>Qyteti/komuna/rrethi:                                                                               ________________________</w:t>
            </w:r>
          </w:p>
          <w:p w:rsidR="00EF2F6F" w:rsidRDefault="00EF2F6F">
            <w:pPr>
              <w:pStyle w:val="Paragrafi"/>
              <w:spacing w:line="276" w:lineRule="auto"/>
              <w:ind w:firstLine="0"/>
              <w:rPr>
                <w:rFonts w:eastAsia="Calibri"/>
                <w:sz w:val="20"/>
                <w:szCs w:val="20"/>
                <w:lang w:val="sq-AL"/>
              </w:rPr>
            </w:pPr>
            <w:r>
              <w:rPr>
                <w:rFonts w:eastAsia="Calibri"/>
                <w:sz w:val="20"/>
                <w:szCs w:val="20"/>
                <w:lang w:val="sq-AL"/>
              </w:rPr>
              <w:t>Numri i telefonit:                                                                                      [7]________________________</w:t>
            </w:r>
          </w:p>
          <w:p w:rsidR="00EF2F6F" w:rsidRDefault="00EF2F6F">
            <w:pPr>
              <w:pStyle w:val="Paragrafi"/>
              <w:spacing w:line="276" w:lineRule="auto"/>
              <w:ind w:firstLine="0"/>
              <w:rPr>
                <w:rFonts w:eastAsia="Calibri"/>
                <w:sz w:val="20"/>
                <w:szCs w:val="20"/>
                <w:lang w:val="sq-AL"/>
              </w:rPr>
            </w:pPr>
            <w:r>
              <w:rPr>
                <w:rFonts w:eastAsia="Calibri"/>
                <w:sz w:val="20"/>
                <w:szCs w:val="20"/>
                <w:lang w:val="sq-AL"/>
              </w:rPr>
              <w:t xml:space="preserve">                                                                                                                             </w:t>
            </w:r>
          </w:p>
          <w:p w:rsidR="00EF2F6F" w:rsidRDefault="00EF2F6F">
            <w:pPr>
              <w:pStyle w:val="Paragrafi"/>
              <w:spacing w:line="276" w:lineRule="auto"/>
              <w:ind w:firstLine="0"/>
              <w:rPr>
                <w:rFonts w:eastAsia="Calibri"/>
                <w:sz w:val="20"/>
                <w:szCs w:val="20"/>
                <w:lang w:val="sq-AL"/>
              </w:rPr>
            </w:pPr>
            <w:r>
              <w:rPr>
                <w:rFonts w:eastAsia="Calibri"/>
                <w:sz w:val="20"/>
                <w:szCs w:val="20"/>
                <w:lang w:val="sq-AL"/>
              </w:rPr>
              <w:t>Lajmëroni nëse informacioni i mësipërm është jo i plotë ose ka ndryshuar.</w:t>
            </w:r>
          </w:p>
          <w:p w:rsidR="00EF2F6F" w:rsidRDefault="00EF2F6F">
            <w:pPr>
              <w:pStyle w:val="Paragrafi"/>
              <w:spacing w:line="276" w:lineRule="auto"/>
              <w:ind w:firstLine="0"/>
              <w:rPr>
                <w:rFonts w:eastAsia="Calibri"/>
                <w:sz w:val="20"/>
                <w:szCs w:val="20"/>
                <w:lang w:val="sq-AL"/>
              </w:rPr>
            </w:pPr>
            <w:r>
              <w:rPr>
                <w:rFonts w:eastAsia="Calibri"/>
                <w:sz w:val="20"/>
                <w:szCs w:val="20"/>
                <w:lang w:val="sq-AL"/>
              </w:rPr>
              <w:t xml:space="preserve">                                                                                                                    </w:t>
            </w:r>
          </w:p>
        </w:tc>
      </w:tr>
    </w:tbl>
    <w:p w:rsidR="00EF2F6F" w:rsidRDefault="00EF2F6F" w:rsidP="00EF2F6F">
      <w:pPr>
        <w:pStyle w:val="Paragrafi"/>
        <w:rPr>
          <w:lang w:val="sq-AL"/>
        </w:rPr>
      </w:pPr>
    </w:p>
    <w:tbl>
      <w:tblPr>
        <w:tblpPr w:leftFromText="180" w:rightFromText="180" w:bottomFromText="200" w:vertAnchor="text" w:horzAnchor="page" w:tblpX="3031" w:tblpY="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"/>
      </w:tblGrid>
      <w:tr w:rsidR="00EF2F6F" w:rsidTr="00EF2F6F"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6F" w:rsidRDefault="00EF2F6F">
            <w:pPr>
              <w:pStyle w:val="Paragrafi"/>
              <w:spacing w:line="276" w:lineRule="auto"/>
              <w:rPr>
                <w:rFonts w:eastAsia="Calibri"/>
                <w:lang w:val="sq-AL"/>
              </w:rPr>
            </w:pPr>
          </w:p>
        </w:tc>
      </w:tr>
    </w:tbl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 xml:space="preserve">    [8]                        Pa veprimtari </w:t>
      </w:r>
    </w:p>
    <w:p w:rsidR="00EF2F6F" w:rsidRDefault="00EF2F6F" w:rsidP="00EF2F6F">
      <w:pPr>
        <w:pStyle w:val="Paragrafi"/>
        <w:ind w:firstLine="0"/>
        <w:rPr>
          <w:lang w:val="sq-AL"/>
        </w:rPr>
      </w:pPr>
    </w:p>
    <w:p w:rsidR="00EF2F6F" w:rsidRDefault="00EF2F6F" w:rsidP="00EF2F6F">
      <w:pPr>
        <w:pStyle w:val="Paragrafi"/>
        <w:ind w:firstLine="0"/>
        <w:rPr>
          <w:b/>
          <w:sz w:val="20"/>
          <w:szCs w:val="20"/>
          <w:lang w:val="sq-AL"/>
        </w:rPr>
      </w:pPr>
      <w:r>
        <w:rPr>
          <w:lang w:val="sq-AL"/>
        </w:rPr>
        <w:t xml:space="preserve">  </w:t>
      </w:r>
      <w:r>
        <w:rPr>
          <w:b/>
          <w:sz w:val="20"/>
          <w:szCs w:val="20"/>
          <w:lang w:val="sq-AL"/>
        </w:rPr>
        <w:t>SEKSIONI A</w:t>
      </w:r>
    </w:p>
    <w:tbl>
      <w:tblPr>
        <w:tblW w:w="49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7"/>
        <w:gridCol w:w="179"/>
        <w:gridCol w:w="5707"/>
        <w:gridCol w:w="1205"/>
        <w:gridCol w:w="957"/>
      </w:tblGrid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BFBFBF" w:fill="FFFFF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Rubrika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BFBFBF" w:fill="FFFFF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Emërtimi i veprimtarisë së lojës së fatit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Detyrimi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>I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>BINGO PËR PJESËMARRJE BRENDA SALLËS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[9/10]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Bingo që zhvillohen për pjesëmarrës brenda sallës, në rrethe, të kat. 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[11/12]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Bingo që zhvillohen për pjesëmarrës brenda sallës, në rrethe, të kat. II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[11]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[12]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[13/14]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Bingo që zhvillohen për pjesëmarrës brenda sallës, në rrethe, të kat. II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[13]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[14]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>II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 xml:space="preserve">BASTE SPORTIVE 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[15]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1 deri 99 NIPTE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[15]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[16]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100 deri në 149 NIPTE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highlight w:val="darkGray"/>
                <w:lang w:val="sq-AL"/>
              </w:rPr>
            </w:pPr>
            <w:r>
              <w:rPr>
                <w:sz w:val="20"/>
                <w:szCs w:val="20"/>
                <w:highlight w:val="darkGray"/>
                <w:lang w:val="sq-AL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[16]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[17]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Mbi 150 NIPTE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[17]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[18/19]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Baste sportive për pikë basti, në rrethe, të kat. 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[18]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[19]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[20/21]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Baste sportive për pikë basti, në rrethe, të kat. II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[20]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[21]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[22/23]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Baste sportive për pikë basti, në rrethe, të kat. III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[22]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[23]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>III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>KAZINO ELEKTRONIKE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[24/25]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çdo sallë në rrethe, kat. 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[24]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[25]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[26/27]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çdo makinë elektronike të tipit slot, videolotari, rrethe, të kat. 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[26]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[27]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[28/29]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çdo sallë në rrethe, kat. II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[28]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[29]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[30/31]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çdo makinë elektronike të tipit slot, videolotari, rrethe, të kat. II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[30]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[31]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[32/33]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çdo sallë në rrethe, kat. III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[32]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[33]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[34/35]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çdo makinë elektronike të tipit slot, videolotari, rrethe, të kat. III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[34]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[35]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[36/37]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çdo makinë elektronike me më shumë se një pozicion (ruletë)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[36]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[37]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[38/39]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çdo pozicion në makinat elektronike me më shumë se një pozicion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[38]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[39]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>IV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 xml:space="preserve">KAZINO 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[40/41]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 xml:space="preserve">Për tryezat me më shumë se një pozicion, ruletë (për çdo pozicion) 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[40]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[41]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[42/43]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çdo tryezë të lojërave me letër dhe ose me zare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[42]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[43]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[44/45]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lojëra elektronike dhe videolotari (për çdo kompjuter elektronik)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[44]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[45]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[46/47]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makina slot me fitim në çast (për çdo kompjuter)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[46]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[47]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>V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 xml:space="preserve">BASTE GARA NË PISTË 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lastRenderedPageBreak/>
              <w:t>[48]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Baste gara  në pistë, kuotë fikse për shoqërinë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[48]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[49/50]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Pika shitjeje n</w:t>
            </w:r>
            <w:r>
              <w:rPr>
                <w:rFonts w:cs="Times New Roman"/>
                <w:color w:val="000000"/>
                <w:sz w:val="20"/>
                <w:szCs w:val="20"/>
                <w:lang w:val="sq-AL"/>
              </w:rPr>
              <w:t>ë</w:t>
            </w:r>
            <w:r>
              <w:rPr>
                <w:color w:val="000000"/>
                <w:sz w:val="20"/>
                <w:szCs w:val="20"/>
                <w:lang w:val="sq-AL"/>
              </w:rPr>
              <w:t xml:space="preserve"> baste gara  në pistë (tatim, kuotë fikse  për çdo pikë  shitjeje)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[49]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[50]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[51/52]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Baste gara në pistë, lojëra elektronike në hipodrom me fitim të çastit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[51]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[52]</w:t>
            </w:r>
          </w:p>
        </w:tc>
      </w:tr>
      <w:tr w:rsidR="00EF2F6F" w:rsidTr="00EF2F6F">
        <w:trPr>
          <w:gridAfter w:val="2"/>
          <w:wAfter w:w="1232" w:type="pct"/>
          <w:trHeight w:val="287"/>
          <w:jc w:val="center"/>
        </w:trPr>
        <w:tc>
          <w:tcPr>
            <w:tcW w:w="726" w:type="pct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sq-AL"/>
              </w:rPr>
            </w:pPr>
          </w:p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>SEKSIONI B</w:t>
            </w:r>
          </w:p>
        </w:tc>
        <w:tc>
          <w:tcPr>
            <w:tcW w:w="30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color w:val="000000"/>
                <w:sz w:val="20"/>
                <w:szCs w:val="20"/>
                <w:lang w:val="sq-AL"/>
              </w:rPr>
            </w:pP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BFBFBF" w:fill="FFFFF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Rubrika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BFBFBF" w:fill="FFFFF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Emërtimi i veprimtarisë së lojës së fatit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Qarkullimi/</w:t>
            </w:r>
          </w:p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fitimi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Detyrimi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>VI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 xml:space="preserve">BINGO TELEVIZIVE 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[53/54]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Bingo që nuk zhvillohen për pjesëmarrës brenda sallës 10% mbi qarkullimin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[53]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[54]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[II/1]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 xml:space="preserve">BASTE SPORTIVE 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[55]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Baste sportive 25% mbi fitimin nga loja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[55]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[III/1]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>KAZINO ELEKTRONIKE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[56/57]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çdo sallë, slot, videolotari, rrethe, të kat. I (4%), mbi qarkullimin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[56]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[57]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[58/59]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çdo sallë, slot, videolotari, rrethe, të kat. II (4%), mbi qarkullimin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[58]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[59]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[60/61]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çdo sallë, slot, videolotari, rrethe, të kat. III (4%), mbi qarkullimin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[60]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[61]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VII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 xml:space="preserve">LOTARI KOMBËTARE 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[62/63]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Lotari kombëtare 10% mbi qarkullimin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[62]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[63]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VIII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 xml:space="preserve">KAZINO ELEKTRONIKE NË DISTANCË 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[64/65]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Kazino elektronike në distancë 1.5% mbi qarkullimin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[64]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[65]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[IV/1]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color w:val="000000"/>
                <w:sz w:val="20"/>
                <w:szCs w:val="20"/>
                <w:lang w:val="sq-AL"/>
              </w:rPr>
            </w:pPr>
            <w:r>
              <w:rPr>
                <w:b/>
                <w:color w:val="000000"/>
                <w:sz w:val="20"/>
                <w:szCs w:val="20"/>
                <w:lang w:val="sq-AL"/>
              </w:rPr>
              <w:t>KAZINO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[66/67]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tryezat me më shumë se një pozicion, ruletë 12% mbi qarkullimin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[66]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[67]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[68/69]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tryezat të lojërave me letër dhe ose me zare 12% mbi qarkullimin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[68]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[69]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[70/71]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lojërat elektronike dhe videolotari në kazino 4% mbi qarkullimin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[70]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[71]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[72/73]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color w:val="000000"/>
                <w:sz w:val="20"/>
                <w:szCs w:val="20"/>
                <w:lang w:val="sq-AL"/>
              </w:rPr>
            </w:pPr>
            <w:r>
              <w:rPr>
                <w:color w:val="000000"/>
                <w:sz w:val="20"/>
                <w:szCs w:val="20"/>
                <w:lang w:val="sq-AL"/>
              </w:rPr>
              <w:t>Për makinat slot me fitim në çast 4% mbi qarkullimin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[72]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[73]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</w:p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rFonts w:cs="Times New Roman"/>
                <w:b/>
                <w:szCs w:val="24"/>
                <w:lang w:val="sq-AL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szCs w:val="24"/>
                <w:lang w:val="sq-AL"/>
              </w:rPr>
              <w:t>Seksioni “C” dhe seksioni C.1 plotësohet vetëm nga tatimpaguesit dhe lojërat e fatit të përfshira në Sistemin Qendror të Monitorimit Online (SQMO)</w:t>
            </w:r>
          </w:p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</w:p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SEKSIONI C</w:t>
            </w:r>
          </w:p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b/>
                <w:szCs w:val="20"/>
                <w:lang w:val="sq-AL"/>
              </w:rPr>
            </w:pP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BFBFBF" w:fill="FFFFF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Rubrika</w:t>
            </w:r>
          </w:p>
        </w:tc>
        <w:tc>
          <w:tcPr>
            <w:tcW w:w="3042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BFBFBF" w:fill="FFFFF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Emërtimi i veprimtarisë së lojës së fatit</w:t>
            </w:r>
          </w:p>
        </w:tc>
        <w:tc>
          <w:tcPr>
            <w:tcW w:w="6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Nr.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Detyrimi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IX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 xml:space="preserve">BASTE SPORTIVE 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[74/75]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Pika sekondare të hapura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[74]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[75]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X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KAZINO/KAZINO ME 5 YJE/RESORT KAZINO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[76/77]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Pozicione në tryeza me më shumë se një pozicion, ruletë (për çdo pozicion) 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[76]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[77]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[78/79]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Tryeza të lojërave me letër dhe ose me zare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[78]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[79]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[80/81]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Makina elektronike në kazino me 5 yje 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[80]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[81]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XI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 xml:space="preserve">BASTE GARA NË PISTË 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[82]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Baste gara  në pistë, kuotë fikse për shoqërinë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[82]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[83/84]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Pika shitjeje në baste gara  në pistë (tatim, kuotë fikse  për çdo pikë  shitjeje)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[83]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[84]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726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[85/86]</w:t>
            </w:r>
          </w:p>
        </w:tc>
        <w:tc>
          <w:tcPr>
            <w:tcW w:w="30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 xml:space="preserve">Kompjutera elektronikë ose pozicione të makinës elektronike në lojërat elektronike me fitim në cast në bastet sportive gara  në pistë 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[85]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[86]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3768" w:type="pct"/>
            <w:gridSpan w:val="3"/>
            <w:tcBorders>
              <w:top w:val="nil"/>
              <w:left w:val="single" w:sz="2" w:space="0" w:color="000000"/>
              <w:bottom w:val="nil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SEKSIONI C.1</w:t>
            </w:r>
          </w:p>
        </w:tc>
      </w:tr>
      <w:tr w:rsidR="00EF2F6F" w:rsidTr="00EF2F6F">
        <w:trPr>
          <w:trHeight w:val="6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BFBFBF" w:fill="FFFFF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Rubrika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BFBFBF" w:fill="FFFFF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Emërtimi i veprimtarisë së lojës së fatit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Qarkullimi/</w:t>
            </w:r>
          </w:p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të ardhurat bruto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Detyrimi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XII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BINGO TELEVIZIVE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[87/88]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Bingo televizive me 15% mbi të ardhurat bruto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[87]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[88]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lastRenderedPageBreak/>
              <w:t>XIII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BASTE SPORTIVE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[89/90]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Baste sportive me 15% mbi të ardhurat bruto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[89]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[90]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XIV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LOTARI KOMBËTARE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[91/92]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Lotari kombëtare 15% mbi të ardhurat bruto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[91]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[92]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XV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LOJË  ELEKTRONIKE NË DISTANCË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[93/94]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Loje  elektronike në distancë 15% e të ardhurave bruto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[93]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[94]</w:t>
            </w:r>
          </w:p>
        </w:tc>
      </w:tr>
      <w:tr w:rsidR="00EF2F6F" w:rsidTr="00EF2F6F">
        <w:trPr>
          <w:gridAfter w:val="2"/>
          <w:wAfter w:w="1232" w:type="pct"/>
          <w:trHeight w:val="3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XVI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KAZINO/KAZINO ME 5 YJE/RESORT KAZINO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[95/96]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D30829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proofErr w:type="spellStart"/>
            <w:r w:rsidRPr="00A368B4">
              <w:rPr>
                <w:i/>
              </w:rPr>
              <w:t>Për</w:t>
            </w:r>
            <w:proofErr w:type="spellEnd"/>
            <w:r w:rsidRPr="00A368B4">
              <w:rPr>
                <w:i/>
              </w:rPr>
              <w:t xml:space="preserve"> </w:t>
            </w:r>
            <w:proofErr w:type="spellStart"/>
            <w:r w:rsidRPr="00A368B4">
              <w:rPr>
                <w:i/>
              </w:rPr>
              <w:t>tryezat</w:t>
            </w:r>
            <w:proofErr w:type="spellEnd"/>
            <w:r w:rsidRPr="00A368B4">
              <w:rPr>
                <w:i/>
              </w:rPr>
              <w:t xml:space="preserve"> me </w:t>
            </w:r>
            <w:proofErr w:type="spellStart"/>
            <w:r w:rsidRPr="00A368B4">
              <w:rPr>
                <w:i/>
              </w:rPr>
              <w:t>më</w:t>
            </w:r>
            <w:proofErr w:type="spellEnd"/>
            <w:r w:rsidRPr="00A368B4">
              <w:rPr>
                <w:i/>
              </w:rPr>
              <w:t xml:space="preserve"> </w:t>
            </w:r>
            <w:proofErr w:type="spellStart"/>
            <w:r w:rsidRPr="00A368B4">
              <w:rPr>
                <w:i/>
              </w:rPr>
              <w:t>shumë</w:t>
            </w:r>
            <w:proofErr w:type="spellEnd"/>
            <w:r w:rsidRPr="00A368B4">
              <w:rPr>
                <w:i/>
              </w:rPr>
              <w:t xml:space="preserve"> se </w:t>
            </w:r>
            <w:proofErr w:type="spellStart"/>
            <w:r w:rsidRPr="00A368B4">
              <w:rPr>
                <w:i/>
              </w:rPr>
              <w:t>një</w:t>
            </w:r>
            <w:proofErr w:type="spellEnd"/>
            <w:r w:rsidRPr="00A368B4">
              <w:rPr>
                <w:i/>
              </w:rPr>
              <w:t xml:space="preserve"> </w:t>
            </w:r>
            <w:proofErr w:type="spellStart"/>
            <w:r w:rsidRPr="00A368B4">
              <w:rPr>
                <w:i/>
              </w:rPr>
              <w:t>pozicion</w:t>
            </w:r>
            <w:proofErr w:type="spellEnd"/>
            <w:r w:rsidRPr="00A368B4">
              <w:rPr>
                <w:i/>
              </w:rPr>
              <w:t xml:space="preserve"> </w:t>
            </w:r>
            <w:proofErr w:type="spellStart"/>
            <w:r w:rsidRPr="00A368B4">
              <w:rPr>
                <w:i/>
              </w:rPr>
              <w:t>ruletë</w:t>
            </w:r>
            <w:proofErr w:type="spellEnd"/>
            <w:r w:rsidRPr="00A368B4">
              <w:rPr>
                <w:i/>
              </w:rPr>
              <w:t xml:space="preserve">, 25% </w:t>
            </w:r>
            <w:proofErr w:type="spellStart"/>
            <w:r w:rsidRPr="00A368B4">
              <w:rPr>
                <w:i/>
              </w:rPr>
              <w:t>mbi</w:t>
            </w:r>
            <w:proofErr w:type="spellEnd"/>
            <w:r w:rsidRPr="00A368B4">
              <w:rPr>
                <w:i/>
              </w:rPr>
              <w:t xml:space="preserve"> </w:t>
            </w:r>
            <w:proofErr w:type="spellStart"/>
            <w:r w:rsidRPr="00A368B4">
              <w:rPr>
                <w:i/>
              </w:rPr>
              <w:t>të</w:t>
            </w:r>
            <w:proofErr w:type="spellEnd"/>
            <w:r w:rsidRPr="00A368B4">
              <w:rPr>
                <w:i/>
              </w:rPr>
              <w:t xml:space="preserve"> </w:t>
            </w:r>
            <w:proofErr w:type="spellStart"/>
            <w:r w:rsidRPr="00A368B4">
              <w:rPr>
                <w:i/>
              </w:rPr>
              <w:t>ardhurat</w:t>
            </w:r>
            <w:proofErr w:type="spellEnd"/>
            <w:r w:rsidRPr="00A368B4">
              <w:rPr>
                <w:i/>
              </w:rPr>
              <w:t xml:space="preserve"> </w:t>
            </w:r>
            <w:proofErr w:type="spellStart"/>
            <w:r w:rsidRPr="00A368B4">
              <w:rPr>
                <w:i/>
              </w:rPr>
              <w:t>bruto</w:t>
            </w:r>
            <w:proofErr w:type="spellEnd"/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[95]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[96]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[97/98]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D30829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proofErr w:type="spellStart"/>
            <w:r w:rsidRPr="00A368B4">
              <w:rPr>
                <w:i/>
              </w:rPr>
              <w:t>Për</w:t>
            </w:r>
            <w:proofErr w:type="spellEnd"/>
            <w:r w:rsidRPr="00A368B4">
              <w:rPr>
                <w:i/>
              </w:rPr>
              <w:t xml:space="preserve"> </w:t>
            </w:r>
            <w:proofErr w:type="spellStart"/>
            <w:r w:rsidRPr="00A368B4">
              <w:rPr>
                <w:i/>
              </w:rPr>
              <w:t>tryezat</w:t>
            </w:r>
            <w:proofErr w:type="spellEnd"/>
            <w:r w:rsidRPr="00A368B4">
              <w:rPr>
                <w:i/>
              </w:rPr>
              <w:t xml:space="preserve"> e </w:t>
            </w:r>
            <w:proofErr w:type="spellStart"/>
            <w:r w:rsidRPr="00A368B4">
              <w:rPr>
                <w:i/>
              </w:rPr>
              <w:t>lojërave</w:t>
            </w:r>
            <w:proofErr w:type="spellEnd"/>
            <w:r w:rsidRPr="00A368B4">
              <w:rPr>
                <w:i/>
              </w:rPr>
              <w:t xml:space="preserve"> me </w:t>
            </w:r>
            <w:proofErr w:type="spellStart"/>
            <w:r w:rsidRPr="00A368B4">
              <w:rPr>
                <w:i/>
              </w:rPr>
              <w:t>letra</w:t>
            </w:r>
            <w:proofErr w:type="spellEnd"/>
            <w:r w:rsidRPr="00A368B4">
              <w:rPr>
                <w:i/>
              </w:rPr>
              <w:t xml:space="preserve"> </w:t>
            </w:r>
            <w:proofErr w:type="spellStart"/>
            <w:r w:rsidRPr="00A368B4">
              <w:rPr>
                <w:i/>
              </w:rPr>
              <w:t>dhe</w:t>
            </w:r>
            <w:proofErr w:type="spellEnd"/>
            <w:r w:rsidRPr="00A368B4">
              <w:rPr>
                <w:i/>
              </w:rPr>
              <w:t>/</w:t>
            </w:r>
            <w:proofErr w:type="spellStart"/>
            <w:r w:rsidRPr="00A368B4">
              <w:rPr>
                <w:i/>
              </w:rPr>
              <w:t>ose</w:t>
            </w:r>
            <w:proofErr w:type="spellEnd"/>
            <w:r w:rsidRPr="00A368B4">
              <w:rPr>
                <w:i/>
              </w:rPr>
              <w:t xml:space="preserve"> me </w:t>
            </w:r>
            <w:proofErr w:type="spellStart"/>
            <w:r w:rsidRPr="00A368B4">
              <w:rPr>
                <w:i/>
              </w:rPr>
              <w:t>zare</w:t>
            </w:r>
            <w:proofErr w:type="spellEnd"/>
            <w:r w:rsidRPr="00A368B4">
              <w:rPr>
                <w:i/>
              </w:rPr>
              <w:t xml:space="preserve">, 25% </w:t>
            </w:r>
            <w:proofErr w:type="spellStart"/>
            <w:r w:rsidRPr="00A368B4">
              <w:rPr>
                <w:i/>
              </w:rPr>
              <w:t>mbi</w:t>
            </w:r>
            <w:proofErr w:type="spellEnd"/>
            <w:r w:rsidRPr="00A368B4">
              <w:rPr>
                <w:i/>
              </w:rPr>
              <w:t xml:space="preserve"> </w:t>
            </w:r>
            <w:proofErr w:type="spellStart"/>
            <w:r w:rsidRPr="00A368B4">
              <w:rPr>
                <w:i/>
              </w:rPr>
              <w:t>të</w:t>
            </w:r>
            <w:proofErr w:type="spellEnd"/>
            <w:r w:rsidRPr="00A368B4">
              <w:rPr>
                <w:i/>
              </w:rPr>
              <w:t xml:space="preserve"> </w:t>
            </w:r>
            <w:proofErr w:type="spellStart"/>
            <w:r w:rsidRPr="00A368B4">
              <w:rPr>
                <w:i/>
              </w:rPr>
              <w:t>ardhurat</w:t>
            </w:r>
            <w:proofErr w:type="spellEnd"/>
            <w:r w:rsidRPr="00A368B4">
              <w:rPr>
                <w:i/>
              </w:rPr>
              <w:t xml:space="preserve"> </w:t>
            </w:r>
            <w:proofErr w:type="spellStart"/>
            <w:r w:rsidRPr="00A368B4">
              <w:rPr>
                <w:i/>
              </w:rPr>
              <w:t>bruto</w:t>
            </w:r>
            <w:proofErr w:type="spellEnd"/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[97]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[98]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[99/100]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Për lojërat elektronike dhe videolotari në kazino, 25% mbi të ardhurat bruto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[99]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[100]</w:t>
            </w:r>
          </w:p>
        </w:tc>
      </w:tr>
      <w:tr w:rsidR="00EF2F6F" w:rsidTr="00EF2F6F">
        <w:trPr>
          <w:trHeight w:val="300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[101/102]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Për makinat slot me fitim në çast, 25% mbi të ardhurat bruto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[101]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[102]</w:t>
            </w:r>
          </w:p>
        </w:tc>
      </w:tr>
      <w:tr w:rsidR="00D30829" w:rsidTr="00ED39A8">
        <w:trPr>
          <w:trHeight w:val="300"/>
          <w:jc w:val="center"/>
        </w:trPr>
        <w:tc>
          <w:tcPr>
            <w:tcW w:w="583" w:type="pct"/>
          </w:tcPr>
          <w:p w:rsidR="00D30829" w:rsidRPr="00A368B4" w:rsidRDefault="00D30829" w:rsidP="00D30829">
            <w:pPr>
              <w:pStyle w:val="ListParagraph"/>
              <w:spacing w:after="160"/>
              <w:ind w:left="0"/>
              <w:jc w:val="both"/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</w:pPr>
            <w:r w:rsidRPr="00A368B4"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  <w:t>[102.1/102.2]</w:t>
            </w:r>
          </w:p>
        </w:tc>
        <w:tc>
          <w:tcPr>
            <w:tcW w:w="3185" w:type="pct"/>
            <w:gridSpan w:val="2"/>
          </w:tcPr>
          <w:p w:rsidR="00D30829" w:rsidRPr="00A368B4" w:rsidRDefault="00D30829" w:rsidP="00D30829">
            <w:pPr>
              <w:pStyle w:val="ListParagraph"/>
              <w:spacing w:after="160"/>
              <w:ind w:left="0"/>
              <w:jc w:val="both"/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</w:pPr>
            <w:r w:rsidRPr="00A368B4"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  <w:t>Turnetë e lojërave 25 % mbi të ardhurat bruto</w:t>
            </w:r>
          </w:p>
        </w:tc>
        <w:tc>
          <w:tcPr>
            <w:tcW w:w="681" w:type="pct"/>
          </w:tcPr>
          <w:p w:rsidR="00D30829" w:rsidRPr="00A368B4" w:rsidRDefault="00D30829" w:rsidP="00D30829">
            <w:pPr>
              <w:pStyle w:val="ListParagraph"/>
              <w:spacing w:after="160"/>
              <w:ind w:left="0"/>
              <w:jc w:val="both"/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</w:pPr>
            <w:r w:rsidRPr="00A368B4"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  <w:t>102.1</w:t>
            </w:r>
          </w:p>
        </w:tc>
        <w:tc>
          <w:tcPr>
            <w:tcW w:w="551" w:type="pct"/>
          </w:tcPr>
          <w:p w:rsidR="00D30829" w:rsidRPr="00A368B4" w:rsidRDefault="00D30829" w:rsidP="00D30829">
            <w:pPr>
              <w:pStyle w:val="ListParagraph"/>
              <w:spacing w:after="160"/>
              <w:ind w:left="0"/>
              <w:jc w:val="both"/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</w:pPr>
            <w:r w:rsidRPr="00A368B4"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  <w:t>102.2</w:t>
            </w:r>
          </w:p>
        </w:tc>
      </w:tr>
      <w:tr w:rsidR="00D30829" w:rsidTr="00EF2F6F">
        <w:trPr>
          <w:trHeight w:val="233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30829" w:rsidRDefault="00D30829" w:rsidP="00D30829">
            <w:pPr>
              <w:pStyle w:val="Paragrafi"/>
              <w:spacing w:line="276" w:lineRule="auto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XVII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30829" w:rsidRDefault="00D30829" w:rsidP="00D30829">
            <w:pPr>
              <w:pStyle w:val="Paragrafi"/>
              <w:spacing w:line="276" w:lineRule="auto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KAZINO ELEKTRONIKE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829" w:rsidRDefault="00D30829" w:rsidP="00D30829">
            <w:pPr>
              <w:pStyle w:val="Paragrafi"/>
              <w:spacing w:line="276" w:lineRule="auto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829" w:rsidRDefault="00D30829" w:rsidP="00D30829">
            <w:pPr>
              <w:pStyle w:val="Paragrafi"/>
              <w:spacing w:line="276" w:lineRule="auto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</w:p>
        </w:tc>
      </w:tr>
      <w:tr w:rsidR="00D30829" w:rsidTr="00EF2F6F">
        <w:trPr>
          <w:trHeight w:val="408"/>
          <w:jc w:val="center"/>
        </w:trPr>
        <w:tc>
          <w:tcPr>
            <w:tcW w:w="58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30829" w:rsidRDefault="00D30829" w:rsidP="00D30829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[103/104]</w:t>
            </w:r>
          </w:p>
        </w:tc>
        <w:tc>
          <w:tcPr>
            <w:tcW w:w="318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30829" w:rsidRDefault="00D30829" w:rsidP="00D30829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Për çdo makinë elektronike të tipit slot, videolotari, 15% mbi të ardhurat bruto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829" w:rsidRDefault="00D30829" w:rsidP="00D30829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[103]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829" w:rsidRDefault="00D30829" w:rsidP="00D30829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[104]</w:t>
            </w:r>
          </w:p>
        </w:tc>
      </w:tr>
    </w:tbl>
    <w:p w:rsidR="00EF2F6F" w:rsidRDefault="00EF2F6F" w:rsidP="00EF2F6F">
      <w:pPr>
        <w:pStyle w:val="Paragrafi"/>
        <w:rPr>
          <w:sz w:val="14"/>
          <w:lang w:val="sq-AL"/>
        </w:rPr>
      </w:pPr>
    </w:p>
    <w:tbl>
      <w:tblPr>
        <w:tblW w:w="9828" w:type="dxa"/>
        <w:tblLook w:val="04A0" w:firstRow="1" w:lastRow="0" w:firstColumn="1" w:lastColumn="0" w:noHBand="0" w:noVBand="1"/>
      </w:tblPr>
      <w:tblGrid>
        <w:gridCol w:w="7088"/>
        <w:gridCol w:w="2740"/>
      </w:tblGrid>
      <w:tr w:rsidR="00EF2F6F" w:rsidTr="00EF2F6F">
        <w:trPr>
          <w:trHeight w:val="300"/>
        </w:trPr>
        <w:tc>
          <w:tcPr>
            <w:tcW w:w="7088" w:type="dxa"/>
            <w:noWrap/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[105] Tatimi për t’u paguar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[105]</w:t>
            </w:r>
          </w:p>
        </w:tc>
      </w:tr>
      <w:tr w:rsidR="00EF2F6F" w:rsidTr="00EF2F6F">
        <w:trPr>
          <w:trHeight w:val="300"/>
        </w:trPr>
        <w:tc>
          <w:tcPr>
            <w:tcW w:w="7088" w:type="dxa"/>
            <w:noWrap/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[106] Dënime/interesa për vonesa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[106]</w:t>
            </w:r>
          </w:p>
        </w:tc>
      </w:tr>
      <w:tr w:rsidR="00EF2F6F" w:rsidTr="00EF2F6F">
        <w:trPr>
          <w:trHeight w:val="300"/>
        </w:trPr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[107] TOTALI PËR T’U PAGUAR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F2F6F" w:rsidRDefault="00EF2F6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[107]</w:t>
            </w:r>
          </w:p>
        </w:tc>
      </w:tr>
    </w:tbl>
    <w:p w:rsidR="00EF2F6F" w:rsidRDefault="00EF2F6F" w:rsidP="00EF2F6F">
      <w:pPr>
        <w:pStyle w:val="Paragrafi"/>
        <w:rPr>
          <w:sz w:val="12"/>
          <w:lang w:val="sq-AL"/>
        </w:rPr>
      </w:pP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Data dhe firma e personit të tatueshëm - Deklaroj  nën përgjegjësinë time që informacioni i mësipërm është i plotë dhe i saktë. </w:t>
      </w:r>
    </w:p>
    <w:p w:rsidR="00EF2F6F" w:rsidRDefault="00EF2F6F" w:rsidP="00EF2F6F">
      <w:pPr>
        <w:pStyle w:val="Paragrafi"/>
        <w:ind w:firstLine="0"/>
        <w:rPr>
          <w:lang w:val="sq-AL"/>
        </w:rPr>
      </w:pPr>
    </w:p>
    <w:p w:rsidR="00EF2F6F" w:rsidRDefault="00EF2F6F" w:rsidP="00EF2F6F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12"/>
          <w:lang w:val="sq-AL"/>
        </w:rPr>
        <w:sectPr w:rsidR="00EF2F6F" w:rsidSect="00EF2F6F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EF2F6F" w:rsidRDefault="00EF2F6F" w:rsidP="00EF2F6F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UDHËZUES PËR MËNYRËN E PLOTËSIMIT TË FORMULARIT</w:t>
      </w:r>
    </w:p>
    <w:p w:rsidR="00EF2F6F" w:rsidRDefault="00EF2F6F" w:rsidP="00EF2F6F">
      <w:pPr>
        <w:pStyle w:val="Paragrafi"/>
        <w:rPr>
          <w:spacing w:val="-4"/>
          <w:sz w:val="10"/>
          <w:lang w:val="sq-AL"/>
        </w:rPr>
      </w:pP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Numri serial gjenerohet nga Drejtoria Rajonale Tatimore dhe shërben për të azhurnuar regjistrimet kur paraqitet deklarata.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Periudha tatimore është mujore ose pjesë e muajit në rast mbylljeje të aktivitetit.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Numri i identifikimit të personit të tatueshëm (NIPT) është numri i dhënë nga Drejtoria Rajonale Tatimore ose Qendra Kombëtare e Biznesit dhe që identifikon personin e tatueshëm në të gjitha marrëdhëniet me Drejtorinë Rajonale Tatimore.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Emri tregtar i personit të tatueshëm është emri me të cilin paraqitet veprimtaria dhe që shënohet në certifikatën e NIPT-it.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Emri, mbiemri i personit fizik vendoset kur veprimtaria ekonomike kryhet nga një person fizik dhe nuk ka emër tregtar.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Adresa tregohet për vendin kryesor të ushtrimit të veprimtarisë. Kjo adresë është treguar edhe në certifikatën e NIPT-it.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Numri i telefonit (n.q.s. ka) tregon numrin e telefonit në vendin kryesor të ushtrimit të veprimtarisë ekonomike.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8. Pa veprimtari zgjidhet vetëm nëse nuk është kryer aktivitet gjatë periudhës për të cilën bëhet deklarimi. Vendosni një kryq në kutinë 8. </w:t>
      </w:r>
    </w:p>
    <w:p w:rsidR="00EF2F6F" w:rsidRDefault="00EF2F6F" w:rsidP="00EF2F6F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SEKSIONI A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I.</w:t>
      </w:r>
      <w:r>
        <w:rPr>
          <w:spacing w:val="-4"/>
          <w:lang w:val="sq-AL"/>
        </w:rPr>
        <w:tab/>
        <w:t>BINGO ME PJESËMARRËS BRENDA SALLËS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[ 9] Numri i sallave në rreth të kategorisë 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[10] Kuota fikse për sallë në rreth të kategorisë I shumëzuar me numrin e sallave në rrethe të kategorisë I, rubrika [9] x 500 000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[11] Numri i sallave në rreth të kategorisë II.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[12] Kuota fikse për sallë në rreth të kategorisë II shumëzuar me numrin e sallave në rrethe të kategorisë II, rubrika [11]  x 400 000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[13] Numri i sallave në rreth të kategorisë III.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[14] Kuota fikse për sallë në rreth të kategorisë III shumëzuar me numrin e sallave në rrethe të kategorisë III, rubrika [13] x 300 000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II.</w:t>
      </w:r>
      <w:r>
        <w:rPr>
          <w:spacing w:val="-4"/>
          <w:lang w:val="sq-AL"/>
        </w:rPr>
        <w:tab/>
        <w:t>BASTET SPORTIVE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[15] Kuota fikse sipas ligjit në vlerën 10.000.000 lekë. 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55 rezulton më e madhe se kjo vlerë, atëherë kjo rubrikë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55 është më e vogël se kjo vlerë, atëherë kjo rubrikë mbetet dhe rubrika 55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[16] Kuota fikse sipas ligjit në  vlerën 12.000.000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55 rezulton më e madhe se kjo vlerë, atëherë kjo rubrikë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55 është më e vogël se kjo vlerë, atëherë kjo rubrikë mbetet dhe rubrika 55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[17] Kuota fikse sipas ligjit në vlerën 14.000.000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55 rezulton më e madhe se kjo vlerë, atëherë kjo rubrikë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55 është më e vogël se kjo vlerë, atëherë kjo rubrikë mbetet dhe rubrika 55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[18] Numri i pikave të bastit në rrethe të kategorisë 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[19] Kuota fikse për pikë basti në rreth të kategorisë I shumëzuar me numrin e pikave të bastit në rrethe të kategorisë I, rubrika [18] x 40 000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[20] Numri i pikave të bastit në rrethe të kategorisë II.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[21] Kuota fikse për pikë basti në rreth të kategorisë II shumëzuar me numrin e pikave të bastit në rrethe të kategorisë II, rubrika [20] x 30 000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[22] Numri i pikave të bastit në rrethe të kategorisë III.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[23] Kuota fikse për pikë basti në rreth të kategorisë III shumëzuar me numrin e pikave të bastit në rrethe të kategorisë III, rubrika [22] x 20 000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III. KAZINO ELEKTRONIKE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[24] Numri i sallave në rrethe të kategorisë 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[25] Kuota fikse për sallë në rrethe të kategorisë i shumëzuar me numrin e sallave në rrethe të kategorisë I, rubrika [24] x 400.000 lekë.</w:t>
      </w:r>
    </w:p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>* Nëse rubrika 57 rezulton më e madhe se kjo vlerë plus rubrikën 27, atëherë këto rubrika bëhen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57 është më e vogël se këto vlera, atëherë këto rubrika mbeten dhe rubrika 56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[26] Numri i makinave slot e videolotari në rrethe të kategorisë 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[27] Kuota fikse për makinë slot e videolotari shumëzuar për numrin e makinave slot e videolotari në rrethe të kategorisë I, rubrika [26] x 100.000 lekë, por jo më pak se 1.000.000 lekë.</w:t>
      </w:r>
    </w:p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>* Nëse rubrika 57 rezulton më e madhe se kjo vlerë plus rubrikën 27, atëherë këto rubrika bëhen 0.</w:t>
      </w:r>
    </w:p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>* Nëse rubrika 57 është më e vogël se këto vlera atëherë këto rubrika mbeten dhe rubrika 56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[28] Numri i sallave në rrethe të kategorisë II.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[29] Kuota fikse për sallë në rrethe të kategorisë II shumëzuar me numrin e sallave në rrethe të kategorisë II, rubrika [28] x 200.000 lekë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59 rezulton më e madhe se kjo vlerë plus rubrikën 31 atëherë këto rubrika bëhen 0.</w:t>
      </w:r>
    </w:p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>* Nëse rubrika 59 është më e vogël se këto vlera atëherë këto rubrika mbeten dhe rubrika 58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[30] Numri i makinave slot e videolotari në rrethe të kategorisë II.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[31] Kuota fikse për makinë slot e videolotari shumëzuar për numrin e makinave slot e videolotari në rrethe të kategorisë II, rubrika [30] x 60.000 lekë por jo më pak se 600.000 lekë.</w:t>
      </w:r>
    </w:p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>* Nëse rubrika 59 rezulton më e madhe se kjo vlerë plus rubrikën 29, atëherë këto rubrika bëhen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59 është më e vogël se këto vlera, atëherë këto rubrika mbeten dhe rubrika 58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[32] Numri i sallave në rrethe të kategorisë III.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[33] Kuota fikse për sallë në rrethe të kategorisë III shumëzuar me numrin e sallave në rrethe të kategorisë III, rubrika [32] x 100.000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61 rezulton më e madhe se kjo vlerë plus rubrikën 35 atëherë këto rubrika bëhen 0.</w:t>
      </w:r>
    </w:p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>* Nëse rubrika 61 është më e vogël se këto vlera atëherë këto rubrika mbeten dhe rubrika 60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[34] Numri i makinave slot e videolotari në rrethe të kategorisë III.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[35] Kuota fikse për makinë slot e videolotari shumëzuar për numrin e makinave slot e videolotari në rrethe të kategorisë III, rubrika [34] x 40.000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61 rezulton më e madhe se kjo vlerë plus rubrikën 35 atëherë këto rubrika bëhen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61 është më e vogël se këto vlera, atëherë këto rubrika mbeten dhe rubrika 60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[36] Numri i makinave elektronike me më shumë se një pozicion (ruletë).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[37] Kuota fikse për makinë elektronike me më shumë se një pozicion shumëzuar me numrin e makinave elektronike me më shumë se një pozicion (ruletë), rubrika [36] x1 000 000 lekë. 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[38] Numri i pozicioneve në makinat elektronike me më shumë se një pozicion.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[39] Kuota fikse për pozicion në makinat elektronike me më shumë se një pozicion shumëzuar me numrin e pozicioneve në makinat elektronike me më shumë se një pozicion, rubrika [38] x 300 000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IV. KAZINO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[40] Numri i pozicioneve në tryezat me më shumë se një pozicion ruletë.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[41] Kuota fikse për pozicion shumëzuar me numrin e pozicioneve në tryezat me më shumë se një pozicion ruletë, rubrika [40] x 1 500 000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[42] Numri i tryezave të lojërave me letër dhe/ose me zare.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[43] Kuota fikse për çdo tryezë të lojërave me letër ose me zare shumëzuar me numrin e tryezave të lojërave me letër dhe/ose me zare, rubrika  [42] x 1 500 000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[44] Numri i kompjuterëve elektronikë për lojëra elektronike dhe videolotari në kazino.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[45] Kuota fikse për kompjuter elektronik shumëzuar me numrin e kompjuterëve elektronikë për lojëra elektronike dhe videolotari në kazino, rubrika [44] x 120 000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[46] Numri i kompjuterëve elektronikë në makinat slot me fitim në çast në kazino.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[47] Kuota fikse për kompjuter elektronik në makinat slot, me fitim në çast, shumëzuar me numrin e kompjuterëve elektronikë me fitim në çast në kazino, rubrika [46] x 120 000 lekë vlera.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V.</w:t>
      </w:r>
      <w:r>
        <w:rPr>
          <w:spacing w:val="-4"/>
          <w:lang w:val="sq-AL"/>
        </w:rPr>
        <w:tab/>
        <w:t>GARAT NË PISTË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[48] Kuota fikse për bastet e garave në pistë, vlera 2 000 000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[49] Numri i pikave të shitjes për bastet e garave në pistë.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[50] Kuota fikse për çdo pikë shitjeje shumëzuar me numrin e pikave të shitjes për baste të garave në pistë [49], rubrika 49 x 40 000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[51] Numri i kompjuterëve elektronikë ose pozicioneve të makinave elektronike të vendosura në mjediset e hipodromit për lojërat elektronike me fitim në çast.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[52] Kuota fikse për kompjuterët elektronikë apo pozicion të makinave elektronike të vendosura në mjediset e hipodromit për lojërat elektronike me fitim në çast shumëzuar me numrin e kompjuterëve elektronikë ose pozicioneve të makinave elektronike të vendosura në mjediset e hipodromit për lojërat elektronike me fitim në çast, rubrika [51] x 40 000 lekë.</w:t>
      </w:r>
    </w:p>
    <w:p w:rsidR="00EF2F6F" w:rsidRDefault="00EF2F6F" w:rsidP="00EF2F6F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SEKSIONI B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VI. BINGO TELEVIZIVE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[53] Vëllimi i qarkullimit për bingo që zhvillohen për pjesëmarrës brenda sallës.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[54] Norma e tatimit/e taksës në përqindje e përcaktuar me ligj [10%] shumëzuar me vëllimin e qarkullimit për bingo që zhvillohen për pjesëmarrës brenda sallës, rubrika [53] x 10%.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[II/1] BASTE SPORTIVE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[55] Fitimi nga loja shumëzuar me normën në përqindje të përcaktuar me ligj [25%].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rubrikat 15, 16, 17 rezultojnë më të mëdha se kjo vlerë, atëherë kjo rubrikë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rubrikat 15, 16, 17 janë më të vogla se kjo vlerë, atëherë kjo rubrikë mbetet dhe rubrikat 15, 16, 17 bëhen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[III/1] KAZINO ELEKTRONIKE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[56] Vëllimi i qarkullimit për sallat, makinat slot e videolotari për rrethet e kategorisë 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[57] Norma e tatimit/e taksës në përqindje e përcaktuar me ligj [4%] shumëzuar me vëllimin e qarkullimit për sallat, makinat slot e videolotari për rrethet e kategorisë I, rubrika [56] x 4%.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[58] Vëllimi i qarkullimit për sallat, makinat slot e videolotari për rrethet e kategorisë II.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[59] Norma e tatimit/e taksës në përqindje e përcaktuar me ligj [4%] shumëzuar me vëllimin e qarkullimit për sallat, makinat slot e videolotari për rrethet e kategorisë II, rubrika  [58] x 4%.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[60] Vëllimi i qarkullimit për sallat, makinat slot e videolotari për rrethet e kategorisë III.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[61] Norma e tatimit/e taksës në përqindje e përcaktuar me ligj [4%] shumëzuar me vëllimin e qarkullimit për sallat, makinat slot e videolotari për rrethet e kategorisë III, rubrika [60] x 4%. 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VII. LOTARIA KOMBËTARE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[62] Vëllimi i qarkullimit për lotarinë kombëtare.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[63] Norma e tatimit/e taksës në përqindje e caktuar me ligj [10%] shumëzuar me vëllimin e qarkullimit për lotarinë kombëtare, rubrika [62] x 10%.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VIII. KAZINO ELEKTRONIKE NË DISTANCË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[64] Vëllimi i qarkullimit për kazinotë elektronike në distancë.</w:t>
      </w:r>
    </w:p>
    <w:p w:rsidR="00EF2F6F" w:rsidRDefault="00EF2F6F" w:rsidP="00EF2F6F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 xml:space="preserve">[65] Norma e tatimit/e taksës në përqindje e caktuar me ligj [1.5%] shumëzuar me vëllimin e qarkullimit për kazinotë elektronike në distancë, rubrika [64] x 1.5%, por jo më pak se 7 000 000 lekë. </w:t>
      </w:r>
    </w:p>
    <w:p w:rsidR="00EF2F6F" w:rsidRDefault="00EF2F6F" w:rsidP="00EF2F6F">
      <w:pPr>
        <w:pStyle w:val="Paragrafi"/>
        <w:rPr>
          <w:spacing w:val="-6"/>
          <w:lang w:val="sq-AL"/>
        </w:rPr>
      </w:pP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[IV/1] KAZINO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[66] Vëllimi i qarkullimit për tryezat me më shumë se një pozicion (ruletë).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[67] Norma e tatimit/e taksës në përqindje e përcaktuar me ligj [12%] shumëzuar me vëllimin e qarkullimit për tryezat me më shumë se një pozicion (ruletë), rubrika [66] x 12%.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[68] Vëllimi i qarkullimit për tryezat e lojërave me letër dhe/ose me zare.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[69] Norma e tatimit/e taksës në përqindje e përcaktuar me ligj [12%] shumëzuar me vëllimin e qarkullimit për tryezat e lojërave me letër dhe/ose me zare, rubrika [68] x 12%.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[70] Vëllimi i qarkullimit për lojërat elektronike dhe videolotaritë të vendosura në mjediset e kazinosë.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[71] Norma e tatimit/e taksës në përqindje e miratuar me ligj [4%] shumëzuar me vëllimin e qarkullimit për lojërat elektronike dhe videolotaritë të vendosura në mjediset e kazinosë, rubrika [70] x 4%.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[72] Vëllimi i qarkullimit për makinat slot me fitim në çast të vendosura në mjediset e kazinosë.</w:t>
      </w:r>
    </w:p>
    <w:p w:rsidR="00EF2F6F" w:rsidRDefault="00EF2F6F" w:rsidP="00EF2F6F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[73] Norma e tatimit/e taksës në përqindje e miratuar me ligj [4%] shumëzuar me vëllimin e qarkullimit për makinat slot me fitim në çast të vendosura në mjediset e kazinosë, rubrika [72] x 4%.</w:t>
      </w:r>
    </w:p>
    <w:p w:rsidR="00EF2F6F" w:rsidRDefault="00EF2F6F" w:rsidP="00EF2F6F">
      <w:pPr>
        <w:pStyle w:val="Paragrafi"/>
        <w:ind w:firstLine="0"/>
        <w:rPr>
          <w:rFonts w:eastAsia="Times New Roman" w:cs="Times New Roman"/>
          <w:bCs/>
          <w:i/>
          <w:iCs/>
          <w:spacing w:val="-4"/>
          <w:sz w:val="10"/>
          <w:lang w:val="sq-AL"/>
        </w:rPr>
      </w:pPr>
    </w:p>
    <w:p w:rsidR="00EF2F6F" w:rsidRDefault="00EF2F6F" w:rsidP="00EF2F6F">
      <w:pPr>
        <w:pStyle w:val="Paragrafi"/>
        <w:ind w:firstLine="0"/>
        <w:jc w:val="center"/>
        <w:rPr>
          <w:rFonts w:cs="Times New Roman"/>
          <w:b/>
          <w:spacing w:val="-4"/>
          <w:lang w:val="sq-AL"/>
        </w:rPr>
      </w:pPr>
      <w:r>
        <w:rPr>
          <w:rFonts w:eastAsia="Times New Roman" w:cs="Times New Roman"/>
          <w:b/>
          <w:bCs/>
          <w:i/>
          <w:iCs/>
          <w:spacing w:val="-4"/>
          <w:lang w:val="sq-AL"/>
        </w:rPr>
        <w:t>Seksioni “C” dhe seksioni “C”/1 plotësohet vetëm nga tatimpaguesit dhe lojërat e fatit të përfshira në Sistemin Qendror të Monitorimit Online (SQMO)</w:t>
      </w:r>
    </w:p>
    <w:p w:rsidR="00EF2F6F" w:rsidRDefault="00EF2F6F" w:rsidP="00EF2F6F">
      <w:pPr>
        <w:pStyle w:val="Paragrafi"/>
        <w:rPr>
          <w:rFonts w:cs="Times New Roman"/>
          <w:spacing w:val="-4"/>
          <w:sz w:val="6"/>
          <w:lang w:val="sq-AL"/>
        </w:rPr>
      </w:pPr>
    </w:p>
    <w:p w:rsidR="00EF2F6F" w:rsidRDefault="00EF2F6F" w:rsidP="00EF2F6F">
      <w:pPr>
        <w:pStyle w:val="Paragrafi"/>
        <w:rPr>
          <w:rFonts w:cs="Times New Roman"/>
          <w:b/>
          <w:spacing w:val="-4"/>
          <w:lang w:val="sq-AL"/>
        </w:rPr>
      </w:pPr>
      <w:r>
        <w:rPr>
          <w:rFonts w:cs="Times New Roman"/>
          <w:b/>
          <w:spacing w:val="-4"/>
          <w:lang w:val="sq-AL"/>
        </w:rPr>
        <w:t>SEKSIONI C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 xml:space="preserve">IX. BASTE SPORTIVE 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 xml:space="preserve">[74] Numri i pikave sportive të hapura për baste sportive 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[75] Niveli fiks për çdo pikë (kufiri minimal i taksës përcaktuar me ligj) i shumëzuar me numrin e pikave sportive, rubrika [74] x 40 000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90 rezulton më e madhe se kjo vlerë atëherë kjo rubrikë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90 është më e vogël se kjo vlerë, atëherë plotësohet kjo rubrikë dhe dhe rubrika 90 bëhet 0.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 xml:space="preserve">X. KAZINO, KAZINO ME 5 YJE, RESORT KAZINO 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[76] Numri i pozicione në tryeza me më shumë se një pozicion, ruletë.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[77] Niveli fiks i taksës për çdo pikë (kufiri minimal i taksës përcaktuar me ligj) shumëzuar me nr. e pozicioneve në tryeza me më shumë se një pozicion, ruletë, rubrika [76] x  300 000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96 rezulton më e madhe se kjo vlerë atëherë kjo rubrikë bëhet 0.</w:t>
      </w:r>
    </w:p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>* Nëse rubrika 96 është më e vogël se kjo vlerë, atëherë plotësohet kjo rubrikë dhe rubrika 96 bëhet 0.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[78] Nr. i tryezave të lojërave me letër dhe ose me zare.</w:t>
      </w:r>
    </w:p>
    <w:p w:rsidR="00EF2F6F" w:rsidRDefault="00EF2F6F" w:rsidP="00EF2F6F">
      <w:pPr>
        <w:pStyle w:val="Paragrafi"/>
        <w:rPr>
          <w:rFonts w:eastAsia="Times New Roman"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 xml:space="preserve">[79] Niveli fiks i taksës për çdo pikë (kufiri minimal i taksës përcaktuar me ligj) shumëzuar me  nr. e </w:t>
      </w:r>
      <w:r>
        <w:rPr>
          <w:rFonts w:eastAsia="Times New Roman" w:cs="Times New Roman"/>
          <w:spacing w:val="-4"/>
          <w:lang w:val="sq-AL"/>
        </w:rPr>
        <w:t>tryezave  të lojërave me letër dhe ose me zare, rubrika [78] x 1 500 000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* Nëse rubrika 98 rezulton më e madhe se kjo vlerë atëherë kjo rubrikë bëhet 0.</w:t>
      </w:r>
    </w:p>
    <w:p w:rsidR="00EF2F6F" w:rsidRDefault="00EF2F6F" w:rsidP="00EF2F6F">
      <w:pPr>
        <w:pStyle w:val="Paragrafi"/>
        <w:rPr>
          <w:lang w:val="sq-AL"/>
        </w:rPr>
      </w:pPr>
      <w:r>
        <w:rPr>
          <w:lang w:val="sq-AL"/>
        </w:rPr>
        <w:t>* Nëse rubrika 98 është më e vogël se kjo vlerë, atëherë plotësohet kjo rubrikë dhe rubrika 98 bëhet 0.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[80] Nr. i makinave elektronike në kazino me 5 yje.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[81] Kuota fikse e taksës sipas ligjit shumëzuar me nr. e makinave elektronike në kazino me 5 yje, rubrika [80] x 140 000 lekë.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* Kjo rubrikë plotësohet një herë në vit në deklaratën e muajit janar, si një detyrim vjetor për vitin pararendës.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 xml:space="preserve">XI. BASTE GARA NË PISTË 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[82] Kuota fikse sipas ligjit në vlerën 2 000 000 lekë.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 xml:space="preserve">[83] Numri i pikave të shitjes në baste gara në pistë. 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[84] Niveli fiks i taksës për pikë i shumëzuar me numrin e pikave të bastit gara në pistë, rubrika [83] x 40 000 lekë.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[85] Nr. i kompjuterave elektronikë ose pozicione të makinës elektronike në lojërat elektronike me fitim </w:t>
      </w:r>
      <w:r>
        <w:rPr>
          <w:spacing w:val="-4"/>
          <w:lang w:val="sq-AL"/>
        </w:rPr>
        <w:lastRenderedPageBreak/>
        <w:t xml:space="preserve">në çast në bastet sportive gara në pistë. </w:t>
      </w:r>
    </w:p>
    <w:p w:rsidR="00EF2F6F" w:rsidRDefault="00EF2F6F" w:rsidP="00EF2F6F">
      <w:pPr>
        <w:pStyle w:val="Paragrafi"/>
        <w:rPr>
          <w:spacing w:val="-4"/>
          <w:lang w:val="sq-AL"/>
        </w:rPr>
      </w:pP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[86] Niveli fiks i taksës për çdo kompjuter ose pozicion të makinës elektronike shumëzuar me nr. e kompjuterave elektronikë ose pozicione të makinës elektronike në lojërat elektronike me fitim në çast, në bastet sportive gara në pistë, rubrika [85] x 40 000. </w:t>
      </w:r>
    </w:p>
    <w:p w:rsidR="00EF2F6F" w:rsidRDefault="00EF2F6F" w:rsidP="00EF2F6F">
      <w:pPr>
        <w:pStyle w:val="Paragrafi"/>
        <w:rPr>
          <w:rFonts w:cs="Times New Roman"/>
          <w:b/>
          <w:spacing w:val="-4"/>
          <w:lang w:val="sq-AL"/>
        </w:rPr>
      </w:pPr>
      <w:r>
        <w:rPr>
          <w:rFonts w:cs="Times New Roman"/>
          <w:b/>
          <w:spacing w:val="-4"/>
          <w:lang w:val="sq-AL"/>
        </w:rPr>
        <w:t>SEKSIONI C.1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XII. BINGO TELEVIZIVE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 xml:space="preserve">[87] Të ardhurat bruto të realizuara për bingo televizive për periudhën për të cilën paguhet taksa. 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[88] Norma e taksës në %, e përcaktuar me ligj, shumëzuar me të ardhurat bruto, rubrika [87] x 15% mbi të ardhurat bruto.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XIII. BASTE SPORTIVE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 xml:space="preserve">[89] Të ardhurat bruto të realizuara për baste sportive për periudhën për të cilën paguhet taksa. </w:t>
      </w:r>
    </w:p>
    <w:p w:rsidR="00EF2F6F" w:rsidRDefault="00EF2F6F" w:rsidP="00EF2F6F">
      <w:pPr>
        <w:pStyle w:val="Paragrafi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[90] Norma e taksës në %, e përcaktuar me ligj, për baste sportive shumëzuar me të ardhurat bruto, rubrika [89] x 15% mbi të ardhurat bruto.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XIV. LOTARI KOMBËTARE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[91] Të ardhurat bruto të realizuara për lotari kombëtare për periudhën për të cilën paguhet taksa.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[92] Norma e taksës në %, e përcaktuar me ligj, për lotarinë kombëtare shumëzuar me të ardhurat bruto, rubrika [91] x 15% mbi të ardhurat bruto.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XV LOJË ELEKTRONIKE NË DISTANCË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[93]. Të ardhurat bruto të realizuara për lojë elektronike në distancë për periudhën për të cilën paguhet taksa.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[94] Norma e taksës në %, e përcaktuar me ligj, për lojë elektronike në distancë shumëzuar me të ardhurat bruto, rubrika [93] x 15 % mbi të ardhurat bruto.</w:t>
      </w:r>
    </w:p>
    <w:p w:rsidR="00EF2F6F" w:rsidRDefault="00EF2F6F" w:rsidP="00EF2F6F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XVI. KAZINO/KAZINO ME 5 YJE/RESORT KAZINO 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[95] Vëllimi i qarkullimit i realizuar për periudhën për të cilën paguhet taksa për tryezat me më shumë se një pozicion, ruletë.</w:t>
      </w:r>
    </w:p>
    <w:p w:rsidR="00D30829" w:rsidRPr="00D30829" w:rsidRDefault="00EF2F6F" w:rsidP="00D30829">
      <w:pPr>
        <w:spacing w:after="0" w:line="240" w:lineRule="auto"/>
        <w:rPr>
          <w:rFonts w:ascii="Garamond" w:eastAsiaTheme="minorHAnsi" w:hAnsi="Garamond" w:cstheme="minorBidi"/>
          <w:sz w:val="24"/>
          <w:lang w:val="sq-AL"/>
        </w:rPr>
      </w:pPr>
      <w:r>
        <w:rPr>
          <w:spacing w:val="-4"/>
          <w:lang w:val="sq-AL"/>
        </w:rPr>
        <w:t>[96]</w:t>
      </w:r>
      <w:r w:rsidR="00D30829">
        <w:rPr>
          <w:spacing w:val="-4"/>
          <w:lang w:val="sq-AL"/>
        </w:rPr>
        <w:t xml:space="preserve"> </w:t>
      </w:r>
      <w:r w:rsidR="00D30829" w:rsidRPr="00D30829">
        <w:rPr>
          <w:rFonts w:ascii="Garamond" w:eastAsiaTheme="minorHAnsi" w:hAnsi="Garamond" w:cstheme="minorBidi"/>
          <w:i/>
          <w:sz w:val="24"/>
          <w:lang w:val="sq-AL"/>
        </w:rPr>
        <w:t>Norma e taksës në %, e përcaktuar me ligj, shumëzuar me vëllimin e qarkullimit të realizuar për periudhën për të cilën paguhet taksa për tryezat me më shumë së një pozicion, ruletë, rubrika [95] x 25% mbi të ardhurat bruto</w:t>
      </w:r>
      <w:r w:rsidR="00D30829">
        <w:rPr>
          <w:rFonts w:ascii="Garamond" w:eastAsiaTheme="minorHAnsi" w:hAnsi="Garamond" w:cstheme="minorBidi"/>
          <w:i/>
          <w:sz w:val="24"/>
          <w:lang w:val="sq-AL"/>
        </w:rPr>
        <w:t>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[97] Vëllimi i qarkullimit i realizuar për periudhën për të cilën paguhet për tryezat të lojërave me letër dhe ose me zare.</w:t>
      </w:r>
    </w:p>
    <w:p w:rsidR="00D30829" w:rsidRPr="00D30829" w:rsidRDefault="00EF2F6F" w:rsidP="00D30829">
      <w:pPr>
        <w:spacing w:after="0" w:line="240" w:lineRule="auto"/>
        <w:rPr>
          <w:rFonts w:ascii="Garamond" w:eastAsiaTheme="minorHAnsi" w:hAnsi="Garamond" w:cstheme="minorBidi"/>
          <w:sz w:val="24"/>
          <w:lang w:val="sq-AL"/>
        </w:rPr>
      </w:pPr>
      <w:r>
        <w:rPr>
          <w:spacing w:val="-4"/>
          <w:lang w:val="sq-AL"/>
        </w:rPr>
        <w:t>[98]</w:t>
      </w:r>
      <w:r w:rsidR="00D30829" w:rsidRPr="00D30829">
        <w:rPr>
          <w:rFonts w:ascii="Garamond" w:eastAsiaTheme="minorHAnsi" w:hAnsi="Garamond" w:cstheme="minorBidi"/>
          <w:sz w:val="24"/>
          <w:lang w:val="sq-AL"/>
        </w:rPr>
        <w:t xml:space="preserve"> </w:t>
      </w:r>
      <w:r w:rsidR="00D30829" w:rsidRPr="00D30829">
        <w:rPr>
          <w:rFonts w:ascii="Garamond" w:eastAsiaTheme="minorHAnsi" w:hAnsi="Garamond" w:cstheme="minorBidi"/>
          <w:i/>
          <w:sz w:val="24"/>
          <w:lang w:val="sq-AL"/>
        </w:rPr>
        <w:t>Norma e taksës në %, e përcaktuar me ligj, shumëzuar me vëllimin e qarkullimit të realizuar për periudhën për të cilën paguhet taksa për tryezat e lojërave me letër dhe/ose me zare, rubrika [97] x 25% mbi të ardhurat bruto</w:t>
      </w:r>
      <w:r w:rsidR="00D30829">
        <w:rPr>
          <w:rFonts w:ascii="Garamond" w:eastAsiaTheme="minorHAnsi" w:hAnsi="Garamond" w:cstheme="minorBidi"/>
          <w:sz w:val="24"/>
          <w:lang w:val="sq-AL"/>
        </w:rPr>
        <w:t>.</w:t>
      </w:r>
    </w:p>
    <w:p w:rsidR="00EF2F6F" w:rsidRDefault="00D30829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</w:t>
      </w:r>
      <w:r w:rsidR="00EF2F6F">
        <w:rPr>
          <w:spacing w:val="-4"/>
          <w:lang w:val="sq-AL"/>
        </w:rPr>
        <w:t>[99] Të ardhura bruto të realizuara për periudhën për të cilën paguhet taksa për lojërat elektronike dhe videolotari në kazino.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[100] Norma e taksës në %, e përcaktuar me ligj, shumëzuar me të ardhura bruto të realizuara për periudhën për të cilën paguhet taksa për lojërat elektronike dhe videolotari në kazino, rubrika [99] x 25% mbi të ardhurat bruto.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[101] Të ardhura bruto të realizuara për periudhën për të cilën paguhet taksa për makinat slot me fitim në çast.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[102] Norma e taksës në %, e përcaktuar me ligj, shumëzuar me të ardhura bruto të realizuara për periudhën për të cilën paguhet taksa për makinat slot me fitim në çast, rubrika [101] x 25% mbi të ardhurat bruto.</w:t>
      </w:r>
    </w:p>
    <w:p w:rsidR="00D30829" w:rsidRPr="00D30829" w:rsidRDefault="00D30829" w:rsidP="00D30829">
      <w:pPr>
        <w:spacing w:after="0" w:line="240" w:lineRule="auto"/>
        <w:rPr>
          <w:rFonts w:ascii="Garamond" w:eastAsiaTheme="minorHAnsi" w:hAnsi="Garamond" w:cstheme="minorBidi"/>
          <w:sz w:val="24"/>
          <w:lang w:val="sq-AL"/>
        </w:rPr>
      </w:pPr>
      <w:r w:rsidRPr="00D30829">
        <w:rPr>
          <w:rFonts w:ascii="Garamond" w:eastAsiaTheme="minorHAnsi" w:hAnsi="Garamond" w:cstheme="minorBidi"/>
          <w:sz w:val="24"/>
          <w:lang w:val="sq-AL"/>
        </w:rPr>
        <w:t xml:space="preserve"> [102.1]</w:t>
      </w:r>
      <w:r>
        <w:rPr>
          <w:rFonts w:ascii="Garamond" w:eastAsiaTheme="minorHAnsi" w:hAnsi="Garamond" w:cstheme="minorBidi"/>
          <w:sz w:val="24"/>
          <w:lang w:val="sq-AL"/>
        </w:rPr>
        <w:t xml:space="preserve"> </w:t>
      </w:r>
      <w:r w:rsidRPr="00D30829">
        <w:rPr>
          <w:rFonts w:ascii="Garamond" w:eastAsiaTheme="minorHAnsi" w:hAnsi="Garamond" w:cstheme="minorBidi"/>
          <w:i/>
          <w:sz w:val="24"/>
          <w:lang w:val="sq-AL"/>
        </w:rPr>
        <w:t>Të ardhurat bruto të realizuara për periudhën për të cilën paguhet taksa për turnetë e lojërave</w:t>
      </w:r>
      <w:r>
        <w:rPr>
          <w:rFonts w:ascii="Garamond" w:eastAsiaTheme="minorHAnsi" w:hAnsi="Garamond" w:cstheme="minorBidi"/>
          <w:sz w:val="24"/>
          <w:lang w:val="sq-AL"/>
        </w:rPr>
        <w:t>.</w:t>
      </w:r>
    </w:p>
    <w:p w:rsidR="00D30829" w:rsidRPr="00D30829" w:rsidRDefault="00D30829" w:rsidP="00D30829">
      <w:pPr>
        <w:spacing w:after="0" w:line="240" w:lineRule="auto"/>
        <w:rPr>
          <w:rFonts w:ascii="Garamond" w:eastAsiaTheme="minorHAnsi" w:hAnsi="Garamond" w:cstheme="minorBidi"/>
          <w:sz w:val="24"/>
          <w:lang w:val="sq-AL"/>
        </w:rPr>
      </w:pPr>
      <w:r>
        <w:rPr>
          <w:rFonts w:ascii="Garamond" w:eastAsiaTheme="minorHAnsi" w:hAnsi="Garamond" w:cstheme="minorBidi"/>
          <w:sz w:val="24"/>
          <w:lang w:val="sq-AL"/>
        </w:rPr>
        <w:t xml:space="preserve"> </w:t>
      </w:r>
      <w:r w:rsidRPr="00D30829">
        <w:rPr>
          <w:rFonts w:ascii="Garamond" w:eastAsiaTheme="minorHAnsi" w:hAnsi="Garamond" w:cstheme="minorBidi"/>
          <w:sz w:val="24"/>
          <w:lang w:val="sq-AL"/>
        </w:rPr>
        <w:t>[102.2]</w:t>
      </w:r>
      <w:r>
        <w:rPr>
          <w:rFonts w:ascii="Garamond" w:eastAsiaTheme="minorHAnsi" w:hAnsi="Garamond" w:cstheme="minorBidi"/>
          <w:sz w:val="24"/>
          <w:lang w:val="sq-AL"/>
        </w:rPr>
        <w:t xml:space="preserve"> </w:t>
      </w:r>
      <w:r w:rsidRPr="00D30829">
        <w:rPr>
          <w:rFonts w:ascii="Garamond" w:eastAsiaTheme="minorHAnsi" w:hAnsi="Garamond" w:cstheme="minorBidi"/>
          <w:i/>
          <w:sz w:val="24"/>
          <w:lang w:val="sq-AL"/>
        </w:rPr>
        <w:t>Norma e taksës në %,e përcaktuar me ligj, shumëzuar me të ardhurat bruto të realizuara për periudhën për të cilët paguhet taksa për turnetë e lojërave, [102.1] x 25% mbi të ardhurat bruto</w:t>
      </w:r>
      <w:r>
        <w:rPr>
          <w:rFonts w:ascii="Garamond" w:eastAsiaTheme="minorHAnsi" w:hAnsi="Garamond" w:cstheme="minorBidi"/>
          <w:sz w:val="24"/>
          <w:lang w:val="sq-AL"/>
        </w:rPr>
        <w:t>.</w:t>
      </w:r>
    </w:p>
    <w:p w:rsidR="00D30829" w:rsidRDefault="00D30829" w:rsidP="00EF2F6F">
      <w:pPr>
        <w:pStyle w:val="Paragrafi"/>
        <w:rPr>
          <w:spacing w:val="-4"/>
          <w:lang w:val="sq-AL"/>
        </w:rPr>
      </w:pP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XVII. KAZINO ELEKTRONIKE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[103] Të ardhurat bruto të realizuara për periudhën për të cilën paguhet taksa për çdo makinë elektronike të tipit slot, videolotari.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[104] Norma e taksës në %, e përcaktuar me ligj, shumëzuar me të ardhurat bruto të realizuara për periudhën për të cilët paguhet taksa për çdo makinë elektronike të tipit slot, videolotari, rubrika [103] x 15% mbi të ardhurat bruto.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[105] Tatimi për t’u paguar është shuma e kutive të kolonës “detyrimi”. Pra, shuma e rubrikave: tatimi për t’u paguar = 10 + 12 + 14 + 15 + 16 + 17 + 19 + 21 + 23 + 25 + 27 + 29 + 31 + 33 + 35 + 37 + 39 + 41 + 43 + 45 + 47 + 48 + 50 + 52 + 54 + 55 + 57 + 59 + 61 + 63 + 65 + 67 + 69 + 71 + 73 + 75 + 77 + 79 + 81 + 82 + 84 + 86 + 88 + 90 + 92 + 94 + 96 + 98 + 100 + 102 + 104</w:t>
      </w:r>
      <w:r w:rsidR="00D30829">
        <w:rPr>
          <w:spacing w:val="-4"/>
          <w:lang w:val="sq-AL"/>
        </w:rPr>
        <w:t>+</w:t>
      </w:r>
      <w:r w:rsidR="00D30829" w:rsidRPr="00D30829">
        <w:rPr>
          <w:i/>
          <w:spacing w:val="-4"/>
          <w:lang w:val="sq-AL"/>
        </w:rPr>
        <w:t>102.2</w:t>
      </w:r>
      <w:r w:rsidRPr="00D30829">
        <w:rPr>
          <w:i/>
          <w:spacing w:val="-4"/>
          <w:lang w:val="sq-AL"/>
        </w:rPr>
        <w:t>).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[106] Dënime/interesa për vonesa janë dënimet dhe interesat për vonesat në deklarim ose pagesë që mund të llogariten paraprakisht dhe që mund të paguhen me deklaratën.</w:t>
      </w:r>
    </w:p>
    <w:p w:rsidR="00EF2F6F" w:rsidRDefault="00EF2F6F" w:rsidP="00EF2F6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[107] Totali për t’u paguar është shuma e tatimit për t’u paguar (kutia 105) me dënimet dhe interesat e llogaritura me deklaratën (kutia 106), (107=105+106). </w:t>
      </w:r>
    </w:p>
    <w:p w:rsidR="00490EEA" w:rsidRDefault="00490EEA"/>
    <w:sectPr w:rsidR="00490EEA" w:rsidSect="00EF2F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729"/>
    <w:rsid w:val="00161BA9"/>
    <w:rsid w:val="0016234B"/>
    <w:rsid w:val="00490EEA"/>
    <w:rsid w:val="007F5D38"/>
    <w:rsid w:val="00841729"/>
    <w:rsid w:val="00D30829"/>
    <w:rsid w:val="00EF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56687F-7086-4167-B03E-F19CA63C1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2F6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F2F6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EF2F6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F2F6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F2F6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F2F6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1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BA9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D30829"/>
    <w:pPr>
      <w:ind w:left="720" w:firstLine="0"/>
      <w:contextualSpacing/>
      <w:jc w:val="left"/>
    </w:pPr>
  </w:style>
  <w:style w:type="character" w:customStyle="1" w:styleId="ListParagraphChar">
    <w:name w:val="List Paragraph Char"/>
    <w:link w:val="ListParagraph"/>
    <w:uiPriority w:val="34"/>
    <w:locked/>
    <w:rsid w:val="00D3082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1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3772</Words>
  <Characters>21505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Rovena Lipe</cp:lastModifiedBy>
  <cp:revision>3</cp:revision>
  <cp:lastPrinted>2018-05-17T14:31:00Z</cp:lastPrinted>
  <dcterms:created xsi:type="dcterms:W3CDTF">2025-11-14T11:36:00Z</dcterms:created>
  <dcterms:modified xsi:type="dcterms:W3CDTF">2025-11-14T11:37:00Z</dcterms:modified>
</cp:coreProperties>
</file>