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6B01" w:rsidRDefault="002D6B01" w:rsidP="002D6B01">
      <w:pPr>
        <w:pStyle w:val="NeniTitull"/>
        <w:rPr>
          <w:lang w:val="sq-AL"/>
        </w:rPr>
      </w:pPr>
      <w:r>
        <w:rPr>
          <w:lang w:val="sq-AL"/>
        </w:rPr>
        <w:t>UDHËZIM</w:t>
      </w:r>
    </w:p>
    <w:p w:rsidR="002D6B01" w:rsidRDefault="002D6B01" w:rsidP="002D6B01">
      <w:pPr>
        <w:pStyle w:val="NeniTitull"/>
        <w:rPr>
          <w:lang w:val="sq-AL"/>
        </w:rPr>
      </w:pPr>
      <w:r>
        <w:rPr>
          <w:lang w:val="sq-AL"/>
        </w:rPr>
        <w:t>Nr. 11/1, datë 25.6.2018</w:t>
      </w:r>
    </w:p>
    <w:p w:rsidR="002D6B01" w:rsidRDefault="002D6B01" w:rsidP="002D6B01">
      <w:pPr>
        <w:pStyle w:val="NeniTitull"/>
        <w:rPr>
          <w:sz w:val="12"/>
          <w:lang w:val="sq-AL"/>
        </w:rPr>
      </w:pPr>
    </w:p>
    <w:p w:rsidR="002D6B01" w:rsidRDefault="002D6B01" w:rsidP="002D6B01">
      <w:pPr>
        <w:pStyle w:val="NeniTitull"/>
        <w:rPr>
          <w:lang w:val="sq-AL"/>
        </w:rPr>
      </w:pPr>
      <w:r>
        <w:rPr>
          <w:lang w:val="sq-AL"/>
        </w:rPr>
        <w:t>PËR NJË NDRYSHIM DHE DISA SHTESA NË UDHËZIMIN NR. 11, DATË 17.4.2018, “PËR RREGULLAT E BRENDSHME MBI MËNYRËN E EKZEKUTIMIT TË VENDIMEVE GJYQËSORE TË MINISTRISË SË FINANCAVE DHE EKONOMISË”</w:t>
      </w:r>
    </w:p>
    <w:p w:rsidR="002D6B01" w:rsidRDefault="002D6B01" w:rsidP="002D6B01">
      <w:pPr>
        <w:pStyle w:val="Paragrafi"/>
        <w:rPr>
          <w:sz w:val="12"/>
          <w:lang w:val="sq-AL"/>
        </w:rPr>
      </w:pPr>
    </w:p>
    <w:p w:rsidR="002D6B01" w:rsidRDefault="002D6B01" w:rsidP="002D6B01">
      <w:pPr>
        <w:pStyle w:val="Paragrafi"/>
        <w:rPr>
          <w:lang w:val="sq-AL"/>
        </w:rPr>
      </w:pPr>
      <w:r>
        <w:rPr>
          <w:lang w:val="sq-AL"/>
        </w:rPr>
        <w:t>Në mbështetje, të nenit 102, pika 4 të Kushtetutës; të neneve 510, 589, të ligjit nr. 8116, datë 29.3.1996, “Kodi i Procedurës Civile të Republikës së Shqipërisë”, të ndryshuar; të neneve 43 e 54, të ligjit nr. 9936, datë 26.6.2008, “Për menaxhimin e sistemit buxhetor në Republikën e Shqipërisë”, të ndryshuar; të ligjit nr. 10296, datë 8.7.2012, “Për menaxhimin financiar dhe kontrollin”, i ndryshuar, dhe të ligjit nr. 152/2013, “Për nëpunësin civil”, të ndryshuar, ministri i Financave dhe Ekonomisë,</w:t>
      </w:r>
    </w:p>
    <w:p w:rsidR="002D6B01" w:rsidRDefault="002D6B01" w:rsidP="002D6B01">
      <w:pPr>
        <w:pStyle w:val="Paragrafi"/>
        <w:rPr>
          <w:sz w:val="12"/>
          <w:lang w:val="sq-AL"/>
        </w:rPr>
      </w:pPr>
    </w:p>
    <w:p w:rsidR="002D6B01" w:rsidRDefault="002D6B01" w:rsidP="002D6B01">
      <w:pPr>
        <w:pStyle w:val="NeniNr"/>
        <w:rPr>
          <w:lang w:val="sq-AL"/>
        </w:rPr>
      </w:pPr>
      <w:r>
        <w:rPr>
          <w:lang w:val="sq-AL"/>
        </w:rPr>
        <w:t>UDHËZON:</w:t>
      </w:r>
    </w:p>
    <w:p w:rsidR="002D6B01" w:rsidRDefault="002D6B01" w:rsidP="002D6B01">
      <w:pPr>
        <w:pStyle w:val="Paragrafi"/>
        <w:rPr>
          <w:sz w:val="12"/>
          <w:lang w:val="sq-AL"/>
        </w:rPr>
      </w:pPr>
    </w:p>
    <w:p w:rsidR="002D6B01" w:rsidRDefault="002D6B01" w:rsidP="002D6B01">
      <w:pPr>
        <w:pStyle w:val="Paragrafi"/>
        <w:rPr>
          <w:lang w:val="sq-AL"/>
        </w:rPr>
      </w:pPr>
      <w:r>
        <w:rPr>
          <w:lang w:val="sq-AL"/>
        </w:rPr>
        <w:t>Në udhëzimin nr. 11, datë 17.4.2018, “Për rregullat e brendshme mbi mënyrën e ekzekutimit të vendimeve gjyqësore të Ministrisë së Financave dhe Ekonomisë”, bëhet një ndryshim dhe disa shtesa si më poshtë:</w:t>
      </w:r>
    </w:p>
    <w:p w:rsidR="002D6B01" w:rsidRDefault="002D6B01" w:rsidP="002D6B01">
      <w:pPr>
        <w:pStyle w:val="Paragrafi"/>
        <w:rPr>
          <w:lang w:val="sq-AL"/>
        </w:rPr>
      </w:pPr>
      <w:r>
        <w:rPr>
          <w:lang w:val="sq-AL"/>
        </w:rPr>
        <w:t>1. Në pikën 7, kreu I, fjalët “në mënyrë periodike...”, zëvendësohen me fjalët “deri në datën 20, të çdo muaji, në lidhje me ekzekutimin e vendimeve gjyqësore të muajit të kaluar”.</w:t>
      </w:r>
    </w:p>
    <w:p w:rsidR="002D6B01" w:rsidRDefault="002D6B01" w:rsidP="002D6B01">
      <w:pPr>
        <w:pStyle w:val="Paragrafi"/>
        <w:rPr>
          <w:lang w:val="sq-AL"/>
        </w:rPr>
      </w:pPr>
      <w:r>
        <w:rPr>
          <w:lang w:val="sq-AL"/>
        </w:rPr>
        <w:t>2. Pas pikës 8, të kreut II, shtohen pikat 8.1 dhe 8.2 me këtë përmbajtje:</w:t>
      </w:r>
    </w:p>
    <w:p w:rsidR="002D6B01" w:rsidRDefault="002D6B01" w:rsidP="002D6B01">
      <w:pPr>
        <w:pStyle w:val="Paragrafi"/>
        <w:rPr>
          <w:lang w:val="sq-AL"/>
        </w:rPr>
      </w:pPr>
      <w:r>
        <w:rPr>
          <w:lang w:val="sq-AL"/>
        </w:rPr>
        <w:t xml:space="preserve">“8.1 Struktura përgjegjëse për ndjekjen e çështjeve gjyqësore mban </w:t>
      </w:r>
      <w:r>
        <w:rPr>
          <w:i/>
          <w:lang w:val="sq-AL"/>
        </w:rPr>
        <w:t>database</w:t>
      </w:r>
      <w:r>
        <w:rPr>
          <w:lang w:val="sq-AL"/>
        </w:rPr>
        <w:t xml:space="preserve"> të veçantë për vendimet me objekt: a) kthim page; dhe b) dëmshpërblim për largim nga puna dhe </w:t>
      </w:r>
      <w:r>
        <w:rPr>
          <w:i/>
          <w:lang w:val="sq-AL"/>
        </w:rPr>
        <w:t>database</w:t>
      </w:r>
      <w:r>
        <w:rPr>
          <w:lang w:val="sq-AL"/>
        </w:rPr>
        <w:t xml:space="preserve"> të veçantë për vendimet e tjera.</w:t>
      </w:r>
    </w:p>
    <w:p w:rsidR="002D6B01" w:rsidRDefault="002D6B01" w:rsidP="002D6B01">
      <w:pPr>
        <w:pStyle w:val="Paragrafi"/>
        <w:rPr>
          <w:lang w:val="sq-AL"/>
        </w:rPr>
      </w:pPr>
      <w:r>
        <w:rPr>
          <w:lang w:val="sq-AL"/>
        </w:rPr>
        <w:t>8.2 Përjashtohet nga rregulli sipas pikës 8, për sa përcaktohet sipas “</w:t>
      </w:r>
      <w:r>
        <w:rPr>
          <w:i/>
          <w:lang w:val="sq-AL"/>
        </w:rPr>
        <w:t>databases</w:t>
      </w:r>
      <w:r>
        <w:rPr>
          <w:lang w:val="sq-AL"/>
        </w:rPr>
        <w:t>”:</w:t>
      </w:r>
    </w:p>
    <w:p w:rsidR="002D6B01" w:rsidRDefault="002D6B01" w:rsidP="002D6B01">
      <w:pPr>
        <w:pStyle w:val="Paragrafi"/>
        <w:rPr>
          <w:lang w:val="sq-AL"/>
        </w:rPr>
      </w:pPr>
      <w:r>
        <w:rPr>
          <w:lang w:val="sq-AL"/>
        </w:rPr>
        <w:t>a) Ekzekutimi i vendimeve gjyqësore të formës së prerë që urdhërohet nga titullari i institucionit, për rrethana lehtësuese të gjyqfituesve, të gjykuara prej tij.</w:t>
      </w:r>
    </w:p>
    <w:p w:rsidR="002D6B01" w:rsidRDefault="002D6B01" w:rsidP="002D6B01">
      <w:pPr>
        <w:pStyle w:val="Paragrafi"/>
        <w:rPr>
          <w:lang w:val="sq-AL"/>
        </w:rPr>
      </w:pPr>
      <w:r>
        <w:rPr>
          <w:lang w:val="sq-AL"/>
        </w:rPr>
        <w:t>b) Ekzekutimi i vendimeve gjyqësore të formës së prerë me objekt kthim page apo dëmshpërblim për largim nga puna, për gjyqfituesit, të cilët kanë mbushur moshën për daljen në pension pleqërie dhe për gjyqfituesit, të cilëve u është ekzekutuar pjesërisht vendimi i gjykatës, për sa i përket rikthimit në punë dhe ka mbetur për ekzekutim pjesa e kthimit të pagës.</w:t>
      </w:r>
    </w:p>
    <w:p w:rsidR="002D6B01" w:rsidRDefault="002D6B01" w:rsidP="002D6B01">
      <w:pPr>
        <w:pStyle w:val="Paragrafi"/>
        <w:rPr>
          <w:lang w:val="sq-AL"/>
        </w:rPr>
      </w:pPr>
      <w:r>
        <w:rPr>
          <w:lang w:val="sq-AL"/>
        </w:rPr>
        <w:t>c) Për ekzekutimin e vendimeve gjyqësore të formës së prerë me objekt dëmshpërblim për largim nga puna apo kthim page të ish-gjyqfituesve, të cilët kanë qenë punonjës në institucionet vartëse, ekzekutimi do të bëhet nga vetë këto institucione, pasi të jetë çelur fondi nga aparati i Ministrisë së Financave dhe Ekonomisë.</w:t>
      </w:r>
    </w:p>
    <w:p w:rsidR="002D6B01" w:rsidRDefault="002D6B01" w:rsidP="002D6B01">
      <w:pPr>
        <w:pStyle w:val="Paragrafi"/>
        <w:rPr>
          <w:lang w:val="sq-AL"/>
        </w:rPr>
      </w:pPr>
      <w:r>
        <w:rPr>
          <w:lang w:val="sq-AL"/>
        </w:rPr>
        <w:t>d) Kur kreditori paraqet kërkesë për shlyerjen e detyrimit deri në momentin e dorëzimit të kërkesës dhe heq dorë nga ekzekutimi i pjesës së vendimit gjyqësor të formës së prerë.”.</w:t>
      </w:r>
    </w:p>
    <w:p w:rsidR="002D6B01" w:rsidRDefault="002D6B01" w:rsidP="002D6B01">
      <w:pPr>
        <w:pStyle w:val="Paragrafi"/>
        <w:rPr>
          <w:lang w:val="sq-AL"/>
        </w:rPr>
      </w:pPr>
      <w:r>
        <w:rPr>
          <w:lang w:val="sq-AL"/>
        </w:rPr>
        <w:t>Ky udhëzim hyn në fuqi me botimin në Fletoren Zyrtare.</w:t>
      </w:r>
    </w:p>
    <w:p w:rsidR="002D6B01" w:rsidRDefault="002D6B01" w:rsidP="002D6B01">
      <w:pPr>
        <w:pStyle w:val="Paragrafi"/>
        <w:rPr>
          <w:sz w:val="16"/>
          <w:lang w:val="sq-AL"/>
        </w:rPr>
      </w:pPr>
    </w:p>
    <w:p w:rsidR="002D6B01" w:rsidRDefault="002D6B01" w:rsidP="002D6B01">
      <w:pPr>
        <w:pStyle w:val="Paragrafi"/>
        <w:jc w:val="right"/>
        <w:rPr>
          <w:lang w:val="sq-AL"/>
        </w:rPr>
      </w:pPr>
      <w:r>
        <w:rPr>
          <w:lang w:val="sq-AL"/>
        </w:rPr>
        <w:t xml:space="preserve">MINISTRI I FINANCAVE </w:t>
      </w:r>
    </w:p>
    <w:p w:rsidR="002D6B01" w:rsidRDefault="002D6B01" w:rsidP="002D6B01">
      <w:pPr>
        <w:pStyle w:val="Paragrafi"/>
        <w:jc w:val="right"/>
        <w:rPr>
          <w:lang w:val="sq-AL"/>
        </w:rPr>
      </w:pPr>
      <w:r>
        <w:rPr>
          <w:lang w:val="sq-AL"/>
        </w:rPr>
        <w:t>DHE EKONOMISË</w:t>
      </w:r>
    </w:p>
    <w:p w:rsidR="002D6B01" w:rsidRDefault="002D6B01" w:rsidP="002D6B01">
      <w:pPr>
        <w:pStyle w:val="Paragrafi"/>
        <w:jc w:val="right"/>
        <w:rPr>
          <w:b/>
          <w:lang w:val="sq-AL"/>
        </w:rPr>
      </w:pPr>
      <w:r>
        <w:rPr>
          <w:b/>
          <w:lang w:val="sq-AL"/>
        </w:rPr>
        <w:t>Arben Ahmetaj</w:t>
      </w:r>
    </w:p>
    <w:p w:rsidR="009E6A1E" w:rsidRDefault="009E6A1E">
      <w:bookmarkStart w:id="0" w:name="_GoBack"/>
      <w:bookmarkEnd w:id="0"/>
    </w:p>
    <w:sectPr w:rsidR="009E6A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B01"/>
    <w:rsid w:val="002D6B01"/>
    <w:rsid w:val="009E6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A22D43-9091-406B-BF2C-CCCE68905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D6B01"/>
    <w:rPr>
      <w:rFonts w:ascii="Garamond" w:eastAsia="MS Mincho" w:hAnsi="Garamond" w:cs="CG Times"/>
      <w:sz w:val="24"/>
    </w:rPr>
  </w:style>
  <w:style w:type="paragraph" w:customStyle="1" w:styleId="Paragrafi">
    <w:name w:val="Paragrafi"/>
    <w:link w:val="ParagrafiChar"/>
    <w:qFormat/>
    <w:rsid w:val="002D6B0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D6B01"/>
    <w:rPr>
      <w:rFonts w:ascii="Garamond" w:eastAsia="MS Mincho" w:hAnsi="Garamond" w:cs="CG Times"/>
      <w:sz w:val="24"/>
      <w:lang w:val="en-GB"/>
    </w:rPr>
  </w:style>
  <w:style w:type="paragraph" w:customStyle="1" w:styleId="NeniNr">
    <w:name w:val="Neni_Nr"/>
    <w:next w:val="Normal"/>
    <w:link w:val="NeniNrChar"/>
    <w:rsid w:val="002D6B0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D6B01"/>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114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2237</Characters>
  <Application>Microsoft Office Word</Application>
  <DocSecurity>0</DocSecurity>
  <Lines>18</Lines>
  <Paragraphs>5</Paragraphs>
  <ScaleCrop>false</ScaleCrop>
  <Company/>
  <LinksUpToDate>false</LinksUpToDate>
  <CharactersWithSpaces>2624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2018-07-05T14:00:00Z</dcterms:created>
  <dcterms:modified xsi:type="dcterms:W3CDTF">2018-07-05T14:01:00Z</dcterms:modified>
</cp:coreProperties>
</file>