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F0B" w:rsidRDefault="00413F0B" w:rsidP="00413F0B">
      <w:pPr>
        <w:pStyle w:val="NeniTitull"/>
        <w:rPr>
          <w:lang w:val="sq-AL"/>
        </w:rPr>
      </w:pPr>
      <w:r>
        <w:rPr>
          <w:lang w:val="sq-AL"/>
        </w:rPr>
        <w:t>UDHËZIM</w:t>
      </w:r>
    </w:p>
    <w:p w:rsidR="00413F0B" w:rsidRDefault="00413F0B" w:rsidP="00413F0B">
      <w:pPr>
        <w:pStyle w:val="NeniTitull"/>
        <w:rPr>
          <w:lang w:val="sq-AL"/>
        </w:rPr>
      </w:pPr>
      <w:r>
        <w:rPr>
          <w:lang w:val="sq-AL"/>
        </w:rPr>
        <w:t>Nr. 22, datë 30.7.2018</w:t>
      </w:r>
    </w:p>
    <w:p w:rsidR="00413F0B" w:rsidRDefault="00413F0B" w:rsidP="00413F0B">
      <w:pPr>
        <w:pStyle w:val="Hapesira7"/>
        <w:rPr>
          <w:lang w:val="sq-AL"/>
        </w:rPr>
      </w:pPr>
    </w:p>
    <w:p w:rsidR="00413F0B" w:rsidRDefault="00413F0B" w:rsidP="00413F0B">
      <w:pPr>
        <w:pStyle w:val="NeniTitull"/>
        <w:rPr>
          <w:lang w:val="sq-AL"/>
        </w:rPr>
      </w:pPr>
      <w:r>
        <w:rPr>
          <w:lang w:val="sq-AL"/>
        </w:rPr>
        <w:t>PËR PROCEDURAT STANDARDE TË MONITORIMIT TË BUXHETIT TË NJËSIVE TË VETËQEVERISJES VENDORE</w:t>
      </w:r>
    </w:p>
    <w:p w:rsidR="00413F0B" w:rsidRDefault="00413F0B" w:rsidP="00413F0B">
      <w:pPr>
        <w:pStyle w:val="Hapesira7"/>
        <w:rPr>
          <w:lang w:val="sq-AL"/>
        </w:rPr>
      </w:pPr>
    </w:p>
    <w:p w:rsidR="00413F0B" w:rsidRDefault="00413F0B" w:rsidP="00413F0B">
      <w:pPr>
        <w:pStyle w:val="Paragrafi"/>
        <w:rPr>
          <w:lang w:val="sq-AL"/>
        </w:rPr>
      </w:pPr>
      <w:r>
        <w:rPr>
          <w:lang w:val="sq-AL"/>
        </w:rPr>
        <w:t>Në mbështetje të nenit 104, pika 4, të Kushtetutës së Republikës së Shqipërisë, nenit 65, të ligjit nr. 9936, datë 26.6.2008 “Për menaxhimin e sistemit buxhetor në Republikën e Shqipërisë”, i ndryshuar, dhe nenit 48, të ligjit nr. 68, datë 27.4.2017 “Për financat e vetëqeverisjes vendore”, ministri i Financave dhe Ekonomisë</w:t>
      </w:r>
    </w:p>
    <w:p w:rsidR="00413F0B" w:rsidRDefault="00413F0B" w:rsidP="00413F0B">
      <w:pPr>
        <w:pStyle w:val="NeniNr"/>
        <w:rPr>
          <w:sz w:val="14"/>
          <w:lang w:val="sq-AL"/>
        </w:rPr>
      </w:pPr>
    </w:p>
    <w:p w:rsidR="00413F0B" w:rsidRDefault="00413F0B" w:rsidP="00413F0B">
      <w:pPr>
        <w:pStyle w:val="NeniNr"/>
        <w:rPr>
          <w:lang w:val="sq-AL"/>
        </w:rPr>
      </w:pPr>
      <w:r>
        <w:rPr>
          <w:lang w:val="sq-AL"/>
        </w:rPr>
        <w:t>UDHËZON:</w:t>
      </w:r>
    </w:p>
    <w:p w:rsidR="00413F0B" w:rsidRDefault="00413F0B" w:rsidP="00413F0B">
      <w:pPr>
        <w:pStyle w:val="Hapesira7"/>
        <w:rPr>
          <w:lang w:val="sq-AL"/>
        </w:rPr>
      </w:pPr>
    </w:p>
    <w:p w:rsidR="00413F0B" w:rsidRDefault="00413F0B" w:rsidP="00413F0B">
      <w:pPr>
        <w:pStyle w:val="Paragrafi"/>
        <w:rPr>
          <w:lang w:val="sq-AL"/>
        </w:rPr>
      </w:pPr>
      <w:r>
        <w:rPr>
          <w:lang w:val="sq-AL"/>
        </w:rPr>
        <w:t>I. TË PËRGJITHSHME</w:t>
      </w:r>
    </w:p>
    <w:p w:rsidR="00413F0B" w:rsidRDefault="00413F0B" w:rsidP="00413F0B">
      <w:pPr>
        <w:pStyle w:val="Paragrafi"/>
        <w:rPr>
          <w:lang w:val="sq-AL"/>
        </w:rPr>
      </w:pPr>
      <w:r>
        <w:rPr>
          <w:lang w:val="sq-AL"/>
        </w:rPr>
        <w:t>1. Qëllimi i këtij udhëzimi është përcaktimi i procedurave dhe afateve që duhet të ndjekin njësitë e vetëqeverisjes vendore për monitorimin e zbatimit të buxhetit për performancën financiare, për produktet dhe objektivat e politikës të realizuar për çdo program gjatë një viti buxhetor.</w:t>
      </w:r>
    </w:p>
    <w:p w:rsidR="00413F0B" w:rsidRDefault="00413F0B" w:rsidP="00413F0B">
      <w:pPr>
        <w:pStyle w:val="Paragrafi"/>
        <w:rPr>
          <w:lang w:val="sq-AL"/>
        </w:rPr>
      </w:pPr>
      <w:r>
        <w:rPr>
          <w:lang w:val="sq-AL"/>
        </w:rPr>
        <w:t>2. Ky është një udhëzim i përhershëm (standard), në të cilin përcaktohen: roli, përgjegjësitë dhe detyrat e grupit të menaxhimit strategjik (GMS), procedurat që duhet të ndjekin Ekipet e Menaxhimit të Programeve (EMP), për monitorimin e zbatimit të buxhetit vjetor, me qëllim realizimin e objektivave të synuar, të produkteve të parashikuara, si dhe për përgatitjen e raporteve periodike dhe vjetore të monitorimit të zbatimit të buxhetit.</w:t>
      </w:r>
    </w:p>
    <w:p w:rsidR="00413F0B" w:rsidRDefault="00413F0B" w:rsidP="00413F0B">
      <w:pPr>
        <w:pStyle w:val="Paragrafi"/>
        <w:rPr>
          <w:lang w:val="sq-AL"/>
        </w:rPr>
      </w:pPr>
      <w:r>
        <w:rPr>
          <w:lang w:val="sq-AL"/>
        </w:rPr>
        <w:t>3. Në këtë udhëzim përcaktohen:</w:t>
      </w:r>
    </w:p>
    <w:p w:rsidR="00413F0B" w:rsidRDefault="00413F0B" w:rsidP="00413F0B">
      <w:pPr>
        <w:pStyle w:val="Paragrafi"/>
        <w:rPr>
          <w:lang w:val="sq-AL"/>
        </w:rPr>
      </w:pPr>
      <w:r>
        <w:rPr>
          <w:lang w:val="sq-AL"/>
        </w:rPr>
        <w:t>- Roli i kryetarit të njësisë së vetëqeverisjes vendore;</w:t>
      </w:r>
    </w:p>
    <w:p w:rsidR="00413F0B" w:rsidRDefault="00413F0B" w:rsidP="00413F0B">
      <w:pPr>
        <w:pStyle w:val="Paragrafi"/>
        <w:rPr>
          <w:lang w:val="sq-AL"/>
        </w:rPr>
      </w:pPr>
      <w:r>
        <w:rPr>
          <w:lang w:val="sq-AL"/>
        </w:rPr>
        <w:t>- Roli i Këshillit të Njësisë së Vetëqeverisjes vendore;</w:t>
      </w:r>
    </w:p>
    <w:p w:rsidR="00413F0B" w:rsidRDefault="00413F0B" w:rsidP="00413F0B">
      <w:pPr>
        <w:pStyle w:val="Paragrafi"/>
        <w:rPr>
          <w:lang w:val="sq-AL"/>
        </w:rPr>
      </w:pPr>
      <w:r>
        <w:rPr>
          <w:lang w:val="sq-AL"/>
        </w:rPr>
        <w:t>- Roli i Ministrisë së Financave dhe Ekonomisë.</w:t>
      </w:r>
    </w:p>
    <w:p w:rsidR="00413F0B" w:rsidRDefault="00413F0B" w:rsidP="00413F0B">
      <w:pPr>
        <w:pStyle w:val="Paragrafi"/>
        <w:rPr>
          <w:lang w:val="sq-AL"/>
        </w:rPr>
      </w:pPr>
      <w:r>
        <w:rPr>
          <w:lang w:val="sq-AL"/>
        </w:rPr>
        <w:t>- Afatet e paraqitjes së raporteve të monitorimit në Këshillin e Njësisë së Vetëqeverisjes Vendore, në Ministrinë e Financave dhe Ekonomisë, si dhe publikimi i raporteve;</w:t>
      </w:r>
    </w:p>
    <w:p w:rsidR="00413F0B" w:rsidRDefault="00413F0B" w:rsidP="00413F0B">
      <w:pPr>
        <w:pStyle w:val="Paragrafi"/>
        <w:rPr>
          <w:lang w:val="sq-AL"/>
        </w:rPr>
      </w:pPr>
      <w:r>
        <w:rPr>
          <w:lang w:val="sq-AL"/>
        </w:rPr>
        <w:t>- Struktura dhe përmbajtja e raporteve të monitorimit.</w:t>
      </w:r>
    </w:p>
    <w:p w:rsidR="00413F0B" w:rsidRDefault="00413F0B" w:rsidP="00413F0B">
      <w:pPr>
        <w:pStyle w:val="Paragrafi"/>
        <w:rPr>
          <w:lang w:val="sq-AL"/>
        </w:rPr>
      </w:pPr>
      <w:r>
        <w:rPr>
          <w:lang w:val="sq-AL"/>
        </w:rPr>
        <w:t>4. Monitorimi, është një proces vlerësimi performance, i cili realizohet nëpërmjet krahasimit të treguesve faktikë të performancës me ata të planifikuar. Monitorimi ka për qëllim:</w:t>
      </w:r>
    </w:p>
    <w:p w:rsidR="00413F0B" w:rsidRDefault="00413F0B" w:rsidP="00413F0B">
      <w:pPr>
        <w:pStyle w:val="Paragrafi"/>
        <w:rPr>
          <w:lang w:val="sq-AL"/>
        </w:rPr>
      </w:pPr>
      <w:r>
        <w:rPr>
          <w:lang w:val="sq-AL"/>
        </w:rPr>
        <w:t>4.1 Të ndjekë arritjen e qëllimit dhe objektivave të përcaktuar në deklaratën e politikës së programit për vitin e parë të Programit Buxhetor Afatmesëm, nëpërmjet krahasimit të treguesve të planifikuar të performancës me rezultatet faktike të tyre.</w:t>
      </w:r>
    </w:p>
    <w:p w:rsidR="00413F0B" w:rsidRDefault="00413F0B" w:rsidP="00413F0B">
      <w:pPr>
        <w:pStyle w:val="Paragrafi"/>
        <w:rPr>
          <w:lang w:val="sq-AL"/>
        </w:rPr>
      </w:pPr>
      <w:r>
        <w:rPr>
          <w:lang w:val="sq-AL"/>
        </w:rPr>
        <w:t>4.2 Të sigurojë informacion i cili i shërben përmirësimit të procesit të planifikimit dhe menaxhimit të zbatimit të buxhetit.</w:t>
      </w:r>
    </w:p>
    <w:p w:rsidR="00413F0B" w:rsidRDefault="00413F0B" w:rsidP="00413F0B">
      <w:pPr>
        <w:pStyle w:val="Paragrafi"/>
        <w:rPr>
          <w:lang w:val="sq-AL"/>
        </w:rPr>
      </w:pPr>
      <w:r>
        <w:rPr>
          <w:lang w:val="sq-AL"/>
        </w:rPr>
        <w:t>4.3 Të evidentojë, nëse realizimi i produkteve është në përputhje me planin, dhe nëse jo të propozojë/rekomandojë ndërmarrjen e veprimeve korrigjuese për rishpërndarjen e fondeve. Në rast rishpërndarje të fondeve buxhetore, të evidentojë efektin e mundshëm në performancën e objektivave të lidhur me ta.</w:t>
      </w:r>
    </w:p>
    <w:p w:rsidR="00413F0B" w:rsidRDefault="00413F0B" w:rsidP="00413F0B">
      <w:pPr>
        <w:pStyle w:val="Paragrafi"/>
        <w:rPr>
          <w:spacing w:val="-4"/>
          <w:lang w:val="sq-AL"/>
        </w:rPr>
      </w:pPr>
      <w:r>
        <w:rPr>
          <w:spacing w:val="-4"/>
          <w:lang w:val="sq-AL"/>
        </w:rPr>
        <w:t>5. Njësitë e vetëqeverisjes vendore duhet të menaxhojnë shpenzimet në mënyrë të tillë që të realizohen produktet e parashikuara, brenda limitit të miratuar të shpenzimeve të programit dhe të sigurojnë informacion në lidhje me performancën e shpenzimeve dhe realizimin e produkteve.</w:t>
      </w:r>
    </w:p>
    <w:p w:rsidR="00413F0B" w:rsidRDefault="00413F0B" w:rsidP="00413F0B">
      <w:pPr>
        <w:pStyle w:val="Paragrafi"/>
        <w:rPr>
          <w:lang w:val="sq-AL"/>
        </w:rPr>
      </w:pPr>
      <w:r>
        <w:rPr>
          <w:lang w:val="sq-AL"/>
        </w:rPr>
        <w:t>6. Monitorimi i objektivave kryhet bazuar në treguesit përkatës të performancës që jepen kryesisht në nivel produkti, ndërsa monitorimi i produkteve realizohet në sasi dhe në vlerë. Monitorimi është procesi që lidh realizimin e objektivave dhe produkteve me fondet përkatëse të planifikuara për arritjen e tyre.</w:t>
      </w:r>
    </w:p>
    <w:p w:rsidR="00413F0B" w:rsidRDefault="00413F0B" w:rsidP="00413F0B">
      <w:pPr>
        <w:pStyle w:val="Paragrafi"/>
        <w:rPr>
          <w:spacing w:val="-4"/>
          <w:lang w:val="sq-AL"/>
        </w:rPr>
      </w:pPr>
      <w:r>
        <w:rPr>
          <w:spacing w:val="-4"/>
          <w:lang w:val="sq-AL"/>
        </w:rPr>
        <w:t>II. ROLET DHE PËRGJEGJËSITË NË PROCESIN E MONITORIMIT TË BUXHETIT</w:t>
      </w:r>
    </w:p>
    <w:p w:rsidR="00413F0B" w:rsidRDefault="00413F0B" w:rsidP="00413F0B">
      <w:pPr>
        <w:pStyle w:val="Paragrafi"/>
        <w:rPr>
          <w:lang w:val="sq-AL"/>
        </w:rPr>
      </w:pPr>
      <w:r>
        <w:rPr>
          <w:lang w:val="sq-AL"/>
        </w:rPr>
        <w:t xml:space="preserve">7. Njësitë e vetëqeverisjes vendore kryejnë monitorimin e performancës së tyre dhe institucioneve në varësi. </w:t>
      </w:r>
    </w:p>
    <w:p w:rsidR="00413F0B" w:rsidRDefault="00413F0B" w:rsidP="00413F0B">
      <w:pPr>
        <w:pStyle w:val="Paragrafi"/>
        <w:rPr>
          <w:lang w:val="sq-AL"/>
        </w:rPr>
      </w:pPr>
      <w:r>
        <w:rPr>
          <w:lang w:val="sq-AL"/>
        </w:rPr>
        <w:t>8. Njësitë e vetëqeverisjes vendore monitorojnë zbatimin e planeve strategjike të zhvillimit, nëpërmjet monitorimit të zbatimit të buxhetit vjetor.</w:t>
      </w:r>
    </w:p>
    <w:p w:rsidR="00413F0B" w:rsidRDefault="00413F0B" w:rsidP="00413F0B">
      <w:pPr>
        <w:pStyle w:val="Paragrafi"/>
        <w:rPr>
          <w:b/>
          <w:lang w:val="sq-AL"/>
        </w:rPr>
      </w:pPr>
      <w:r>
        <w:rPr>
          <w:b/>
          <w:lang w:val="sq-AL"/>
        </w:rPr>
        <w:t xml:space="preserve">Përgjegjësia e kryetarit të njësisë së vetëqeverisjes vendore </w:t>
      </w:r>
    </w:p>
    <w:p w:rsidR="00413F0B" w:rsidRDefault="00413F0B" w:rsidP="00413F0B">
      <w:pPr>
        <w:pStyle w:val="Paragrafi"/>
        <w:rPr>
          <w:spacing w:val="-4"/>
          <w:lang w:val="sq-AL"/>
        </w:rPr>
      </w:pPr>
      <w:r>
        <w:rPr>
          <w:lang w:val="sq-AL"/>
        </w:rPr>
        <w:t xml:space="preserve">9. Kryetari i njësisë së vetëqeverisjes është </w:t>
      </w:r>
      <w:r>
        <w:rPr>
          <w:spacing w:val="-4"/>
          <w:lang w:val="sq-AL"/>
        </w:rPr>
        <w:t xml:space="preserve">kryetar i Grupit për Menaxhimin Strategjik dhe si rregull është nëpunësi autorizues i njësisë së vetëqeverisjes vendore. Ai mund ta delegojë këtë kompetencë, me shkrim, te zëvendëskryetari ose te një nga zëvendëskryetarët e njësisë së vetëqeverisjes vendore. </w:t>
      </w:r>
    </w:p>
    <w:p w:rsidR="00413F0B" w:rsidRDefault="00413F0B" w:rsidP="00413F0B">
      <w:pPr>
        <w:pStyle w:val="Paragrafi"/>
        <w:rPr>
          <w:spacing w:val="-4"/>
          <w:lang w:val="sq-AL"/>
        </w:rPr>
      </w:pPr>
      <w:r>
        <w:rPr>
          <w:spacing w:val="-4"/>
          <w:lang w:val="sq-AL"/>
        </w:rPr>
        <w:t xml:space="preserve">10. Kryetari miraton rregullat specifike dhe procedurat që duhet të ndiqen në procesin e monitorimit të zbatimit të buxhetit në përputhje me kërkesat e këtij udhëzimi, si dhe udhëzimeve plotësuese të tij. </w:t>
      </w:r>
    </w:p>
    <w:p w:rsidR="00413F0B" w:rsidRDefault="00413F0B" w:rsidP="00413F0B">
      <w:pPr>
        <w:pStyle w:val="Paragrafi"/>
        <w:rPr>
          <w:spacing w:val="-4"/>
          <w:lang w:val="sq-AL"/>
        </w:rPr>
      </w:pPr>
      <w:r>
        <w:rPr>
          <w:spacing w:val="-4"/>
          <w:lang w:val="sq-AL"/>
        </w:rPr>
        <w:t xml:space="preserve">11. Kryetari vlerëson raportet e monitorimit për të gjitha programet buxhetore të njësisë së vetëqeverisjes, </w:t>
      </w:r>
      <w:r>
        <w:rPr>
          <w:spacing w:val="-4"/>
          <w:lang w:val="sq-AL"/>
        </w:rPr>
        <w:lastRenderedPageBreak/>
        <w:t>të përgatitura dhe të konfirmuara nga GMS-ja dhe të nënshkruara nga koordinatori i GMS-së. Për çdo rast të konstatimit të parregullsive në raporte ia dërgon për rishikim GMS-së.</w:t>
      </w:r>
    </w:p>
    <w:p w:rsidR="00413F0B" w:rsidRDefault="00413F0B" w:rsidP="00413F0B">
      <w:pPr>
        <w:pStyle w:val="Paragrafi"/>
        <w:rPr>
          <w:spacing w:val="-4"/>
          <w:lang w:val="sq-AL"/>
        </w:rPr>
      </w:pPr>
      <w:r>
        <w:rPr>
          <w:spacing w:val="-4"/>
          <w:lang w:val="sq-AL"/>
        </w:rPr>
        <w:t>12. Kryetari miraton dhe dërgon për informim në këshillin e njësisë së vetëqeverisjes vendore një kopje të raportit të monitorimit e të zbatimit të buxhetit, si dhe një relacion shpjegues mbi realizimin e qëllimeve dhe objektivave të shoqëruar me treguesit e performancës së synuar dhe realizimin faktik të tyre për të gjitha programet buxhetore për vitin buxhetor pararendës. Pjesë e raportit të monitorimit të zbatimit të buxhetit janë dhe raportet mbi treguesit financiarë sipas përcaktimeve të nenit 54, të ligjit nr. 68, datë 27.4.2017 “Për financat e vetëqeverisjes vendore”.</w:t>
      </w:r>
    </w:p>
    <w:p w:rsidR="00413F0B" w:rsidRDefault="00413F0B" w:rsidP="00413F0B">
      <w:pPr>
        <w:pStyle w:val="Paragrafi"/>
        <w:rPr>
          <w:lang w:val="sq-AL"/>
        </w:rPr>
      </w:pPr>
      <w:r>
        <w:rPr>
          <w:lang w:val="sq-AL"/>
        </w:rPr>
        <w:t>Përgjegjësitë e Këshillit të Njësisë së Vetëqeverisjes Vendore</w:t>
      </w:r>
    </w:p>
    <w:p w:rsidR="00413F0B" w:rsidRDefault="00413F0B" w:rsidP="00413F0B">
      <w:pPr>
        <w:pStyle w:val="Paragrafi"/>
        <w:rPr>
          <w:lang w:val="sq-AL"/>
        </w:rPr>
      </w:pPr>
      <w:r>
        <w:rPr>
          <w:lang w:val="sq-AL"/>
        </w:rPr>
        <w:t xml:space="preserve">13. Këshilli i Njësisë së Vetëqeverisjes Vendore informohet dhe diskuton mbi raportet e monitorimit të zbatimit të buxhetit, të cilat paraqiten në këshill tri herë në vit (çdo 4 muaj). Gjithashtu, Këshilli ka të drejtë që për çështje specifike të kërkojë raportim të veçantë. </w:t>
      </w:r>
    </w:p>
    <w:p w:rsidR="00413F0B" w:rsidRDefault="00413F0B" w:rsidP="00413F0B">
      <w:pPr>
        <w:pStyle w:val="Paragrafi"/>
        <w:rPr>
          <w:lang w:val="sq-AL"/>
        </w:rPr>
      </w:pPr>
      <w:r>
        <w:rPr>
          <w:lang w:val="sq-AL"/>
        </w:rPr>
        <w:t>14. Këshilli miraton raportin vjetor të konsoliduar të zbatimit të buxhetit mbi përmbushjen e qëllimeve dhe të objektivave të njësive, mbi përdorimin e fondeve publike, në mënyrë të ligjshme, me ekonomi, efektivitet dhe eficiencë për garantimin e qëndrueshmërisë së sistemit të menaxhimit financiar të njësisë së vetëqeverisjes vendore.</w:t>
      </w:r>
    </w:p>
    <w:p w:rsidR="00413F0B" w:rsidRDefault="00413F0B" w:rsidP="00413F0B">
      <w:pPr>
        <w:pStyle w:val="Paragrafi"/>
        <w:rPr>
          <w:lang w:val="sq-AL"/>
        </w:rPr>
      </w:pPr>
      <w:r>
        <w:rPr>
          <w:lang w:val="sq-AL"/>
        </w:rPr>
        <w:t xml:space="preserve">15. Në rast se nga monitorimi i zbatimit të buxhetit konstatohet nevoja për rishpërndarje të fondeve ndërmjet programeve buxhetore, mbi bazë të informacionit të mbledhur nga raportet e monitorimit të zbatimit të buxhetit, të performancës së realizimit të objektivave kundrejt planit vjetor, duke respektuar kufijtë e miratuar në buxhetin vjetor të njësisë ose duke propozuar një buxhet shtesë, Këshilli vlerëson dhe miraton rishpërndarjen e fondeve buxhetore. </w:t>
      </w:r>
    </w:p>
    <w:p w:rsidR="00413F0B" w:rsidRDefault="00413F0B" w:rsidP="00413F0B">
      <w:pPr>
        <w:pStyle w:val="Paragrafi"/>
        <w:rPr>
          <w:lang w:val="sq-AL"/>
        </w:rPr>
      </w:pPr>
      <w:r>
        <w:rPr>
          <w:lang w:val="sq-AL"/>
        </w:rPr>
        <w:t>16. Këshilli miraton marrjen e masave për sigurimin e qëndrueshmërisë së sistemit të menaxhimit financiar të njësisë së vetëqeverisjes vendore mbi bazë të raporteve katërmujore të monitorimit dhe rekomandimeve sipas rastit të Ministrisë së Financave dhe Ekonomisë.</w:t>
      </w:r>
    </w:p>
    <w:p w:rsidR="00413F0B" w:rsidRDefault="00413F0B" w:rsidP="00413F0B">
      <w:pPr>
        <w:pStyle w:val="Paragrafi"/>
        <w:rPr>
          <w:b/>
          <w:lang w:val="sq-AL"/>
        </w:rPr>
      </w:pPr>
      <w:r>
        <w:rPr>
          <w:b/>
          <w:lang w:val="sq-AL"/>
        </w:rPr>
        <w:t>Përgjegjësitë e nëpunësit autorizues të njësisë së vetëqeverisjes vendore</w:t>
      </w:r>
    </w:p>
    <w:p w:rsidR="00413F0B" w:rsidRDefault="00413F0B" w:rsidP="00413F0B">
      <w:pPr>
        <w:pStyle w:val="Paragrafi"/>
        <w:rPr>
          <w:lang w:val="sq-AL"/>
        </w:rPr>
      </w:pPr>
      <w:r>
        <w:rPr>
          <w:lang w:val="sq-AL"/>
        </w:rPr>
        <w:t>17. “Nëpunës autorizues” është nëpunësi i nivelit më të lartë i njësive të vetëqeverisjes vendore, përgjegjës për zbatimin e sistemeve të menaxhimit financiar dhe kontrollit në të gjitha strukturat dhe programet buxhetore, duke përfshirë planifikimin, zbatimin, monitorimin e kontrolleve të risqeve të lidhura me zbatimin e buxhetit, kontabilitetin dhe raportimin financiar të njësive të vetëqeverisjes vendore.</w:t>
      </w:r>
    </w:p>
    <w:p w:rsidR="00413F0B" w:rsidRDefault="00413F0B" w:rsidP="00413F0B">
      <w:pPr>
        <w:pStyle w:val="Paragrafi"/>
        <w:rPr>
          <w:lang w:val="sq-AL"/>
        </w:rPr>
      </w:pPr>
      <w:r>
        <w:rPr>
          <w:lang w:val="sq-AL"/>
        </w:rPr>
        <w:t>18. Nëpunësi autorizues i nivelit të dytë është drejtuesi i njësisë shpenzuese të varësisë me të njëjtat përgjegjësi të nëpunësit autorizues për njësinë shpenzuese që drejton.</w:t>
      </w:r>
    </w:p>
    <w:p w:rsidR="00413F0B" w:rsidRDefault="00413F0B" w:rsidP="00413F0B">
      <w:pPr>
        <w:pStyle w:val="Paragrafi"/>
        <w:rPr>
          <w:lang w:val="sq-AL"/>
        </w:rPr>
      </w:pPr>
      <w:r>
        <w:rPr>
          <w:lang w:val="sq-AL"/>
        </w:rPr>
        <w:t xml:space="preserve">19. Nëpunësi autorizues i njësisë së vetëqeverisjes vendore përgjigjet dhe raporton në këshillin e njësisë së vetëqeverisjes vendore për përgatitjen, kontrollin e brendshëm financiar publik, monitorimin, raportimin, kontabilitetin dhe auditimin e brendshëm të buxhetit, për të gjitha funksionet e njësive të vetëqeverisjes vendore. </w:t>
      </w:r>
    </w:p>
    <w:p w:rsidR="00413F0B" w:rsidRDefault="00413F0B" w:rsidP="00413F0B">
      <w:pPr>
        <w:pStyle w:val="Paragrafi"/>
        <w:rPr>
          <w:lang w:val="sq-AL"/>
        </w:rPr>
      </w:pPr>
      <w:r>
        <w:rPr>
          <w:lang w:val="sq-AL"/>
        </w:rPr>
        <w:t>20. Nëpunësi autorizues i njësisë së vetëqeverisjes vendore i paraqet këshillit, sa herë që kërkohet, por jo më pak se tri raporte katërmujore të monitorimit të zbatimit të buxhetit.</w:t>
      </w:r>
    </w:p>
    <w:p w:rsidR="00413F0B" w:rsidRDefault="00413F0B" w:rsidP="00413F0B">
      <w:pPr>
        <w:pStyle w:val="Paragrafi"/>
        <w:rPr>
          <w:lang w:val="sq-AL"/>
        </w:rPr>
      </w:pPr>
      <w:r>
        <w:rPr>
          <w:lang w:val="sq-AL"/>
        </w:rPr>
        <w:t xml:space="preserve">21. Nëpunësi autorizues ka përgjegjësi të plotë për koordinimin e procesit të monitorimit të buxhetit vjetor. Ai është përgjegjës për monitorimin në mënyrë periodike dhe të vazhdueshme të performancës së objektivave dhe performancës së produkteve në sasi dhe vlerë, si dhe për propozimin e zgjidhjeve te kryetari i njësisë së vetëqeverisjes vendore (kur kjo kompetencë është deleguar) për përmirësimin e performancës kur identifikon shmangie të mëdha ndaj planit. </w:t>
      </w:r>
    </w:p>
    <w:p w:rsidR="00413F0B" w:rsidRDefault="00413F0B" w:rsidP="00413F0B">
      <w:pPr>
        <w:pStyle w:val="Paragrafi"/>
        <w:rPr>
          <w:lang w:val="sq-AL"/>
        </w:rPr>
      </w:pPr>
      <w:r>
        <w:rPr>
          <w:lang w:val="sq-AL"/>
        </w:rPr>
        <w:t>22. Nëpunësi autorizues publikon raportet e monitorimit të zbatimit të buxhetit në faqen zyrtare të njësisë, brenda 30 ditëve pas përfundimit të periudhës së raportimit, dhe një kopje e tyre i dërgohet Ministrisë së Financave dhe Ekonomisë.</w:t>
      </w:r>
    </w:p>
    <w:p w:rsidR="00413F0B" w:rsidRDefault="00413F0B" w:rsidP="00413F0B">
      <w:pPr>
        <w:pStyle w:val="Paragrafi"/>
        <w:rPr>
          <w:lang w:val="sq-AL"/>
        </w:rPr>
      </w:pPr>
      <w:r>
        <w:rPr>
          <w:lang w:val="sq-AL"/>
        </w:rPr>
        <w:t>23. Nëpunësi autorizues, brenda 30 ditëve pas përfundimit të periudhës së raportimit duhet të dërgojë në Ministrinë e Financave dhe Ekonomisë, raportet katërmujore dhe vjetore të monitorimit të zbatimit të buxhetit për performancën financiare, produktet e realizuara për çdo program të përcaktuar në vitin e parë të dokumentit përfundimtar të Programit Buxhetor Afatmesëm, sipas formateve dhe standardeve pjesë e këtij udhëzimi.</w:t>
      </w:r>
    </w:p>
    <w:p w:rsidR="00413F0B" w:rsidRDefault="00413F0B" w:rsidP="00413F0B">
      <w:pPr>
        <w:pStyle w:val="Paragrafi"/>
        <w:rPr>
          <w:lang w:val="sq-AL"/>
        </w:rPr>
      </w:pPr>
      <w:r>
        <w:rPr>
          <w:lang w:val="sq-AL"/>
        </w:rPr>
        <w:t>24. Nëpunësi autorizues në rolin e koordinatorit të GMS-së gjatë procesit të monitorimit të buxhetit vjetor:</w:t>
      </w:r>
    </w:p>
    <w:p w:rsidR="00413F0B" w:rsidRDefault="00413F0B" w:rsidP="00413F0B">
      <w:pPr>
        <w:pStyle w:val="Paragrafi"/>
        <w:rPr>
          <w:lang w:val="sq-AL"/>
        </w:rPr>
      </w:pPr>
      <w:r>
        <w:rPr>
          <w:lang w:val="sq-AL"/>
        </w:rPr>
        <w:t>- Rishikon raportet e monitorimit të nënshkruara nga Ekipi i Menaxhimit të Programit (EMP) për të gjitha programet që përdor njësia e vetëqeverisjes vendore;</w:t>
      </w:r>
    </w:p>
    <w:p w:rsidR="00413F0B" w:rsidRDefault="00413F0B" w:rsidP="00413F0B">
      <w:pPr>
        <w:pStyle w:val="Paragrafi"/>
        <w:rPr>
          <w:lang w:val="sq-AL"/>
        </w:rPr>
      </w:pPr>
      <w:r>
        <w:rPr>
          <w:lang w:val="sq-AL"/>
        </w:rPr>
        <w:t xml:space="preserve">- Vlerëson realizimin e treguesve të performancës së planifikuar për arritjen e qëllimit, objektivave të programeve të shpenzimeve, si dhe realizimin e produkteve përkatëse, duke vlerësuar në mënyrë të </w:t>
      </w:r>
      <w:r>
        <w:rPr>
          <w:lang w:val="sq-AL"/>
        </w:rPr>
        <w:lastRenderedPageBreak/>
        <w:t xml:space="preserve">veçantë arritjet e objektivave të politikës së programit të njësisë. Verifikon shpjegimet e dhëna për shmangiet më të theksuara nga plani i performancës së programeve (treguesit e monitorimit të performancës së programeve buxhetore). </w:t>
      </w:r>
    </w:p>
    <w:p w:rsidR="00413F0B" w:rsidRDefault="00413F0B" w:rsidP="00413F0B">
      <w:pPr>
        <w:pStyle w:val="Paragrafi"/>
        <w:rPr>
          <w:lang w:val="sq-AL"/>
        </w:rPr>
      </w:pPr>
      <w:r>
        <w:rPr>
          <w:lang w:val="sq-AL"/>
        </w:rPr>
        <w:t>- Vlerëson masat korrigjuese që propozohen të ndërmerren, përcakton nëse duhen ndërmarrë veprime të mëtejshme dhe ku do të konsistojnë ato.</w:t>
      </w:r>
    </w:p>
    <w:p w:rsidR="00413F0B" w:rsidRDefault="00413F0B" w:rsidP="00413F0B">
      <w:pPr>
        <w:pStyle w:val="Paragrafi"/>
        <w:rPr>
          <w:lang w:val="sq-AL"/>
        </w:rPr>
      </w:pPr>
      <w:r>
        <w:rPr>
          <w:lang w:val="sq-AL"/>
        </w:rPr>
        <w:t>- Kërkon rishikimin e raporteve të përgatitura nga drejtuesit e EMP-së nëse është e nevojshme.</w:t>
      </w:r>
    </w:p>
    <w:p w:rsidR="00413F0B" w:rsidRDefault="00413F0B" w:rsidP="00413F0B">
      <w:pPr>
        <w:pStyle w:val="Paragrafi"/>
        <w:rPr>
          <w:lang w:val="sq-AL"/>
        </w:rPr>
      </w:pPr>
      <w:r>
        <w:rPr>
          <w:lang w:val="sq-AL"/>
        </w:rPr>
        <w:t>- Miraton dhe nënshkruan raportin përfundimtar për të gjitha programet e shpenzimeve buxhetore të njësisë. Një kopje të raportit e dërgon në Ministrinë e Financave dhe Ekonomisë.</w:t>
      </w:r>
    </w:p>
    <w:p w:rsidR="00413F0B" w:rsidRDefault="00413F0B" w:rsidP="00413F0B">
      <w:pPr>
        <w:pStyle w:val="Paragrafi"/>
        <w:rPr>
          <w:lang w:val="sq-AL"/>
        </w:rPr>
      </w:pPr>
      <w:r>
        <w:rPr>
          <w:lang w:val="sq-AL"/>
        </w:rPr>
        <w:t>25. Nëpunësi autorizues publikon në faqen zyrtare të njësisë, raportet e monitorimit, brenda 30 ditëve pas përfundimit të periudhës së raportimit.</w:t>
      </w:r>
    </w:p>
    <w:p w:rsidR="00413F0B" w:rsidRDefault="00413F0B" w:rsidP="00413F0B">
      <w:pPr>
        <w:pStyle w:val="Paragrafi"/>
        <w:rPr>
          <w:lang w:val="sq-AL"/>
        </w:rPr>
      </w:pPr>
      <w:r>
        <w:rPr>
          <w:lang w:val="sq-AL"/>
        </w:rPr>
        <w:t>26. Me kërkesë të Këshillit, nëpunësi autorizues i njësisë së vetëqeverisjes vendore raporton gjatë vitit edhe për çështje të tjera, që kanë lidhje me zbatimin e buxhetit dhe kontrollin e brendshëm financiar publik.</w:t>
      </w:r>
    </w:p>
    <w:p w:rsidR="00413F0B" w:rsidRDefault="00413F0B" w:rsidP="00413F0B">
      <w:pPr>
        <w:pStyle w:val="Paragrafi"/>
        <w:rPr>
          <w:b/>
          <w:lang w:val="sq-AL"/>
        </w:rPr>
      </w:pPr>
      <w:r>
        <w:rPr>
          <w:b/>
          <w:lang w:val="sq-AL"/>
        </w:rPr>
        <w:t>Përgjegjësitë e nëpunësit zbatues</w:t>
      </w:r>
    </w:p>
    <w:p w:rsidR="00413F0B" w:rsidRDefault="00413F0B" w:rsidP="00413F0B">
      <w:pPr>
        <w:pStyle w:val="Paragrafi"/>
        <w:rPr>
          <w:lang w:val="sq-AL"/>
        </w:rPr>
      </w:pPr>
      <w:r>
        <w:rPr>
          <w:lang w:val="sq-AL"/>
        </w:rPr>
        <w:t xml:space="preserve">27. Nëpunësi zbatues është përgjegjës dhe i raporton nëpunësit autorizues të njësisë, si dhe drejtuesve të programeve, informacionin e nevojshëm financiar për përgatitjen e raporteve përkatëse të monitorimit. </w:t>
      </w:r>
    </w:p>
    <w:p w:rsidR="00413F0B" w:rsidRDefault="00413F0B" w:rsidP="00413F0B">
      <w:pPr>
        <w:pStyle w:val="Paragrafi"/>
        <w:rPr>
          <w:lang w:val="sq-AL"/>
        </w:rPr>
      </w:pPr>
      <w:r>
        <w:rPr>
          <w:lang w:val="sq-AL"/>
        </w:rPr>
        <w:t>28. Nëpunësi zbatues ka rolin e sekretarit të grupit të menaxhimit strategjik të njësisë së vetëqeverisjes vendore. Ai mbështet nëpunësin autorizues gjatë procesit të përgatitjes së raporteve të monitorimit, nëpërmjet:</w:t>
      </w:r>
    </w:p>
    <w:p w:rsidR="00413F0B" w:rsidRDefault="00413F0B" w:rsidP="00413F0B">
      <w:pPr>
        <w:pStyle w:val="Paragrafi"/>
        <w:rPr>
          <w:lang w:val="sq-AL"/>
        </w:rPr>
      </w:pPr>
      <w:r>
        <w:rPr>
          <w:lang w:val="sq-AL"/>
        </w:rPr>
        <w:t>- Përgatitjes së informacionit financiar për shpenzimet faktike sipas: programeve; klasifikimit ekonomik të programit përkatës të periudhës së raportimit;</w:t>
      </w:r>
    </w:p>
    <w:p w:rsidR="00413F0B" w:rsidRDefault="00413F0B" w:rsidP="00413F0B">
      <w:pPr>
        <w:pStyle w:val="Paragrafi"/>
        <w:rPr>
          <w:lang w:val="sq-AL"/>
        </w:rPr>
      </w:pPr>
      <w:r>
        <w:rPr>
          <w:lang w:val="sq-AL"/>
        </w:rPr>
        <w:t>- Informimit të drejtuesve e programeve për çdo ndryshim në shpërndarjen e shpenzimeve të miratuara nga Grupi për Menaxhim Strategjik gjatë procesit të menaxhimit të shpenzimeve;</w:t>
      </w:r>
    </w:p>
    <w:p w:rsidR="00413F0B" w:rsidRDefault="00413F0B" w:rsidP="00413F0B">
      <w:pPr>
        <w:pStyle w:val="Paragrafi"/>
        <w:rPr>
          <w:lang w:val="sq-AL"/>
        </w:rPr>
      </w:pPr>
      <w:r>
        <w:rPr>
          <w:lang w:val="sq-AL"/>
        </w:rPr>
        <w:t>- Analizave financiare dhe jofinanciare (marrë kryesisht nga marrëveshjet kontraktuale dhe atyre të prokurimeve) për vitet e kaluara dhe vitin korrent; kryerjes së analizave përkatëse bazuar në informacionin financiar dhe jofinanciar të viteve të kaluara dhe vitit buxhetor aktual;</w:t>
      </w:r>
    </w:p>
    <w:p w:rsidR="00413F0B" w:rsidRDefault="00413F0B" w:rsidP="00413F0B">
      <w:pPr>
        <w:pStyle w:val="Paragrafi"/>
        <w:rPr>
          <w:lang w:val="sq-AL"/>
        </w:rPr>
      </w:pPr>
      <w:r>
        <w:rPr>
          <w:lang w:val="sq-AL"/>
        </w:rPr>
        <w:t>- Oponencës ndaj drejtuesve të programeve gjatë procesit të diskutimit të raporteve të monitorimit të programeve përkatëse;</w:t>
      </w:r>
    </w:p>
    <w:p w:rsidR="00413F0B" w:rsidRDefault="00413F0B" w:rsidP="00413F0B">
      <w:pPr>
        <w:pStyle w:val="Paragrafi"/>
        <w:rPr>
          <w:lang w:val="sq-AL"/>
        </w:rPr>
      </w:pPr>
      <w:r>
        <w:rPr>
          <w:lang w:val="sq-AL"/>
        </w:rPr>
        <w:t>- Hartimit të informacionit përmbledhës të shpenzimeve faktike të njësisë, nënshkrimit të planit të shpenzimeve dhe paraqitjes së tyre te nëpunësi autorizues;</w:t>
      </w:r>
    </w:p>
    <w:p w:rsidR="00413F0B" w:rsidRDefault="00413F0B" w:rsidP="00413F0B">
      <w:pPr>
        <w:pStyle w:val="Paragrafi"/>
        <w:rPr>
          <w:lang w:val="sq-AL"/>
        </w:rPr>
      </w:pPr>
      <w:r>
        <w:rPr>
          <w:lang w:val="sq-AL"/>
        </w:rPr>
        <w:t>- Mbledhjes, përditësimit dhe informimit për treguesit financiarë sipas përcaktimeve në ligjin nr. 68/2017 “Për financat e vetëqeverisjes vendore”.</w:t>
      </w:r>
    </w:p>
    <w:p w:rsidR="00413F0B" w:rsidRDefault="00413F0B" w:rsidP="00413F0B">
      <w:pPr>
        <w:pStyle w:val="Paragrafi"/>
        <w:rPr>
          <w:lang w:val="sq-AL"/>
        </w:rPr>
      </w:pPr>
      <w:r>
        <w:rPr>
          <w:lang w:val="sq-AL"/>
        </w:rPr>
        <w:t xml:space="preserve">29. Nëpunësi zbatues ndihmon drejtuesit e programeve në llogaritjen e kostove për njësi të produkteve sipas programeve. Ai ndihmon në identifikimin e mundësive buxhetore për mbulimin e kostove për realizimin e produkteve që nuk mund të financohen plotësisht ose është i pamundur financimi i tyre me burimet e disponueshme ose rishpërndarjen e burimeve financiare brenda programit buxhetor. </w:t>
      </w:r>
    </w:p>
    <w:p w:rsidR="00413F0B" w:rsidRDefault="00413F0B" w:rsidP="00413F0B">
      <w:pPr>
        <w:pStyle w:val="Paragrafi"/>
        <w:rPr>
          <w:lang w:val="sq-AL"/>
        </w:rPr>
      </w:pPr>
      <w:r>
        <w:rPr>
          <w:lang w:val="sq-AL"/>
        </w:rPr>
        <w:t xml:space="preserve">30. Nëpunësi zbatues bashkëpunon me drejtuesit e EMP-së dhe nëpunësit autorizues të nivelit të dytë, si dhe me anëtarët e ekipeve të menaxhimit të Programit për të identifikuar zgjidhjen e problemeve, në rastin e mospërputhjeve ndaj planit të treguesve të performancës së monitorimit të programeve. </w:t>
      </w:r>
    </w:p>
    <w:p w:rsidR="00413F0B" w:rsidRDefault="00413F0B" w:rsidP="00413F0B">
      <w:pPr>
        <w:pStyle w:val="Paragrafi"/>
        <w:rPr>
          <w:b/>
          <w:lang w:val="sq-AL"/>
        </w:rPr>
      </w:pPr>
      <w:r>
        <w:rPr>
          <w:b/>
          <w:lang w:val="sq-AL"/>
        </w:rPr>
        <w:t>Përgjegjësitë e drejtuesit të Ekipit të Menaxhimit të Programit</w:t>
      </w:r>
    </w:p>
    <w:p w:rsidR="00413F0B" w:rsidRDefault="00413F0B" w:rsidP="00413F0B">
      <w:pPr>
        <w:pStyle w:val="Paragrafi"/>
        <w:rPr>
          <w:lang w:val="sq-AL"/>
        </w:rPr>
      </w:pPr>
      <w:r>
        <w:rPr>
          <w:lang w:val="sq-AL"/>
        </w:rPr>
        <w:t>31. Drejtuesi i Ekipit të Menaxhimit të Programit (DEMP) është përgjegjës dhe raporton përpara nëpunësit autorizues për realizimin e qëllimeve, objektivave dhe produkteve të programit gjatë procesit të zbatimit të buxhetit dhe propozon masa korrigjuese në rast kur kjo është e nevojshme.</w:t>
      </w:r>
    </w:p>
    <w:p w:rsidR="00413F0B" w:rsidRDefault="00413F0B" w:rsidP="00413F0B">
      <w:pPr>
        <w:pStyle w:val="Paragrafi"/>
        <w:rPr>
          <w:lang w:val="sq-AL"/>
        </w:rPr>
      </w:pPr>
      <w:r>
        <w:rPr>
          <w:lang w:val="sq-AL"/>
        </w:rPr>
        <w:t>32. Drejtuesit e Ekipit të Menaxhimit të Programit janë përgjegjës përpara nëpunësit autorizues për raportimin në kohë, dhe sipas standardeve të përcaktuara në këtë udhëzim të produkteve për programin përkatës që drejtojnë.</w:t>
      </w:r>
    </w:p>
    <w:p w:rsidR="00413F0B" w:rsidRDefault="00413F0B" w:rsidP="00413F0B">
      <w:pPr>
        <w:pStyle w:val="Paragrafi"/>
        <w:rPr>
          <w:lang w:val="sq-AL"/>
        </w:rPr>
      </w:pPr>
      <w:r>
        <w:rPr>
          <w:lang w:val="sq-AL"/>
        </w:rPr>
        <w:t xml:space="preserve">33. Drejtuesit e programit kanë përgjegjësinë për të marrë pjesë në takimet e Grupit për Menaxhimin Strategjik, në çdo diskutim, si dhe në vendimmarrjet përkatëse që kanë ndikim mbi programin të cilin drejtojnë. </w:t>
      </w:r>
    </w:p>
    <w:p w:rsidR="00413F0B" w:rsidRDefault="00413F0B" w:rsidP="00413F0B">
      <w:pPr>
        <w:pStyle w:val="Paragrafi"/>
        <w:rPr>
          <w:lang w:val="sq-AL"/>
        </w:rPr>
      </w:pPr>
      <w:r>
        <w:rPr>
          <w:lang w:val="sq-AL"/>
        </w:rPr>
        <w:t>34. Në mënyrë specifike ata janë përgjegjës, për:</w:t>
      </w:r>
    </w:p>
    <w:p w:rsidR="00413F0B" w:rsidRDefault="00413F0B" w:rsidP="00413F0B">
      <w:pPr>
        <w:pStyle w:val="Paragrafi"/>
        <w:rPr>
          <w:lang w:val="sq-AL"/>
        </w:rPr>
      </w:pPr>
      <w:r>
        <w:rPr>
          <w:lang w:val="sq-AL"/>
        </w:rPr>
        <w:t>- Hartimin e planit katërmujor të produkteve në sasi dhe në vlerë duke respektuar tavanet e përcaktuara në ligjin e buxhetit vjetor.</w:t>
      </w:r>
    </w:p>
    <w:p w:rsidR="00413F0B" w:rsidRDefault="00413F0B" w:rsidP="00413F0B">
      <w:pPr>
        <w:pStyle w:val="Paragrafi"/>
        <w:rPr>
          <w:lang w:val="sq-AL"/>
        </w:rPr>
      </w:pPr>
      <w:r>
        <w:rPr>
          <w:lang w:val="sq-AL"/>
        </w:rPr>
        <w:t>- Mbledhjen e të dhënave në lidhje me performancën e objektivave, performancën mbi secilin produkt në fund të katërmujorit dhe krahasimin e të dhënave faktike me planin e periudhës;</w:t>
      </w:r>
    </w:p>
    <w:p w:rsidR="00413F0B" w:rsidRDefault="00413F0B" w:rsidP="00413F0B">
      <w:pPr>
        <w:pStyle w:val="Paragrafi"/>
        <w:rPr>
          <w:lang w:val="sq-AL"/>
        </w:rPr>
      </w:pPr>
      <w:r>
        <w:rPr>
          <w:lang w:val="sq-AL"/>
        </w:rPr>
        <w:t>- Analizën e shkaqeve të mospërputhjeve/ shmangieve dhe marrjen e vendimeve në lidhje me veprimet korrigjuese, të nevojshme për përmirësimin e situatës;</w:t>
      </w:r>
    </w:p>
    <w:p w:rsidR="00413F0B" w:rsidRDefault="00413F0B" w:rsidP="00413F0B">
      <w:pPr>
        <w:pStyle w:val="Paragrafi"/>
        <w:rPr>
          <w:lang w:val="sq-AL"/>
        </w:rPr>
      </w:pPr>
      <w:r>
        <w:rPr>
          <w:lang w:val="sq-AL"/>
        </w:rPr>
        <w:t xml:space="preserve">- Në rast se një nga arsyet e shmangies ka qenë planifikimi i pasaktë atëherë është i nevojshëm rishikimi </w:t>
      </w:r>
      <w:r>
        <w:rPr>
          <w:lang w:val="sq-AL"/>
        </w:rPr>
        <w:lastRenderedPageBreak/>
        <w:t>i planit dhe përgatitja e një përmbledhjeje të rishikuar katërmujore të shpenzimeve dhe realizimit të produkteve të programeve.</w:t>
      </w:r>
    </w:p>
    <w:p w:rsidR="00413F0B" w:rsidRDefault="00413F0B" w:rsidP="00413F0B">
      <w:pPr>
        <w:pStyle w:val="Paragrafi"/>
        <w:rPr>
          <w:lang w:val="sq-AL"/>
        </w:rPr>
      </w:pPr>
      <w:r>
        <w:rPr>
          <w:lang w:val="sq-AL"/>
        </w:rPr>
        <w:t>- Përgatitjen/rishikimin dhe nënshkrimin e raportit përmbledhës mbi bazën e raporteve paraprake të përgatitura nga anëtarët e EMP-së dhe dërgimin e tij tek anëtarët e GMS-së. Ky  raport përmban:</w:t>
      </w:r>
    </w:p>
    <w:p w:rsidR="00413F0B" w:rsidRDefault="00413F0B" w:rsidP="00413F0B">
      <w:pPr>
        <w:pStyle w:val="Paragrafi"/>
        <w:rPr>
          <w:lang w:val="sq-AL"/>
        </w:rPr>
      </w:pPr>
      <w:r>
        <w:rPr>
          <w:lang w:val="sq-AL"/>
        </w:rPr>
        <w:t>- Të dhëna në lidhje me performancën e objektivave;</w:t>
      </w:r>
    </w:p>
    <w:p w:rsidR="00413F0B" w:rsidRDefault="00413F0B" w:rsidP="00413F0B">
      <w:pPr>
        <w:pStyle w:val="Paragrafi"/>
        <w:rPr>
          <w:lang w:val="sq-AL"/>
        </w:rPr>
      </w:pPr>
      <w:r>
        <w:rPr>
          <w:lang w:val="sq-AL"/>
        </w:rPr>
        <w:t>- Të dhëna në lidhje me performancën e çdo produkti;</w:t>
      </w:r>
    </w:p>
    <w:p w:rsidR="00413F0B" w:rsidRDefault="00413F0B" w:rsidP="00413F0B">
      <w:pPr>
        <w:pStyle w:val="Paragrafi"/>
        <w:rPr>
          <w:lang w:val="sq-AL"/>
        </w:rPr>
      </w:pPr>
      <w:r>
        <w:rPr>
          <w:lang w:val="sq-AL"/>
        </w:rPr>
        <w:t>- Analizën që shpjegon mospërputhjet e rëndësishme në lidhje me planin e periudhës;</w:t>
      </w:r>
    </w:p>
    <w:p w:rsidR="00413F0B" w:rsidRDefault="00413F0B" w:rsidP="00413F0B">
      <w:pPr>
        <w:pStyle w:val="Paragrafi"/>
        <w:rPr>
          <w:lang w:val="sq-AL"/>
        </w:rPr>
      </w:pPr>
      <w:r>
        <w:rPr>
          <w:lang w:val="sq-AL"/>
        </w:rPr>
        <w:t>- Veprimet korrigjuese që EMP-ja ka ndërmarrë ose që planifikon të ndërmarrë;</w:t>
      </w:r>
    </w:p>
    <w:p w:rsidR="00413F0B" w:rsidRDefault="00413F0B" w:rsidP="00413F0B">
      <w:pPr>
        <w:pStyle w:val="Paragrafi"/>
        <w:rPr>
          <w:lang w:val="sq-AL"/>
        </w:rPr>
      </w:pPr>
      <w:r>
        <w:rPr>
          <w:lang w:val="sq-AL"/>
        </w:rPr>
        <w:t>- Përmbledhjen e përditësuar të shpenzimeve dhe realizimit të produkteve;</w:t>
      </w:r>
    </w:p>
    <w:p w:rsidR="00413F0B" w:rsidRDefault="00413F0B" w:rsidP="00413F0B">
      <w:pPr>
        <w:pStyle w:val="Paragrafi"/>
        <w:rPr>
          <w:lang w:val="sq-AL"/>
        </w:rPr>
      </w:pPr>
      <w:r>
        <w:rPr>
          <w:lang w:val="sq-AL"/>
        </w:rPr>
        <w:t>- Rekomandimet për veprime të mëtejshme për përmirësimin e situatës që i propozohen GMS-së për vendimmarrje;</w:t>
      </w:r>
    </w:p>
    <w:p w:rsidR="00413F0B" w:rsidRDefault="00413F0B" w:rsidP="00413F0B">
      <w:pPr>
        <w:pStyle w:val="Paragrafi"/>
        <w:rPr>
          <w:lang w:val="sq-AL"/>
        </w:rPr>
      </w:pPr>
      <w:r>
        <w:rPr>
          <w:lang w:val="sq-AL"/>
        </w:rPr>
        <w:t>- Identifikimin e ndikimit të çdo ndryshimi në realizimin e planit të vitit buxhetor në përgatitjen e kërkesave për PBA-në e ardhshme;</w:t>
      </w:r>
    </w:p>
    <w:p w:rsidR="00413F0B" w:rsidRDefault="00413F0B" w:rsidP="00413F0B">
      <w:pPr>
        <w:pStyle w:val="Paragrafi"/>
        <w:rPr>
          <w:lang w:val="sq-AL"/>
        </w:rPr>
      </w:pPr>
      <w:r>
        <w:rPr>
          <w:lang w:val="sq-AL"/>
        </w:rPr>
        <w:t>- Organizimin e takimeve të ekipit të menaxhimit të programit në etapa të ndryshme të procesit të monitorimit, sidomos përpara periudhave të raportimit;</w:t>
      </w:r>
    </w:p>
    <w:p w:rsidR="00413F0B" w:rsidRDefault="00413F0B" w:rsidP="00413F0B">
      <w:pPr>
        <w:pStyle w:val="Paragrafi"/>
        <w:rPr>
          <w:lang w:val="sq-AL"/>
        </w:rPr>
      </w:pPr>
      <w:r>
        <w:rPr>
          <w:lang w:val="sq-AL"/>
        </w:rPr>
        <w:t>- Harmonizimin e qëndrimeve kur anëtarët e EMP-së kanë mendime të ndryshme në lidhje me situata të caktuara dhe raportimin te koordinatori i GMS-së nëse nuk harmonizohen qëndrimet;</w:t>
      </w:r>
    </w:p>
    <w:p w:rsidR="00413F0B" w:rsidRDefault="00413F0B" w:rsidP="00413F0B">
      <w:pPr>
        <w:pStyle w:val="Paragrafi"/>
        <w:rPr>
          <w:lang w:val="sq-AL"/>
        </w:rPr>
      </w:pPr>
      <w:r>
        <w:rPr>
          <w:lang w:val="sq-AL"/>
        </w:rPr>
        <w:t xml:space="preserve">- Miratimin e të dhënave që hidhen në mënyrë elektronike (instrument financiar ose </w:t>
      </w:r>
      <w:r>
        <w:rPr>
          <w:i/>
          <w:lang w:val="sq-AL"/>
        </w:rPr>
        <w:t>software</w:t>
      </w:r>
      <w:r>
        <w:rPr>
          <w:lang w:val="sq-AL"/>
        </w:rPr>
        <w:t xml:space="preserve"> i përdorur për këtë qëllim)/data bazën e njësisë së vetëqeverisjes vendore për monitorimin e zbatimit të buxhetit.</w:t>
      </w:r>
    </w:p>
    <w:p w:rsidR="00413F0B" w:rsidRDefault="00413F0B" w:rsidP="00413F0B">
      <w:pPr>
        <w:pStyle w:val="Paragrafi"/>
        <w:rPr>
          <w:lang w:val="sq-AL"/>
        </w:rPr>
      </w:pPr>
      <w:r>
        <w:rPr>
          <w:lang w:val="sq-AL"/>
        </w:rPr>
        <w:t>35. Mbi bazën e produkteve të përcaktuara drejtuesi i programit ka përgjegjësi të vlerësojë risqet që ndikojnë në arritjen e këtyre produkteve, mënyrën e trajtimit të tyre, si dhe kostot për minimizimin e risqeve. Risqet renditen sipas impaktit në realizimin e objektivit sipas të cilit është i lidhur produkti dhe diskutohen në Grupin e Menaxhimit Strategjik.</w:t>
      </w:r>
    </w:p>
    <w:p w:rsidR="00413F0B" w:rsidRDefault="00413F0B" w:rsidP="00413F0B">
      <w:pPr>
        <w:pStyle w:val="Paragrafi"/>
        <w:rPr>
          <w:b/>
          <w:lang w:val="sq-AL"/>
        </w:rPr>
      </w:pPr>
      <w:r>
        <w:rPr>
          <w:b/>
          <w:lang w:val="sq-AL"/>
        </w:rPr>
        <w:t>Përgjegjësitë e anëtarëve të Ekipit të Menaxhimit të Programit</w:t>
      </w:r>
    </w:p>
    <w:p w:rsidR="00413F0B" w:rsidRDefault="00413F0B" w:rsidP="00413F0B">
      <w:pPr>
        <w:pStyle w:val="Paragrafi"/>
        <w:rPr>
          <w:lang w:val="sq-AL"/>
        </w:rPr>
      </w:pPr>
      <w:r>
        <w:rPr>
          <w:spacing w:val="-4"/>
          <w:lang w:val="sq-AL"/>
        </w:rPr>
        <w:t>36. Anëtarët e Ekipit të Menaxhimit të Programit janë ekspertë të fushës së programit përkatës buxhetor/nëpunës autorizues të nivelit të dytë, përgjegjës për menaxhimin e programeve/ projekteve që ata drejtojnë dhe përgjigjen për punën e tyre te drejtuesi i</w:t>
      </w:r>
      <w:r>
        <w:rPr>
          <w:lang w:val="sq-AL"/>
        </w:rPr>
        <w:t xml:space="preserve"> programit.</w:t>
      </w:r>
    </w:p>
    <w:p w:rsidR="00413F0B" w:rsidRDefault="00413F0B" w:rsidP="00413F0B">
      <w:pPr>
        <w:pStyle w:val="Paragrafi"/>
        <w:rPr>
          <w:lang w:val="sq-AL"/>
        </w:rPr>
      </w:pPr>
      <w:r>
        <w:rPr>
          <w:lang w:val="sq-AL"/>
        </w:rPr>
        <w:t>37. Anëtarët e Ekipit të Menaxhimit të Programit janë përgjegjës për realizimin e detyrave teknike për zbatimin e procedurave të monitorimit të programit sipas këtij udhëzimi, të cilat lidhen direkt me performancën e produkteve të programit të tyre, të dhëna në sasi dhe në vlerë financiare, duke identifikuar problematikat e hasura në rast shmangieje ndaj planit, si dhe duke bërë rekomandimet përkatëse për përmirësimin e situatës. Anëtarët e Ekipit të Menaxhimit të Programeve kanë për detyrë:</w:t>
      </w:r>
    </w:p>
    <w:p w:rsidR="00413F0B" w:rsidRDefault="00413F0B" w:rsidP="00413F0B">
      <w:pPr>
        <w:pStyle w:val="Paragrafi"/>
        <w:rPr>
          <w:lang w:val="sq-AL"/>
        </w:rPr>
      </w:pPr>
      <w:r>
        <w:rPr>
          <w:lang w:val="sq-AL"/>
        </w:rPr>
        <w:t xml:space="preserve">- Të respektojnë afatet, cilësinë dhe standardet e raportimit të performancës së produkteve për programin përkatës sipas formateve dhe kërkesave të këtij udhëzimi; </w:t>
      </w:r>
    </w:p>
    <w:p w:rsidR="00413F0B" w:rsidRDefault="00413F0B" w:rsidP="00413F0B">
      <w:pPr>
        <w:pStyle w:val="Paragrafi"/>
        <w:rPr>
          <w:lang w:val="sq-AL"/>
        </w:rPr>
      </w:pPr>
      <w:r>
        <w:rPr>
          <w:lang w:val="sq-AL"/>
        </w:rPr>
        <w:t xml:space="preserve">- Të ndjekin udhëzimet e koordinatorit të GMS-së; </w:t>
      </w:r>
    </w:p>
    <w:p w:rsidR="00413F0B" w:rsidRDefault="00413F0B" w:rsidP="00413F0B">
      <w:pPr>
        <w:pStyle w:val="Paragrafi"/>
        <w:rPr>
          <w:lang w:val="sq-AL"/>
        </w:rPr>
      </w:pPr>
      <w:r>
        <w:rPr>
          <w:lang w:val="sq-AL"/>
        </w:rPr>
        <w:t>- Të marrin pjesë në takimet e EMP-së, sipas kalendarit të aktiviteteve të Ekipit të Menaxhimit të Programit të hartuar nga drejtuesi i programit;</w:t>
      </w:r>
    </w:p>
    <w:p w:rsidR="00413F0B" w:rsidRDefault="00413F0B" w:rsidP="00413F0B">
      <w:pPr>
        <w:pStyle w:val="Paragrafi"/>
        <w:rPr>
          <w:lang w:val="sq-AL"/>
        </w:rPr>
      </w:pPr>
      <w:r>
        <w:rPr>
          <w:lang w:val="sq-AL"/>
        </w:rPr>
        <w:t>- Të kontribuojnë në përgatitjen e raportit të monitorimit;</w:t>
      </w:r>
    </w:p>
    <w:p w:rsidR="00413F0B" w:rsidRDefault="00413F0B" w:rsidP="00413F0B">
      <w:pPr>
        <w:pStyle w:val="Paragrafi"/>
        <w:rPr>
          <w:lang w:val="sq-AL"/>
        </w:rPr>
      </w:pPr>
      <w:r>
        <w:rPr>
          <w:lang w:val="sq-AL"/>
        </w:rPr>
        <w:t>- Të mbledhin, përditësojnë dhe raportojnë në mënyrë periodike treguesit e monitorimit të performancës së programit buxhetor ku ata bëjnë pjesë;</w:t>
      </w:r>
    </w:p>
    <w:p w:rsidR="00413F0B" w:rsidRDefault="00413F0B" w:rsidP="00413F0B">
      <w:pPr>
        <w:pStyle w:val="Paragrafi"/>
        <w:rPr>
          <w:lang w:val="sq-AL"/>
        </w:rPr>
      </w:pPr>
      <w:r>
        <w:rPr>
          <w:lang w:val="sq-AL"/>
        </w:rPr>
        <w:t xml:space="preserve">- Të koordinojnë me nëpunësin zbatues gjatë procesit të raportimit. </w:t>
      </w:r>
    </w:p>
    <w:p w:rsidR="00413F0B" w:rsidRDefault="00413F0B" w:rsidP="00413F0B">
      <w:pPr>
        <w:pStyle w:val="Paragrafi"/>
        <w:rPr>
          <w:lang w:val="sq-AL"/>
        </w:rPr>
      </w:pPr>
      <w:r>
        <w:rPr>
          <w:lang w:val="sq-AL"/>
        </w:rPr>
        <w:t>38. EMP-ja mban përgjegjësi për performancën e produkteve të planifikuara të programit që ata përfaqësojnë.</w:t>
      </w:r>
    </w:p>
    <w:p w:rsidR="00413F0B" w:rsidRDefault="00413F0B" w:rsidP="00413F0B">
      <w:pPr>
        <w:pStyle w:val="Paragrafi"/>
        <w:rPr>
          <w:lang w:val="sq-AL"/>
        </w:rPr>
      </w:pPr>
      <w:r>
        <w:rPr>
          <w:lang w:val="sq-AL"/>
        </w:rPr>
        <w:t>39. Mbi bazën e produkteve të përcaktuara Ekipi i Menaxhimit të Programit ka përgjegjësi të identifikojë risqet që ndikojnë arritjen e këtyre produkteve edhe objektivave për të cilët shërbejnë këto produkte, si dhe kostot për minimizimin e tyre dhe në vijim të hartojë regjistrin e riskut për programin që menaxhojnë.</w:t>
      </w:r>
    </w:p>
    <w:p w:rsidR="00413F0B" w:rsidRDefault="00413F0B" w:rsidP="00413F0B">
      <w:pPr>
        <w:pStyle w:val="Paragrafi"/>
        <w:rPr>
          <w:b/>
          <w:lang w:val="sq-AL"/>
        </w:rPr>
      </w:pPr>
      <w:r>
        <w:rPr>
          <w:b/>
          <w:lang w:val="sq-AL"/>
        </w:rPr>
        <w:t>Roli i Ministrisë së Financave dhe Ekonomisë në procesin e monitorimit të buxhetit</w:t>
      </w:r>
    </w:p>
    <w:p w:rsidR="00413F0B" w:rsidRDefault="00413F0B" w:rsidP="00413F0B">
      <w:pPr>
        <w:pStyle w:val="Paragrafi"/>
        <w:rPr>
          <w:lang w:val="sq-AL"/>
        </w:rPr>
      </w:pPr>
      <w:r>
        <w:rPr>
          <w:spacing w:val="-4"/>
          <w:lang w:val="sq-AL"/>
        </w:rPr>
        <w:t>40. Ministri i Financave dhe Ekonomisë, monitoron periodikisht, zbatimin dhe përputhshmërinë e veprimtarisë financiare të njësive të vetëqeverisjes vendore me legjislacionin në fuqi dhe ndërhyn në rastet e përcaktuara në ligjin nr. 9936/2008 “Për menaxhimin e sistemit buxhetor në Republikën e Shqipërisë”, i ndryshuar, ligjin nr. 68/2017 “Për financat e vetëqeverisjes vendore”, si edhe në</w:t>
      </w:r>
      <w:r>
        <w:rPr>
          <w:lang w:val="sq-AL"/>
        </w:rPr>
        <w:t xml:space="preserve"> akte të tjera ligjore në fuqi.</w:t>
      </w:r>
    </w:p>
    <w:p w:rsidR="00413F0B" w:rsidRDefault="00413F0B" w:rsidP="00413F0B">
      <w:pPr>
        <w:pStyle w:val="Paragrafi"/>
        <w:rPr>
          <w:lang w:val="sq-AL"/>
        </w:rPr>
      </w:pPr>
      <w:r>
        <w:rPr>
          <w:lang w:val="sq-AL"/>
        </w:rPr>
        <w:t>41. Ministria e Financave dhe Ekonomisë merr raporte periodike të monitorimit për performancën e produkteve dhe të shpenzimeve nga njësitë e vetëqeverisjes vendore.</w:t>
      </w:r>
    </w:p>
    <w:p w:rsidR="00413F0B" w:rsidRDefault="00413F0B" w:rsidP="00413F0B">
      <w:pPr>
        <w:pStyle w:val="Paragrafi"/>
        <w:rPr>
          <w:lang w:val="sq-AL"/>
        </w:rPr>
      </w:pPr>
      <w:r>
        <w:rPr>
          <w:lang w:val="sq-AL"/>
        </w:rPr>
        <w:t xml:space="preserve">42. Për raportimet e ndërmjetme kur nga ana e Ministrisë së Financave dhe Ekonomisë vihet re problematikë serioze në zbatimin e buxhetit të njësisë së vetëqeverisjes vendore, ministri i Financave dhe Ekonomisë përgatit një raport me komente e rekomandime dhe ia dërgon kryetarit dhe Këshillit të </w:t>
      </w:r>
      <w:r>
        <w:rPr>
          <w:lang w:val="sq-AL"/>
        </w:rPr>
        <w:lastRenderedPageBreak/>
        <w:t>Njësisë së Vetëqeverisjes Vendore.</w:t>
      </w:r>
    </w:p>
    <w:p w:rsidR="00413F0B" w:rsidRDefault="00413F0B" w:rsidP="00413F0B">
      <w:pPr>
        <w:pStyle w:val="Paragrafi"/>
        <w:rPr>
          <w:lang w:val="sq-AL"/>
        </w:rPr>
      </w:pPr>
      <w:r>
        <w:rPr>
          <w:lang w:val="sq-AL"/>
        </w:rPr>
        <w:t>43. Ministria e Financave dhe Ekonomisë, përgatit një raport me komente dhe rekomandime, brenda 30 ditëve pas dërgimit të raportit vjetor të monitorimit të zbatimit të buxhetit të njësisë së vetëqeverisjes vendore, mbështetur në raportin e treguesve të performancës vjetore të objektivave dhe produkteve dhe të shpenzimeve të realizuara kundrejt planit vjetor të njësisë së vetëqeverisjes vendore.</w:t>
      </w:r>
    </w:p>
    <w:p w:rsidR="00413F0B" w:rsidRDefault="00413F0B" w:rsidP="00413F0B">
      <w:pPr>
        <w:pStyle w:val="Paragrafi"/>
        <w:rPr>
          <w:lang w:val="sq-AL"/>
        </w:rPr>
      </w:pPr>
      <w:r>
        <w:rPr>
          <w:lang w:val="sq-AL"/>
        </w:rPr>
        <w:t>44. Ministria e Financave dhe Ekonomisë i dërgon një kopje të këtij raporti kryetarit dhe Këshillit të Njësisë së Vetëqeverisjes Vendore. Raporti publikohet në faqen zyrtare të Ministrisë së Financave dhe Ekonomisë.</w:t>
      </w:r>
    </w:p>
    <w:p w:rsidR="00413F0B" w:rsidRDefault="00413F0B" w:rsidP="00413F0B">
      <w:pPr>
        <w:pStyle w:val="Paragrafi"/>
        <w:rPr>
          <w:lang w:val="sq-AL"/>
        </w:rPr>
      </w:pPr>
      <w:r>
        <w:rPr>
          <w:lang w:val="sq-AL"/>
        </w:rPr>
        <w:t>III. PROCEDURAT PËR PROCESIN E MONITORIMIT</w:t>
      </w:r>
    </w:p>
    <w:p w:rsidR="00413F0B" w:rsidRDefault="00413F0B" w:rsidP="00413F0B">
      <w:pPr>
        <w:pStyle w:val="Paragrafi"/>
        <w:rPr>
          <w:b/>
          <w:lang w:val="sq-AL"/>
        </w:rPr>
      </w:pPr>
      <w:r>
        <w:rPr>
          <w:b/>
          <w:lang w:val="sq-AL"/>
        </w:rPr>
        <w:t>Përcaktimi i vitit korrent</w:t>
      </w:r>
    </w:p>
    <w:p w:rsidR="00413F0B" w:rsidRDefault="00413F0B" w:rsidP="00413F0B">
      <w:pPr>
        <w:pStyle w:val="Paragrafi"/>
        <w:rPr>
          <w:lang w:val="sq-AL"/>
        </w:rPr>
      </w:pPr>
      <w:r>
        <w:rPr>
          <w:lang w:val="sq-AL"/>
        </w:rPr>
        <w:t>45. Viti i cili do të monitorohet, është viti i parë i PBA-së, që i korrespondon vitit buxhetor korrent/aktual. Kur procesi i PBA-së të ketë përfunduar, për vitin korrent janë përcaktuar:</w:t>
      </w:r>
    </w:p>
    <w:p w:rsidR="00413F0B" w:rsidRDefault="00413F0B" w:rsidP="00413F0B">
      <w:pPr>
        <w:pStyle w:val="Paragrafi"/>
        <w:rPr>
          <w:lang w:val="sq-AL"/>
        </w:rPr>
      </w:pPr>
      <w:r>
        <w:rPr>
          <w:lang w:val="sq-AL"/>
        </w:rPr>
        <w:t>a) Shpërndarja e fondeve sipas programeve dhe zërave të klasifikimit ekonomik të shpenzimeve (artikujve), si dhe shpërndarja e fondeve për projektet, produktet;</w:t>
      </w:r>
    </w:p>
    <w:p w:rsidR="00413F0B" w:rsidRDefault="00413F0B" w:rsidP="00413F0B">
      <w:pPr>
        <w:pStyle w:val="Paragrafi"/>
        <w:rPr>
          <w:lang w:val="sq-AL"/>
        </w:rPr>
      </w:pPr>
      <w:r>
        <w:rPr>
          <w:lang w:val="sq-AL"/>
        </w:rPr>
        <w:t>b) Produktet e parashikuara për secilin program;</w:t>
      </w:r>
    </w:p>
    <w:p w:rsidR="00413F0B" w:rsidRDefault="00413F0B" w:rsidP="00413F0B">
      <w:pPr>
        <w:pStyle w:val="Paragrafi"/>
        <w:rPr>
          <w:lang w:val="sq-AL"/>
        </w:rPr>
      </w:pPr>
      <w:r>
        <w:rPr>
          <w:lang w:val="sq-AL"/>
        </w:rPr>
        <w:t>c) Kosto për njësi e planifikuar për secilin produkt;</w:t>
      </w:r>
    </w:p>
    <w:p w:rsidR="00413F0B" w:rsidRDefault="00413F0B" w:rsidP="00413F0B">
      <w:pPr>
        <w:pStyle w:val="Paragrafi"/>
        <w:rPr>
          <w:lang w:val="sq-AL"/>
        </w:rPr>
      </w:pPr>
      <w:r>
        <w:rPr>
          <w:lang w:val="sq-AL"/>
        </w:rPr>
        <w:t>d) Ndarje 4-mujore për shpenzimet sipas produkteve;</w:t>
      </w:r>
    </w:p>
    <w:p w:rsidR="00413F0B" w:rsidRDefault="00413F0B" w:rsidP="00413F0B">
      <w:pPr>
        <w:pStyle w:val="Paragrafi"/>
        <w:rPr>
          <w:lang w:val="sq-AL"/>
        </w:rPr>
      </w:pPr>
      <w:r>
        <w:rPr>
          <w:lang w:val="sq-AL"/>
        </w:rPr>
        <w:t>e) Zbatimi i planit strategjik të zhvillimit të njësisë së vetëqeverisjes vendore (planit të përgjithshëm vendor), strategjive sektoriale.</w:t>
      </w:r>
    </w:p>
    <w:p w:rsidR="00413F0B" w:rsidRDefault="00413F0B" w:rsidP="00413F0B">
      <w:pPr>
        <w:pStyle w:val="Paragrafi"/>
        <w:rPr>
          <w:lang w:val="sq-AL"/>
        </w:rPr>
      </w:pPr>
      <w:r>
        <w:rPr>
          <w:lang w:val="sq-AL"/>
        </w:rPr>
        <w:t xml:space="preserve">46. Pas marrjes së udhëzimit plotësues të ministrit të Financave dhe Ekonomisë, për zbatimin e buxhetit vjetor, koordinatori i GMS-së udhëzon EMP-në të fillojë përgatitjen e raporteve të monitorimit sipas formateve, afateve dhe standardeve të përcaktuara në udhëzimin standard dhe plotësues të monitorimit të zbatimit të buxhetit. Koordinatori i GMS-së përcakton datat e mbledhjeve të GMS-së që do të kryhen për të shqyrtuar raportet e monitorimit. </w:t>
      </w:r>
    </w:p>
    <w:p w:rsidR="00413F0B" w:rsidRDefault="00413F0B" w:rsidP="00413F0B">
      <w:pPr>
        <w:pStyle w:val="Paragrafi"/>
        <w:rPr>
          <w:lang w:val="sq-AL"/>
        </w:rPr>
      </w:pPr>
      <w:r>
        <w:rPr>
          <w:lang w:val="sq-AL"/>
        </w:rPr>
        <w:t>47. Procesi i përgatitjes së raportit të monitorimit duhet të nisë që në fillim të vitit. Drejtuesi i EMP-së, me qëllim sigurimin e të dhënave, duhet të koordinojë punën me specialistët teknikë përgjegjës për mbledhjen, përpunimin, analizën, publikimin e të dhënave, veçanërisht me ata që kanë lidhje me shpenzimet dhe me statistikat.</w:t>
      </w:r>
    </w:p>
    <w:p w:rsidR="00413F0B" w:rsidRDefault="00413F0B" w:rsidP="00413F0B">
      <w:pPr>
        <w:pStyle w:val="Paragrafi"/>
        <w:rPr>
          <w:b/>
          <w:lang w:val="sq-AL"/>
        </w:rPr>
      </w:pPr>
      <w:r>
        <w:rPr>
          <w:b/>
          <w:lang w:val="sq-AL"/>
        </w:rPr>
        <w:t>Procedura për përgatitjen e raporteve katërmujore të monitorimit</w:t>
      </w:r>
    </w:p>
    <w:p w:rsidR="00413F0B" w:rsidRDefault="00413F0B" w:rsidP="00413F0B">
      <w:pPr>
        <w:pStyle w:val="Paragrafi"/>
        <w:rPr>
          <w:lang w:val="sq-AL"/>
        </w:rPr>
      </w:pPr>
      <w:r>
        <w:rPr>
          <w:lang w:val="sq-AL"/>
        </w:rPr>
        <w:t>48. Procesi i raportimit mbi performancën e produkteve për secilin program kërkon përgatitjen e tri raporteve periodike të monitorimit në vit. Raporti i katërmujorit të parë dhe katërmujorit të dytë dorëzohen në Këshillin e Njësisë së Vetëqeverisjes Vendore dhe në drejtorinë përgjegjëse për financat vendore në Ministrinë e Financave dhe Ekonomisë deri në fund të javës së katërt mbas përfundimit të katërmujorit  dhe, konkretisht, deri më 30 maj; 30 shtator, ndërsa raporti vjetor, brenda muajit shkurt të vitit të ardhshëm.</w:t>
      </w:r>
    </w:p>
    <w:p w:rsidR="00413F0B" w:rsidRDefault="00413F0B" w:rsidP="00413F0B">
      <w:pPr>
        <w:pStyle w:val="Paragrafi"/>
        <w:rPr>
          <w:lang w:val="sq-AL"/>
        </w:rPr>
      </w:pPr>
      <w:r>
        <w:rPr>
          <w:lang w:val="sq-AL"/>
        </w:rPr>
        <w:t xml:space="preserve">49. EMP-ja nën drejtimin e drejtuesit të Ekipit vlerëson ecurinë e treguesve të monitorimit të performancës së programeve, përgatit raportet përkatëse dhe propozon masa korrigjuese kur vihen re shmangie kundrejt planit. EMP-ja duhet të rishikojë çdo mospërputhje, të konsultojë stafin teknik kur është e nevojshme dhe të shpjegojë arsyet e mospërputhjeve. Kur rishikohet buxheti dhe/ose PBA-ja, EMP-ja propozon rishikimin e planit të treguesve të monitorimit të performancës. </w:t>
      </w:r>
    </w:p>
    <w:p w:rsidR="00413F0B" w:rsidRDefault="00413F0B" w:rsidP="00413F0B">
      <w:pPr>
        <w:pStyle w:val="Paragrafi"/>
        <w:rPr>
          <w:lang w:val="sq-AL"/>
        </w:rPr>
      </w:pPr>
      <w:r>
        <w:rPr>
          <w:lang w:val="sq-AL"/>
        </w:rPr>
        <w:t xml:space="preserve">50. DEMP-ja mbledh, përditëson dhe raporton te GMS-ja mbi të dhënat e treguesve të monitorimit të performancës së programeve për të cilat ata janë përgjegjës. Treguesit e monitorimit japin informacion për objektivat dhe produktet e programeve përkatëse. </w:t>
      </w:r>
    </w:p>
    <w:p w:rsidR="00413F0B" w:rsidRDefault="00413F0B" w:rsidP="00413F0B">
      <w:pPr>
        <w:pStyle w:val="Paragrafi"/>
        <w:rPr>
          <w:lang w:val="sq-AL"/>
        </w:rPr>
      </w:pPr>
      <w:r>
        <w:rPr>
          <w:lang w:val="sq-AL"/>
        </w:rPr>
        <w:t xml:space="preserve">51. Mbi bazën e analizës së treguesve të performancës EMP-ja propozon ndryshime në strukturën e planit të shpenzimeve nëse ka shmangie, në mënyrë që të arrihen produktet e programeve për periudhat pasardhëse. Raporti i monitorimit jep masën e realizimit në përqindje të treguesve të performancës midis realizimit faktik dhe planit përkatës të tyre. </w:t>
      </w:r>
    </w:p>
    <w:p w:rsidR="00413F0B" w:rsidRDefault="00413F0B" w:rsidP="00413F0B">
      <w:pPr>
        <w:pStyle w:val="Paragrafi"/>
        <w:rPr>
          <w:lang w:val="sq-AL"/>
        </w:rPr>
      </w:pPr>
      <w:r>
        <w:rPr>
          <w:lang w:val="sq-AL"/>
        </w:rPr>
        <w:t>52. Kur EMP-ja ka sqaruar arsyet e mospërputhjeve dhe ka përcaktuar masat korrigjuese që do të ndërmerren, drejtuesi i EMP-së përgatit, nënshkruan dhe dërgon te GMS-ja një raport, i cili përmban:</w:t>
      </w:r>
    </w:p>
    <w:p w:rsidR="00413F0B" w:rsidRDefault="00413F0B" w:rsidP="00413F0B">
      <w:pPr>
        <w:pStyle w:val="Paragrafi"/>
        <w:rPr>
          <w:lang w:val="sq-AL"/>
        </w:rPr>
      </w:pPr>
      <w:r>
        <w:rPr>
          <w:lang w:val="sq-AL"/>
        </w:rPr>
        <w:t>- Monitorimin e treguesve të performancës së programeve buxhetore sipas standardeve të miratuara në këtë udhëzim;</w:t>
      </w:r>
    </w:p>
    <w:p w:rsidR="00413F0B" w:rsidRDefault="00413F0B" w:rsidP="00413F0B">
      <w:pPr>
        <w:pStyle w:val="Paragrafi"/>
        <w:rPr>
          <w:lang w:val="sq-AL"/>
        </w:rPr>
      </w:pPr>
      <w:r>
        <w:rPr>
          <w:lang w:val="sq-AL"/>
        </w:rPr>
        <w:t>- Relacion shpjegues për mospërputhjet kundrejt planit të periudhës raportuese;</w:t>
      </w:r>
    </w:p>
    <w:p w:rsidR="00413F0B" w:rsidRDefault="00413F0B" w:rsidP="00413F0B">
      <w:pPr>
        <w:pStyle w:val="Paragrafi"/>
        <w:rPr>
          <w:lang w:val="sq-AL"/>
        </w:rPr>
      </w:pPr>
      <w:r>
        <w:rPr>
          <w:lang w:val="sq-AL"/>
        </w:rPr>
        <w:t>- Masat korrigjuese që duhen ndërmarrë në rast mospërputhjeje.</w:t>
      </w:r>
    </w:p>
    <w:p w:rsidR="00413F0B" w:rsidRDefault="00413F0B" w:rsidP="00413F0B">
      <w:pPr>
        <w:pStyle w:val="Paragrafi"/>
        <w:rPr>
          <w:lang w:val="sq-AL"/>
        </w:rPr>
      </w:pPr>
      <w:r>
        <w:rPr>
          <w:lang w:val="sq-AL"/>
        </w:rPr>
        <w:t>53. Në bazë të rekomandimeve/masave korrigjuese të propozuara nga EMP-ja, si më sipër, GMS-ja propozon te kryetari i njësisë së vetëqeverisjes vendore ndërmarrjen e veprimeve përkatëse korrigjuese. Disa masa që kërkojnë vendimmarrje të kryetarit të njësisë apo Këshillit të njësisë, janë:</w:t>
      </w:r>
    </w:p>
    <w:p w:rsidR="00413F0B" w:rsidRDefault="00413F0B" w:rsidP="00413F0B">
      <w:pPr>
        <w:pStyle w:val="Paragrafi"/>
        <w:rPr>
          <w:lang w:val="sq-AL"/>
        </w:rPr>
      </w:pPr>
      <w:r>
        <w:rPr>
          <w:lang w:val="sq-AL"/>
        </w:rPr>
        <w:t>- Transferime fondesh ndërmjet programeve buxhetore;</w:t>
      </w:r>
    </w:p>
    <w:p w:rsidR="00413F0B" w:rsidRDefault="00413F0B" w:rsidP="00413F0B">
      <w:pPr>
        <w:pStyle w:val="Paragrafi"/>
        <w:rPr>
          <w:lang w:val="sq-AL"/>
        </w:rPr>
      </w:pPr>
      <w:r>
        <w:rPr>
          <w:lang w:val="sq-AL"/>
        </w:rPr>
        <w:lastRenderedPageBreak/>
        <w:t>- Transferim fondesh ndërmjet njësive shpenzuese të njësisë së vetëqeverisjes vendore;</w:t>
      </w:r>
    </w:p>
    <w:p w:rsidR="00413F0B" w:rsidRDefault="00413F0B" w:rsidP="00413F0B">
      <w:pPr>
        <w:pStyle w:val="Paragrafi"/>
        <w:rPr>
          <w:lang w:val="sq-AL"/>
        </w:rPr>
      </w:pPr>
      <w:r>
        <w:rPr>
          <w:lang w:val="sq-AL"/>
        </w:rPr>
        <w:t>- Rishpërndarjet ndërmjet zërave të shpenzimeve korrente, brenda të njëjtit program.</w:t>
      </w:r>
    </w:p>
    <w:p w:rsidR="00413F0B" w:rsidRDefault="00413F0B" w:rsidP="00413F0B">
      <w:pPr>
        <w:pStyle w:val="Paragrafi"/>
        <w:rPr>
          <w:lang w:val="sq-AL"/>
        </w:rPr>
      </w:pPr>
      <w:r>
        <w:rPr>
          <w:lang w:val="sq-AL"/>
        </w:rPr>
        <w:t xml:space="preserve">54. Në raportin e monitorimit të katërmujorit të dytë (tetëmujorit) duhet përgatitur një informacion shtesë lidhur me parashikimin e realizimit të pritshëm të vitit korrent për të gjitha produktet e programeve të shpenzimeve të njësisë së vetëqeverisjes vendore, si dhe për nivelin e realizimit të shpenzimeve të parashikuara. </w:t>
      </w:r>
    </w:p>
    <w:p w:rsidR="00413F0B" w:rsidRDefault="00413F0B" w:rsidP="00413F0B">
      <w:pPr>
        <w:pStyle w:val="Paragrafi"/>
        <w:rPr>
          <w:lang w:val="sq-AL"/>
        </w:rPr>
      </w:pPr>
      <w:r>
        <w:rPr>
          <w:lang w:val="sq-AL"/>
        </w:rPr>
        <w:t xml:space="preserve">55. Raportet e EMP-së marrin dakordësinë e të gjithë Ekipit, në të kundërt, kur ka mosmarrëveshje drejtuesi i EMP-së e paraqet qëndrimin e ndryshëm në GMS, si një pikë të veçantë të raportit përfundimtar për GMS-në. </w:t>
      </w:r>
    </w:p>
    <w:p w:rsidR="00413F0B" w:rsidRDefault="00413F0B" w:rsidP="00413F0B">
      <w:pPr>
        <w:pStyle w:val="Paragrafi"/>
        <w:rPr>
          <w:lang w:val="sq-AL"/>
        </w:rPr>
      </w:pPr>
      <w:r>
        <w:rPr>
          <w:lang w:val="sq-AL"/>
        </w:rPr>
        <w:t xml:space="preserve">56. Raportet e monitorimit të të gjitha EMP-ve, të cilat janë prezantuar dhe miratuar nga GMS-ja përmblidhen në një raport përfundimtar monitorimi dhe nënshkruhen nga koordinatori i GMS-së dhe drejtuesit e EMP-ve. Ato u dërgohen deri në fund të javës së katërt të periudhës së monitorimit Këshillit të Njësisë së Vetëqeverisjes Vendore dhe Ministrisë së Financave dhe Ekonomisë. </w:t>
      </w:r>
    </w:p>
    <w:p w:rsidR="00413F0B" w:rsidRDefault="00413F0B" w:rsidP="00413F0B">
      <w:pPr>
        <w:pStyle w:val="Paragrafi"/>
        <w:rPr>
          <w:lang w:val="sq-AL"/>
        </w:rPr>
      </w:pPr>
      <w:r>
        <w:rPr>
          <w:lang w:val="sq-AL"/>
        </w:rPr>
        <w:t>57. Në rastet kur GMS-ja nuk arrin marrëveshje, drejtuesi i GMS-së ka të drejtë të marrë vendimin.</w:t>
      </w:r>
    </w:p>
    <w:p w:rsidR="00413F0B" w:rsidRDefault="00413F0B" w:rsidP="00413F0B">
      <w:pPr>
        <w:pStyle w:val="Paragrafi"/>
        <w:rPr>
          <w:lang w:val="sq-AL"/>
        </w:rPr>
      </w:pPr>
      <w:r>
        <w:rPr>
          <w:lang w:val="sq-AL"/>
        </w:rPr>
        <w:t>IV. TË TJERA</w:t>
      </w:r>
    </w:p>
    <w:p w:rsidR="00413F0B" w:rsidRDefault="00413F0B" w:rsidP="00413F0B">
      <w:pPr>
        <w:pStyle w:val="Paragrafi"/>
        <w:rPr>
          <w:lang w:val="sq-AL"/>
        </w:rPr>
      </w:pPr>
      <w:r>
        <w:rPr>
          <w:lang w:val="sq-AL"/>
        </w:rPr>
        <w:t>58. Procedura të tjera shtesë lidhur me procesin e monitorimit, jepen në  shtojcat bashkëlidhur këtij udhëzimi, përkatësisht:</w:t>
      </w:r>
    </w:p>
    <w:p w:rsidR="00413F0B" w:rsidRDefault="00413F0B" w:rsidP="00413F0B">
      <w:pPr>
        <w:pStyle w:val="Paragrafi"/>
        <w:rPr>
          <w:lang w:val="sq-AL"/>
        </w:rPr>
      </w:pPr>
      <w:r>
        <w:rPr>
          <w:lang w:val="sq-AL"/>
        </w:rPr>
        <w:t>- Shtojca 1 “Afatet kohore për monitorimin e buxhetit”;</w:t>
      </w:r>
    </w:p>
    <w:p w:rsidR="00413F0B" w:rsidRDefault="00413F0B" w:rsidP="00413F0B">
      <w:pPr>
        <w:pStyle w:val="Paragrafi"/>
        <w:rPr>
          <w:lang w:val="sq-AL"/>
        </w:rPr>
      </w:pPr>
      <w:r>
        <w:rPr>
          <w:lang w:val="sq-AL"/>
        </w:rPr>
        <w:t>- Shtojca 2 “Përmbajtja e raportit të monitorimit”;</w:t>
      </w:r>
    </w:p>
    <w:p w:rsidR="00413F0B" w:rsidRDefault="00413F0B" w:rsidP="00413F0B">
      <w:pPr>
        <w:pStyle w:val="Paragrafi"/>
        <w:rPr>
          <w:lang w:val="sq-AL"/>
        </w:rPr>
      </w:pPr>
      <w:r>
        <w:rPr>
          <w:lang w:val="sq-AL"/>
        </w:rPr>
        <w:t>- Shtojca 3 “Procedura në rastin e një buxheti të rishikuar gjatë vitit korrent;</w:t>
      </w:r>
    </w:p>
    <w:p w:rsidR="00413F0B" w:rsidRDefault="00413F0B" w:rsidP="00413F0B">
      <w:pPr>
        <w:pStyle w:val="Paragrafi"/>
        <w:rPr>
          <w:lang w:val="sq-AL"/>
        </w:rPr>
      </w:pPr>
      <w:r>
        <w:rPr>
          <w:lang w:val="sq-AL"/>
        </w:rPr>
        <w:t>- Shtojca 4 “Procedura në rastin e ndryshimeve të alokimeve financiare në vitin korrent”;</w:t>
      </w:r>
    </w:p>
    <w:p w:rsidR="00413F0B" w:rsidRDefault="00413F0B" w:rsidP="00413F0B">
      <w:pPr>
        <w:pStyle w:val="Paragrafi"/>
        <w:rPr>
          <w:lang w:val="sq-AL"/>
        </w:rPr>
      </w:pPr>
      <w:r>
        <w:rPr>
          <w:lang w:val="sq-AL"/>
        </w:rPr>
        <w:t>- Shtojca 5 “Treguesit e monitorimit të performancës së programeve dhe treguesit financiarë”.</w:t>
      </w:r>
    </w:p>
    <w:p w:rsidR="00413F0B" w:rsidRDefault="00413F0B" w:rsidP="00413F0B">
      <w:pPr>
        <w:pStyle w:val="Paragrafi"/>
        <w:rPr>
          <w:lang w:val="sq-AL"/>
        </w:rPr>
      </w:pPr>
      <w:r>
        <w:rPr>
          <w:lang w:val="sq-AL"/>
        </w:rPr>
        <w:t>59. Raporti i  monitorimit të zbatimit të buxhetit duhet të përmbajë anekset e mëposhtme, pjesë e këtij udhëzimi dhe të detyrueshme për t’u zbatuar:</w:t>
      </w:r>
    </w:p>
    <w:p w:rsidR="00413F0B" w:rsidRDefault="00413F0B" w:rsidP="00413F0B">
      <w:pPr>
        <w:pStyle w:val="Paragrafi"/>
        <w:rPr>
          <w:lang w:val="sq-AL"/>
        </w:rPr>
      </w:pPr>
      <w:r>
        <w:rPr>
          <w:lang w:val="sq-AL"/>
        </w:rPr>
        <w:t>- Aneksi nr. 1 “Raporti i shpenzimeve sipas programeve”;</w:t>
      </w:r>
    </w:p>
    <w:p w:rsidR="00413F0B" w:rsidRDefault="00413F0B" w:rsidP="00413F0B">
      <w:pPr>
        <w:pStyle w:val="Paragrafi"/>
        <w:rPr>
          <w:lang w:val="sq-AL"/>
        </w:rPr>
      </w:pPr>
      <w:r>
        <w:rPr>
          <w:lang w:val="sq-AL"/>
        </w:rPr>
        <w:t>- Aneksi nr. 2 “Raporti i shpenzimeve të programeve sipas artikujve buxhetorë”;</w:t>
      </w:r>
    </w:p>
    <w:p w:rsidR="00413F0B" w:rsidRDefault="00413F0B" w:rsidP="00413F0B">
      <w:pPr>
        <w:pStyle w:val="Paragrafi"/>
        <w:rPr>
          <w:lang w:val="sq-AL"/>
        </w:rPr>
      </w:pPr>
      <w:r>
        <w:rPr>
          <w:lang w:val="sq-AL"/>
        </w:rPr>
        <w:t>- Aneksi nr. 3 “Raporti i realizimit të produkteve të programit”;</w:t>
      </w:r>
    </w:p>
    <w:p w:rsidR="00413F0B" w:rsidRDefault="00413F0B" w:rsidP="00413F0B">
      <w:pPr>
        <w:pStyle w:val="Paragrafi"/>
        <w:rPr>
          <w:lang w:val="sq-AL"/>
        </w:rPr>
      </w:pPr>
      <w:r>
        <w:rPr>
          <w:lang w:val="sq-AL"/>
        </w:rPr>
        <w:t>- Aneksi nr. 4 “Raporti i realizimit të objektivave të politikës së programit”;</w:t>
      </w:r>
    </w:p>
    <w:p w:rsidR="00413F0B" w:rsidRDefault="00413F0B" w:rsidP="00413F0B">
      <w:pPr>
        <w:pStyle w:val="Paragrafi"/>
        <w:rPr>
          <w:lang w:val="sq-AL"/>
        </w:rPr>
      </w:pPr>
      <w:r>
        <w:rPr>
          <w:lang w:val="sq-AL"/>
        </w:rPr>
        <w:t>- Aneksi nr. 5 “Projektet e investimeve me financim të brendshëm dhe me financim të huaj”.</w:t>
      </w:r>
    </w:p>
    <w:p w:rsidR="00413F0B" w:rsidRDefault="00413F0B" w:rsidP="00413F0B">
      <w:pPr>
        <w:pStyle w:val="Paragrafi"/>
        <w:rPr>
          <w:lang w:val="sq-AL"/>
        </w:rPr>
      </w:pPr>
      <w:r>
        <w:rPr>
          <w:lang w:val="sq-AL"/>
        </w:rPr>
        <w:t>60. Ky udhëzim hyn në fuqi menjëherë.</w:t>
      </w:r>
    </w:p>
    <w:p w:rsidR="00413F0B" w:rsidRDefault="00413F0B" w:rsidP="00413F0B">
      <w:pPr>
        <w:pStyle w:val="Hapesira7"/>
        <w:rPr>
          <w:lang w:val="sq-AL"/>
        </w:rPr>
      </w:pPr>
    </w:p>
    <w:p w:rsidR="00413F0B" w:rsidRDefault="00413F0B" w:rsidP="00413F0B">
      <w:pPr>
        <w:pStyle w:val="Paragrafi"/>
        <w:jc w:val="right"/>
        <w:rPr>
          <w:lang w:val="sq-AL"/>
        </w:rPr>
      </w:pPr>
      <w:r>
        <w:rPr>
          <w:lang w:val="sq-AL"/>
        </w:rPr>
        <w:t xml:space="preserve">MINISTRI I FINANCAVE </w:t>
      </w:r>
    </w:p>
    <w:p w:rsidR="00413F0B" w:rsidRDefault="00413F0B" w:rsidP="00413F0B">
      <w:pPr>
        <w:pStyle w:val="Paragrafi"/>
        <w:jc w:val="right"/>
        <w:rPr>
          <w:lang w:val="sq-AL"/>
        </w:rPr>
      </w:pPr>
      <w:r>
        <w:rPr>
          <w:lang w:val="sq-AL"/>
        </w:rPr>
        <w:t>DHE EKONOMISË</w:t>
      </w:r>
    </w:p>
    <w:p w:rsidR="00413F0B" w:rsidRDefault="00413F0B" w:rsidP="00413F0B">
      <w:pPr>
        <w:pStyle w:val="Paragrafi"/>
        <w:jc w:val="right"/>
        <w:rPr>
          <w:b/>
          <w:lang w:val="sq-AL"/>
        </w:rPr>
      </w:pPr>
      <w:r>
        <w:rPr>
          <w:b/>
          <w:lang w:val="sq-AL"/>
        </w:rPr>
        <w:t>Arben Ahmetaj</w:t>
      </w:r>
    </w:p>
    <w:p w:rsidR="00413F0B" w:rsidRDefault="00413F0B" w:rsidP="00413F0B">
      <w:pPr>
        <w:spacing w:after="0" w:line="240" w:lineRule="auto"/>
        <w:ind w:firstLine="0"/>
        <w:jc w:val="left"/>
        <w:rPr>
          <w:rFonts w:ascii="Garamond" w:eastAsia="MS Mincho" w:hAnsi="Garamond" w:cs="CG Times"/>
          <w:sz w:val="14"/>
          <w:szCs w:val="24"/>
          <w:lang w:val="sq-AL"/>
        </w:rPr>
        <w:sectPr w:rsidR="00413F0B" w:rsidSect="00413F0B">
          <w:pgSz w:w="11907" w:h="16840"/>
          <w:pgMar w:top="720" w:right="1134" w:bottom="720" w:left="1134" w:header="851" w:footer="851" w:gutter="0"/>
          <w:pgNumType w:start="8577"/>
          <w:cols w:space="454"/>
        </w:sectPr>
      </w:pPr>
    </w:p>
    <w:p w:rsidR="00413F0B" w:rsidRDefault="00413F0B" w:rsidP="00413F0B">
      <w:pPr>
        <w:pStyle w:val="Hapesira7"/>
        <w:rPr>
          <w:lang w:val="sq-AL"/>
        </w:rPr>
        <w:sectPr w:rsidR="00413F0B">
          <w:type w:val="continuous"/>
          <w:pgSz w:w="11907" w:h="16840"/>
          <w:pgMar w:top="720" w:right="1134" w:bottom="720" w:left="1134" w:header="851" w:footer="851" w:gutter="0"/>
          <w:cols w:space="720"/>
        </w:sectPr>
      </w:pPr>
    </w:p>
    <w:p w:rsidR="00413F0B" w:rsidRDefault="00413F0B" w:rsidP="00413F0B">
      <w:pPr>
        <w:pStyle w:val="Hapesira7"/>
        <w:rPr>
          <w:lang w:val="sq-AL"/>
        </w:rPr>
      </w:pPr>
    </w:p>
    <w:p w:rsidR="00413F0B" w:rsidRDefault="00413F0B" w:rsidP="00413F0B">
      <w:pPr>
        <w:pStyle w:val="Hapesira7"/>
        <w:rPr>
          <w:lang w:val="sq-AL"/>
        </w:rPr>
      </w:pPr>
    </w:p>
    <w:p w:rsidR="00413F0B" w:rsidRDefault="00413F0B" w:rsidP="00413F0B">
      <w:pPr>
        <w:pStyle w:val="Hapesira7"/>
        <w:rPr>
          <w:lang w:val="sq-AL"/>
        </w:rPr>
      </w:pPr>
    </w:p>
    <w:p w:rsidR="00413F0B" w:rsidRDefault="00413F0B" w:rsidP="00413F0B">
      <w:pPr>
        <w:pStyle w:val="Hapesira7"/>
        <w:rPr>
          <w:lang w:val="sq-AL"/>
        </w:rPr>
      </w:pPr>
    </w:p>
    <w:p w:rsidR="00413F0B" w:rsidRDefault="00413F0B" w:rsidP="00413F0B">
      <w:pPr>
        <w:pStyle w:val="Hapesira7"/>
        <w:rPr>
          <w:lang w:val="sq-AL"/>
        </w:rPr>
      </w:pPr>
    </w:p>
    <w:p w:rsidR="00413F0B" w:rsidRDefault="00413F0B" w:rsidP="00413F0B">
      <w:pPr>
        <w:pStyle w:val="Hapesira7"/>
        <w:rPr>
          <w:lang w:val="sq-AL"/>
        </w:rPr>
      </w:pPr>
    </w:p>
    <w:p w:rsidR="00413F0B" w:rsidRDefault="00413F0B" w:rsidP="00413F0B">
      <w:pPr>
        <w:pStyle w:val="Hapesira7"/>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Hapesira7"/>
        <w:ind w:firstLine="0"/>
        <w:rPr>
          <w:lang w:val="sq-AL"/>
        </w:rPr>
      </w:pPr>
    </w:p>
    <w:p w:rsidR="00413F0B" w:rsidRDefault="00413F0B" w:rsidP="00413F0B">
      <w:pPr>
        <w:pStyle w:val="Paragrafi"/>
        <w:jc w:val="center"/>
        <w:rPr>
          <w:lang w:val="sq-AL"/>
        </w:rPr>
      </w:pPr>
      <w:r>
        <w:rPr>
          <w:lang w:val="sq-AL"/>
        </w:rPr>
        <w:lastRenderedPageBreak/>
        <w:t>SHTOJCË 1</w:t>
      </w:r>
    </w:p>
    <w:p w:rsidR="00413F0B" w:rsidRDefault="00413F0B" w:rsidP="00413F0B">
      <w:pPr>
        <w:pStyle w:val="Paragrafi"/>
        <w:jc w:val="center"/>
        <w:rPr>
          <w:lang w:val="sq-AL"/>
        </w:rPr>
      </w:pPr>
      <w:r>
        <w:rPr>
          <w:lang w:val="sq-AL"/>
        </w:rPr>
        <w:t>AFATET KOHORE PËR MONITORIMIN E BUXHETIT</w:t>
      </w:r>
    </w:p>
    <w:p w:rsidR="00413F0B" w:rsidRDefault="00413F0B" w:rsidP="00413F0B">
      <w:pPr>
        <w:pStyle w:val="Paragrafi"/>
        <w:rPr>
          <w:sz w:val="14"/>
          <w:lang w:val="sq-AL"/>
        </w:rPr>
      </w:pPr>
    </w:p>
    <w:p w:rsidR="00413F0B" w:rsidRDefault="00413F0B" w:rsidP="00413F0B">
      <w:pPr>
        <w:pStyle w:val="Paragrafi"/>
        <w:rPr>
          <w:lang w:val="sq-AL"/>
        </w:rPr>
      </w:pPr>
      <w:r>
        <w:rPr>
          <w:lang w:val="sq-AL"/>
        </w:rPr>
        <w:t>Në mënyrë të përmbledhur i gjithë procesi i monitorimit të zbatimit të buxhetit me afatet kohore, personat përgjegjës dhe dokumentet e prodhuara jepet në skemën e mëposhtme:</w:t>
      </w:r>
    </w:p>
    <w:p w:rsidR="00413F0B" w:rsidRDefault="00413F0B" w:rsidP="00413F0B">
      <w:pPr>
        <w:pStyle w:val="Hapesira7"/>
        <w:rPr>
          <w:lang w:val="sq-AL"/>
        </w:rPr>
      </w:pPr>
    </w:p>
    <w:tbl>
      <w:tblPr>
        <w:tblStyle w:val="TableGrid"/>
        <w:tblW w:w="10253" w:type="dxa"/>
        <w:tblInd w:w="0" w:type="dxa"/>
        <w:tblLook w:val="04A0" w:firstRow="1" w:lastRow="0" w:firstColumn="1" w:lastColumn="0" w:noHBand="0" w:noVBand="1"/>
      </w:tblPr>
      <w:tblGrid>
        <w:gridCol w:w="2515"/>
        <w:gridCol w:w="2337"/>
        <w:gridCol w:w="1801"/>
        <w:gridCol w:w="3600"/>
      </w:tblGrid>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center"/>
              <w:rPr>
                <w:b/>
                <w:sz w:val="20"/>
                <w:lang w:val="sq-AL"/>
              </w:rPr>
            </w:pPr>
            <w:r>
              <w:rPr>
                <w:b/>
                <w:sz w:val="20"/>
                <w:lang w:val="sq-AL"/>
              </w:rPr>
              <w:t>Produkti</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center"/>
              <w:rPr>
                <w:b/>
                <w:sz w:val="20"/>
                <w:lang w:val="sq-AL"/>
              </w:rPr>
            </w:pPr>
            <w:r>
              <w:rPr>
                <w:b/>
                <w:sz w:val="20"/>
                <w:lang w:val="sq-AL"/>
              </w:rPr>
              <w:t>Koha/afati</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center"/>
              <w:rPr>
                <w:b/>
                <w:sz w:val="20"/>
                <w:lang w:val="sq-AL"/>
              </w:rPr>
            </w:pPr>
            <w:r>
              <w:rPr>
                <w:b/>
                <w:sz w:val="20"/>
                <w:lang w:val="sq-AL"/>
              </w:rPr>
              <w:t>Përgjegjës</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center"/>
              <w:rPr>
                <w:b/>
                <w:sz w:val="20"/>
                <w:lang w:val="sq-AL"/>
              </w:rPr>
            </w:pPr>
            <w:r>
              <w:rPr>
                <w:b/>
                <w:sz w:val="20"/>
                <w:lang w:val="sq-AL"/>
              </w:rPr>
              <w:t>Dokumenti prodhuar</w:t>
            </w:r>
          </w:p>
        </w:tc>
      </w:tr>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Përgatitja e treguesve të performancës</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 xml:space="preserve">Janar viti korrent </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EMP-ja</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Treguesit e monitorimit të performancës së programeve buxhetore të ndara në:</w:t>
            </w:r>
          </w:p>
          <w:p w:rsidR="00413F0B" w:rsidRDefault="00413F0B">
            <w:pPr>
              <w:pStyle w:val="Paragrafi"/>
              <w:ind w:firstLine="0"/>
              <w:jc w:val="left"/>
              <w:rPr>
                <w:sz w:val="20"/>
                <w:lang w:val="sq-AL"/>
              </w:rPr>
            </w:pPr>
            <w:r>
              <w:rPr>
                <w:sz w:val="20"/>
                <w:lang w:val="sq-AL"/>
              </w:rPr>
              <w:t>- Produkte për arritjen e objektivave të programeve;</w:t>
            </w:r>
          </w:p>
          <w:p w:rsidR="00413F0B" w:rsidRDefault="00413F0B">
            <w:pPr>
              <w:pStyle w:val="Paragrafi"/>
              <w:ind w:firstLine="0"/>
              <w:jc w:val="left"/>
              <w:rPr>
                <w:sz w:val="20"/>
                <w:lang w:val="sq-AL"/>
              </w:rPr>
            </w:pPr>
            <w:r>
              <w:rPr>
                <w:sz w:val="20"/>
                <w:lang w:val="sq-AL"/>
              </w:rPr>
              <w:t>- Kosto për njësi produktesh të prodhuara.</w:t>
            </w:r>
          </w:p>
          <w:p w:rsidR="00413F0B" w:rsidRDefault="00413F0B">
            <w:pPr>
              <w:pStyle w:val="Paragrafi"/>
              <w:ind w:firstLine="0"/>
              <w:jc w:val="left"/>
              <w:rPr>
                <w:sz w:val="20"/>
                <w:lang w:val="sq-AL"/>
              </w:rPr>
            </w:pPr>
            <w:r>
              <w:rPr>
                <w:sz w:val="20"/>
                <w:lang w:val="sq-AL"/>
              </w:rPr>
              <w:t>Lista e treguesve të performancës është pjesë e buxhetit vjetor dhe PBA-së.</w:t>
            </w:r>
          </w:p>
        </w:tc>
      </w:tr>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 xml:space="preserve">Përgatitja e raportit I të monitorimit </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1–15 maj viti korrent</w:t>
            </w:r>
          </w:p>
        </w:tc>
        <w:tc>
          <w:tcPr>
            <w:tcW w:w="1801" w:type="dxa"/>
            <w:tcBorders>
              <w:top w:val="single" w:sz="4" w:space="0" w:color="auto"/>
              <w:left w:val="single" w:sz="4" w:space="0" w:color="auto"/>
              <w:bottom w:val="single" w:sz="4" w:space="0" w:color="auto"/>
              <w:right w:val="single" w:sz="4" w:space="0" w:color="auto"/>
            </w:tcBorders>
          </w:tcPr>
          <w:p w:rsidR="00413F0B" w:rsidRDefault="00413F0B">
            <w:pPr>
              <w:pStyle w:val="Paragrafi"/>
              <w:ind w:firstLine="0"/>
              <w:jc w:val="left"/>
              <w:rPr>
                <w:sz w:val="20"/>
                <w:lang w:val="sq-AL"/>
              </w:rPr>
            </w:pPr>
            <w:r>
              <w:rPr>
                <w:sz w:val="20"/>
                <w:lang w:val="sq-AL"/>
              </w:rPr>
              <w:t>Drejtuesi i EMP-së</w:t>
            </w:r>
          </w:p>
          <w:p w:rsidR="00413F0B" w:rsidRDefault="00413F0B">
            <w:pPr>
              <w:pStyle w:val="Paragrafi"/>
              <w:ind w:firstLine="0"/>
              <w:jc w:val="left"/>
              <w:rPr>
                <w:sz w:val="20"/>
                <w:lang w:val="sq-AL"/>
              </w:rPr>
            </w:pP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Raporti i, i cili përmban:</w:t>
            </w:r>
          </w:p>
          <w:p w:rsidR="00413F0B" w:rsidRDefault="00413F0B">
            <w:pPr>
              <w:pStyle w:val="Paragrafi"/>
              <w:ind w:firstLine="0"/>
              <w:jc w:val="left"/>
              <w:rPr>
                <w:sz w:val="20"/>
                <w:lang w:val="sq-AL"/>
              </w:rPr>
            </w:pPr>
            <w:r>
              <w:rPr>
                <w:sz w:val="20"/>
                <w:lang w:val="sq-AL"/>
              </w:rPr>
              <w:t>- Realizimin faktik të treguesve të performancës së programeve buxhetore (në vlerë  dhe % kundrejt planit);</w:t>
            </w:r>
          </w:p>
          <w:p w:rsidR="00413F0B" w:rsidRDefault="00413F0B">
            <w:pPr>
              <w:pStyle w:val="Paragrafi"/>
              <w:ind w:firstLine="0"/>
              <w:jc w:val="left"/>
              <w:rPr>
                <w:sz w:val="20"/>
                <w:lang w:val="sq-AL"/>
              </w:rPr>
            </w:pPr>
            <w:r>
              <w:rPr>
                <w:sz w:val="20"/>
                <w:lang w:val="sq-AL"/>
              </w:rPr>
              <w:t>- Relacion shpjegues për mospërputhjet kundrejt planit të periudhës raportuese;</w:t>
            </w:r>
          </w:p>
          <w:p w:rsidR="00413F0B" w:rsidRDefault="00413F0B">
            <w:pPr>
              <w:pStyle w:val="Paragrafi"/>
              <w:ind w:firstLine="0"/>
              <w:jc w:val="left"/>
              <w:rPr>
                <w:sz w:val="20"/>
                <w:lang w:val="sq-AL"/>
              </w:rPr>
            </w:pPr>
            <w:r>
              <w:rPr>
                <w:sz w:val="20"/>
                <w:lang w:val="sq-AL"/>
              </w:rPr>
              <w:t>- Masat korrigjuese që duhen ndërmarrë në rast mospërputhjeje.</w:t>
            </w:r>
          </w:p>
        </w:tc>
      </w:tr>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Diskutimi dhe miratimi i Raportit I në GMS</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15–25 maj viti korrent</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GMS-ja dhe</w:t>
            </w:r>
          </w:p>
          <w:p w:rsidR="00413F0B" w:rsidRDefault="00413F0B">
            <w:pPr>
              <w:pStyle w:val="Paragrafi"/>
              <w:ind w:firstLine="0"/>
              <w:jc w:val="left"/>
              <w:rPr>
                <w:sz w:val="20"/>
                <w:lang w:val="sq-AL"/>
              </w:rPr>
            </w:pPr>
            <w:r>
              <w:rPr>
                <w:sz w:val="20"/>
                <w:lang w:val="sq-AL"/>
              </w:rPr>
              <w:t>koordinatori i GMS-së</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Raporti I miratuar nga GMS-ja</w:t>
            </w:r>
          </w:p>
          <w:p w:rsidR="00413F0B" w:rsidRDefault="00413F0B">
            <w:pPr>
              <w:pStyle w:val="Paragrafi"/>
              <w:ind w:firstLine="0"/>
              <w:jc w:val="left"/>
              <w:rPr>
                <w:sz w:val="20"/>
                <w:lang w:val="sq-AL"/>
              </w:rPr>
            </w:pPr>
            <w:r>
              <w:rPr>
                <w:sz w:val="20"/>
                <w:lang w:val="sq-AL"/>
              </w:rPr>
              <w:t>- Vlerësimi i raporteve të monitorimit të EMP-së;</w:t>
            </w:r>
          </w:p>
          <w:p w:rsidR="00413F0B" w:rsidRDefault="00413F0B">
            <w:pPr>
              <w:pStyle w:val="Paragrafi"/>
              <w:ind w:firstLine="0"/>
              <w:jc w:val="left"/>
              <w:rPr>
                <w:sz w:val="20"/>
                <w:lang w:val="sq-AL"/>
              </w:rPr>
            </w:pPr>
            <w:r>
              <w:rPr>
                <w:sz w:val="20"/>
                <w:lang w:val="sq-AL"/>
              </w:rPr>
              <w:t>- Marrja e vendimeve në rastet e mosdakordësisë të EMP-së.</w:t>
            </w:r>
          </w:p>
        </w:tc>
      </w:tr>
      <w:tr w:rsidR="00413F0B" w:rsidTr="00413F0B">
        <w:tc>
          <w:tcPr>
            <w:tcW w:w="2515" w:type="dxa"/>
            <w:tcBorders>
              <w:top w:val="single" w:sz="4" w:space="0" w:color="auto"/>
              <w:left w:val="single" w:sz="4" w:space="0" w:color="auto"/>
              <w:bottom w:val="single" w:sz="4" w:space="0" w:color="auto"/>
              <w:right w:val="single" w:sz="4" w:space="0" w:color="auto"/>
            </w:tcBorders>
          </w:tcPr>
          <w:p w:rsidR="00413F0B" w:rsidRDefault="00413F0B">
            <w:pPr>
              <w:pStyle w:val="Paragrafi"/>
              <w:ind w:firstLine="0"/>
              <w:jc w:val="left"/>
              <w:rPr>
                <w:sz w:val="20"/>
                <w:lang w:val="sq-AL"/>
              </w:rPr>
            </w:pPr>
            <w:r>
              <w:rPr>
                <w:sz w:val="20"/>
                <w:lang w:val="sq-AL"/>
              </w:rPr>
              <w:t>Raportimi në Këshill dhe Ministrinë e Financave dhe Ekonomisë</w:t>
            </w:r>
          </w:p>
          <w:p w:rsidR="00413F0B" w:rsidRDefault="00413F0B">
            <w:pPr>
              <w:pStyle w:val="Paragrafi"/>
              <w:ind w:firstLine="0"/>
              <w:jc w:val="left"/>
              <w:rPr>
                <w:sz w:val="20"/>
                <w:lang w:val="sq-AL"/>
              </w:rPr>
            </w:pPr>
          </w:p>
          <w:p w:rsidR="00413F0B" w:rsidRDefault="00413F0B">
            <w:pPr>
              <w:pStyle w:val="Paragrafi"/>
              <w:ind w:firstLine="0"/>
              <w:jc w:val="left"/>
              <w:rPr>
                <w:sz w:val="20"/>
                <w:lang w:val="sq-AL"/>
              </w:rPr>
            </w:pP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 xml:space="preserve">30 maj viti korrent </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 xml:space="preserve">Kryetari </w:t>
            </w:r>
          </w:p>
          <w:p w:rsidR="00413F0B" w:rsidRDefault="00413F0B">
            <w:pPr>
              <w:pStyle w:val="Paragrafi"/>
              <w:ind w:firstLine="0"/>
              <w:jc w:val="left"/>
              <w:rPr>
                <w:sz w:val="20"/>
                <w:lang w:val="sq-AL"/>
              </w:rPr>
            </w:pPr>
            <w:r>
              <w:rPr>
                <w:sz w:val="20"/>
                <w:lang w:val="sq-AL"/>
              </w:rPr>
              <w:t>i njësisë së vetëqeverisjes vendore</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 xml:space="preserve">Raporti I monitorimit të zbatimit të buxhetit. </w:t>
            </w:r>
          </w:p>
          <w:p w:rsidR="00413F0B" w:rsidRDefault="00413F0B">
            <w:pPr>
              <w:pStyle w:val="Paragrafi"/>
              <w:ind w:firstLine="0"/>
              <w:jc w:val="left"/>
              <w:rPr>
                <w:sz w:val="20"/>
                <w:lang w:val="sq-AL"/>
              </w:rPr>
            </w:pPr>
            <w:r>
              <w:rPr>
                <w:sz w:val="20"/>
                <w:lang w:val="sq-AL"/>
              </w:rPr>
              <w:t>Periudhat që përmban raporti:</w:t>
            </w:r>
          </w:p>
          <w:p w:rsidR="00413F0B" w:rsidRDefault="00413F0B">
            <w:pPr>
              <w:pStyle w:val="Paragrafi"/>
              <w:ind w:firstLine="0"/>
              <w:jc w:val="left"/>
              <w:rPr>
                <w:sz w:val="20"/>
                <w:lang w:val="sq-AL"/>
              </w:rPr>
            </w:pPr>
            <w:r>
              <w:rPr>
                <w:sz w:val="20"/>
                <w:lang w:val="sq-AL"/>
              </w:rPr>
              <w:t xml:space="preserve">- Vitin buxhetor / korrent </w:t>
            </w:r>
          </w:p>
          <w:p w:rsidR="00413F0B" w:rsidRDefault="00413F0B">
            <w:pPr>
              <w:pStyle w:val="Paragrafi"/>
              <w:ind w:firstLine="0"/>
              <w:jc w:val="left"/>
              <w:rPr>
                <w:sz w:val="20"/>
                <w:lang w:val="sq-AL"/>
              </w:rPr>
            </w:pPr>
            <w:r>
              <w:rPr>
                <w:sz w:val="20"/>
                <w:lang w:val="sq-AL"/>
              </w:rPr>
              <w:t>- Katërmujori i parë; vitit korrent (1.1.20XX --- 30.4.20XX);</w:t>
            </w:r>
          </w:p>
          <w:p w:rsidR="00413F0B" w:rsidRDefault="00413F0B">
            <w:pPr>
              <w:pStyle w:val="Paragrafi"/>
              <w:ind w:firstLine="0"/>
              <w:jc w:val="left"/>
              <w:rPr>
                <w:sz w:val="20"/>
                <w:lang w:val="sq-AL"/>
              </w:rPr>
            </w:pPr>
            <w:r>
              <w:rPr>
                <w:sz w:val="20"/>
                <w:lang w:val="sq-AL"/>
              </w:rPr>
              <w:t xml:space="preserve">- Dy vitet pararendëse. </w:t>
            </w:r>
          </w:p>
          <w:p w:rsidR="00413F0B" w:rsidRDefault="00413F0B">
            <w:pPr>
              <w:pStyle w:val="Paragrafi"/>
              <w:ind w:firstLine="0"/>
              <w:jc w:val="left"/>
              <w:rPr>
                <w:sz w:val="20"/>
                <w:lang w:val="sq-AL"/>
              </w:rPr>
            </w:pPr>
            <w:r>
              <w:rPr>
                <w:sz w:val="20"/>
                <w:lang w:val="sq-AL"/>
              </w:rPr>
              <w:t>Raporti përfshin:</w:t>
            </w:r>
          </w:p>
          <w:p w:rsidR="00413F0B" w:rsidRDefault="00413F0B">
            <w:pPr>
              <w:pStyle w:val="Paragrafi"/>
              <w:ind w:firstLine="0"/>
              <w:jc w:val="left"/>
              <w:rPr>
                <w:sz w:val="20"/>
                <w:lang w:val="sq-AL"/>
              </w:rPr>
            </w:pPr>
            <w:r>
              <w:rPr>
                <w:sz w:val="20"/>
                <w:lang w:val="sq-AL"/>
              </w:rPr>
              <w:t>- Të dhënat faktike dhe masën e realizimit në përqindje kundrejt planit të periudhës dhe krahasimin në përqindje kundrejt realizimit faktik të periudhave të mëparshme;</w:t>
            </w:r>
          </w:p>
          <w:p w:rsidR="00413F0B" w:rsidRDefault="00413F0B">
            <w:pPr>
              <w:pStyle w:val="Paragrafi"/>
              <w:ind w:firstLine="0"/>
              <w:jc w:val="left"/>
              <w:rPr>
                <w:sz w:val="20"/>
                <w:lang w:val="sq-AL"/>
              </w:rPr>
            </w:pPr>
            <w:r>
              <w:rPr>
                <w:sz w:val="20"/>
                <w:lang w:val="sq-AL"/>
              </w:rPr>
              <w:t xml:space="preserve">- Analizën e mospërputhjeve dhe masave për përmirësimin e situatës; </w:t>
            </w:r>
          </w:p>
          <w:p w:rsidR="00413F0B" w:rsidRDefault="00413F0B">
            <w:pPr>
              <w:pStyle w:val="Paragrafi"/>
              <w:ind w:firstLine="0"/>
              <w:jc w:val="left"/>
              <w:rPr>
                <w:sz w:val="20"/>
                <w:lang w:val="sq-AL"/>
              </w:rPr>
            </w:pPr>
            <w:r>
              <w:rPr>
                <w:sz w:val="20"/>
                <w:lang w:val="sq-AL"/>
              </w:rPr>
              <w:t>- Treguesit e monitorimit të performancës së programeve buxhetore.</w:t>
            </w:r>
          </w:p>
        </w:tc>
      </w:tr>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 xml:space="preserve">Publikimi i raportit I </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30 maj viti korrent</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Nëpunësi autorizues</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Informacion i aksesueshëm në faqen zyrtare të njësisë vendore.</w:t>
            </w:r>
          </w:p>
        </w:tc>
      </w:tr>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Komente mbi raportin I, drejtuar:</w:t>
            </w:r>
          </w:p>
          <w:p w:rsidR="00413F0B" w:rsidRDefault="00413F0B">
            <w:pPr>
              <w:pStyle w:val="Paragrafi"/>
              <w:ind w:firstLine="0"/>
              <w:jc w:val="left"/>
              <w:rPr>
                <w:sz w:val="20"/>
                <w:lang w:val="sq-AL"/>
              </w:rPr>
            </w:pPr>
            <w:r>
              <w:rPr>
                <w:sz w:val="20"/>
                <w:lang w:val="sq-AL"/>
              </w:rPr>
              <w:t>- Kryetarit të njësisë;</w:t>
            </w:r>
          </w:p>
          <w:p w:rsidR="00413F0B" w:rsidRDefault="00413F0B">
            <w:pPr>
              <w:pStyle w:val="Paragrafi"/>
              <w:ind w:firstLine="0"/>
              <w:jc w:val="left"/>
              <w:rPr>
                <w:sz w:val="20"/>
                <w:lang w:val="sq-AL"/>
              </w:rPr>
            </w:pPr>
            <w:r>
              <w:rPr>
                <w:sz w:val="20"/>
                <w:lang w:val="sq-AL"/>
              </w:rPr>
              <w:t>- Këshillit të njësisë vendore.</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30 qershor viti korrent</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 xml:space="preserve">Ministria e Financave dhe Ekonomisë </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Shkresa e MFE-së, e cila përmban:</w:t>
            </w:r>
          </w:p>
          <w:p w:rsidR="00413F0B" w:rsidRDefault="00413F0B">
            <w:pPr>
              <w:pStyle w:val="Paragrafi"/>
              <w:ind w:firstLine="0"/>
              <w:jc w:val="left"/>
              <w:rPr>
                <w:sz w:val="20"/>
                <w:lang w:val="sq-AL"/>
              </w:rPr>
            </w:pPr>
            <w:r>
              <w:rPr>
                <w:sz w:val="20"/>
                <w:lang w:val="sq-AL"/>
              </w:rPr>
              <w:t>- Komente dhe rekomandime në lidhje me treguesit e performancës të raportuar;</w:t>
            </w:r>
          </w:p>
          <w:p w:rsidR="00413F0B" w:rsidRDefault="00413F0B">
            <w:pPr>
              <w:pStyle w:val="Paragrafi"/>
              <w:ind w:firstLine="0"/>
              <w:jc w:val="left"/>
              <w:rPr>
                <w:sz w:val="20"/>
                <w:lang w:val="sq-AL"/>
              </w:rPr>
            </w:pPr>
            <w:r>
              <w:rPr>
                <w:sz w:val="20"/>
                <w:lang w:val="sq-AL"/>
              </w:rPr>
              <w:t>- Rekomandime konkrete për përmirësimin e situatës në rastet e konstatimit të vështirësive financiare.</w:t>
            </w:r>
          </w:p>
        </w:tc>
      </w:tr>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 xml:space="preserve">Përgatitja e Raportit II të monitorimit </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1–15 shtator viti korrent</w:t>
            </w:r>
          </w:p>
        </w:tc>
        <w:tc>
          <w:tcPr>
            <w:tcW w:w="1801" w:type="dxa"/>
            <w:tcBorders>
              <w:top w:val="single" w:sz="4" w:space="0" w:color="auto"/>
              <w:left w:val="single" w:sz="4" w:space="0" w:color="auto"/>
              <w:bottom w:val="single" w:sz="4" w:space="0" w:color="auto"/>
              <w:right w:val="single" w:sz="4" w:space="0" w:color="auto"/>
            </w:tcBorders>
          </w:tcPr>
          <w:p w:rsidR="00413F0B" w:rsidRDefault="00413F0B">
            <w:pPr>
              <w:pStyle w:val="Paragrafi"/>
              <w:ind w:firstLine="0"/>
              <w:jc w:val="left"/>
              <w:rPr>
                <w:sz w:val="20"/>
                <w:lang w:val="sq-AL"/>
              </w:rPr>
            </w:pPr>
            <w:r>
              <w:rPr>
                <w:sz w:val="20"/>
                <w:lang w:val="sq-AL"/>
              </w:rPr>
              <w:t>Drejtuesi i EMP-së</w:t>
            </w:r>
          </w:p>
          <w:p w:rsidR="00413F0B" w:rsidRDefault="00413F0B">
            <w:pPr>
              <w:pStyle w:val="Paragrafi"/>
              <w:ind w:firstLine="0"/>
              <w:jc w:val="left"/>
              <w:rPr>
                <w:sz w:val="20"/>
                <w:lang w:val="sq-AL"/>
              </w:rPr>
            </w:pP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Raporti II, i cili përmban:</w:t>
            </w:r>
          </w:p>
          <w:p w:rsidR="00413F0B" w:rsidRDefault="00413F0B">
            <w:pPr>
              <w:pStyle w:val="Paragrafi"/>
              <w:ind w:firstLine="0"/>
              <w:jc w:val="left"/>
              <w:rPr>
                <w:sz w:val="20"/>
                <w:lang w:val="sq-AL"/>
              </w:rPr>
            </w:pPr>
            <w:r>
              <w:rPr>
                <w:sz w:val="20"/>
                <w:lang w:val="sq-AL"/>
              </w:rPr>
              <w:t>- Realizimin faktik të  treguesve të performancës së programeve buxhetore (në vlerë  dhe % kundrejt planit);</w:t>
            </w:r>
          </w:p>
          <w:p w:rsidR="00413F0B" w:rsidRDefault="00413F0B">
            <w:pPr>
              <w:pStyle w:val="Paragrafi"/>
              <w:ind w:firstLine="0"/>
              <w:jc w:val="left"/>
              <w:rPr>
                <w:sz w:val="20"/>
                <w:lang w:val="sq-AL"/>
              </w:rPr>
            </w:pPr>
            <w:r>
              <w:rPr>
                <w:sz w:val="20"/>
                <w:lang w:val="sq-AL"/>
              </w:rPr>
              <w:t>- Parashikim për realizimin e pritshëm deri në fund të vitit  korrent;</w:t>
            </w:r>
          </w:p>
          <w:p w:rsidR="00413F0B" w:rsidRDefault="00413F0B">
            <w:pPr>
              <w:pStyle w:val="Paragrafi"/>
              <w:ind w:firstLine="0"/>
              <w:jc w:val="left"/>
              <w:rPr>
                <w:sz w:val="20"/>
                <w:lang w:val="sq-AL"/>
              </w:rPr>
            </w:pPr>
            <w:r>
              <w:rPr>
                <w:sz w:val="20"/>
                <w:lang w:val="sq-AL"/>
              </w:rPr>
              <w:t>- Relacion shpjegues për mospërputhjet kundrejt planit të periudhës raportuese;</w:t>
            </w:r>
          </w:p>
          <w:p w:rsidR="00413F0B" w:rsidRDefault="00413F0B">
            <w:pPr>
              <w:pStyle w:val="Paragrafi"/>
              <w:ind w:firstLine="0"/>
              <w:jc w:val="left"/>
              <w:rPr>
                <w:sz w:val="20"/>
                <w:lang w:val="sq-AL"/>
              </w:rPr>
            </w:pPr>
            <w:r>
              <w:rPr>
                <w:sz w:val="20"/>
                <w:lang w:val="sq-AL"/>
              </w:rPr>
              <w:t>- Masat korrigjuese që duhen ndërmarrë në rast mospërputhjeje.</w:t>
            </w:r>
          </w:p>
        </w:tc>
      </w:tr>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Diskutimi dhe miratimi i Raportit II në GMS</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15–25 shtator viti korrent</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GMS-ja dhe</w:t>
            </w:r>
          </w:p>
          <w:p w:rsidR="00413F0B" w:rsidRDefault="00413F0B">
            <w:pPr>
              <w:pStyle w:val="Paragrafi"/>
              <w:ind w:firstLine="0"/>
              <w:jc w:val="left"/>
              <w:rPr>
                <w:sz w:val="20"/>
                <w:lang w:val="sq-AL"/>
              </w:rPr>
            </w:pPr>
            <w:r>
              <w:rPr>
                <w:sz w:val="20"/>
                <w:lang w:val="sq-AL"/>
              </w:rPr>
              <w:t>koordinatori i GMS-së</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Raporti II miratuar nga GMS-ja</w:t>
            </w:r>
          </w:p>
          <w:p w:rsidR="00413F0B" w:rsidRDefault="00413F0B">
            <w:pPr>
              <w:pStyle w:val="Paragrafi"/>
              <w:ind w:firstLine="0"/>
              <w:jc w:val="left"/>
              <w:rPr>
                <w:sz w:val="20"/>
                <w:lang w:val="sq-AL"/>
              </w:rPr>
            </w:pPr>
            <w:r>
              <w:rPr>
                <w:sz w:val="20"/>
                <w:lang w:val="sq-AL"/>
              </w:rPr>
              <w:t>- Vlerësimi i raporteve të monitorimit të EMP-së;</w:t>
            </w:r>
          </w:p>
          <w:p w:rsidR="00413F0B" w:rsidRDefault="00413F0B">
            <w:pPr>
              <w:pStyle w:val="Paragrafi"/>
              <w:ind w:firstLine="0"/>
              <w:jc w:val="left"/>
              <w:rPr>
                <w:sz w:val="20"/>
                <w:lang w:val="sq-AL"/>
              </w:rPr>
            </w:pPr>
            <w:r>
              <w:rPr>
                <w:sz w:val="20"/>
                <w:lang w:val="sq-AL"/>
              </w:rPr>
              <w:t>- Marrja e vendimeve në rastet e mosdakordësisë nga EMP-ja.</w:t>
            </w:r>
          </w:p>
        </w:tc>
      </w:tr>
      <w:tr w:rsidR="00413F0B" w:rsidTr="00413F0B">
        <w:tc>
          <w:tcPr>
            <w:tcW w:w="2515" w:type="dxa"/>
            <w:tcBorders>
              <w:top w:val="single" w:sz="4" w:space="0" w:color="auto"/>
              <w:left w:val="single" w:sz="4" w:space="0" w:color="auto"/>
              <w:bottom w:val="single" w:sz="4" w:space="0" w:color="auto"/>
              <w:right w:val="single" w:sz="4" w:space="0" w:color="auto"/>
            </w:tcBorders>
          </w:tcPr>
          <w:p w:rsidR="00413F0B" w:rsidRDefault="00413F0B">
            <w:pPr>
              <w:pStyle w:val="Paragrafi"/>
              <w:ind w:firstLine="0"/>
              <w:jc w:val="left"/>
              <w:rPr>
                <w:sz w:val="20"/>
                <w:lang w:val="sq-AL"/>
              </w:rPr>
            </w:pPr>
            <w:r>
              <w:rPr>
                <w:sz w:val="20"/>
                <w:lang w:val="sq-AL"/>
              </w:rPr>
              <w:lastRenderedPageBreak/>
              <w:t>Raportimi në Këshill dhe Ministrinë e Financave dhe Ekonomisë:</w:t>
            </w:r>
          </w:p>
          <w:p w:rsidR="00413F0B" w:rsidRDefault="00413F0B">
            <w:pPr>
              <w:pStyle w:val="Paragrafi"/>
              <w:ind w:firstLine="0"/>
              <w:jc w:val="left"/>
              <w:rPr>
                <w:sz w:val="20"/>
                <w:lang w:val="sq-AL"/>
              </w:rPr>
            </w:pPr>
          </w:p>
          <w:p w:rsidR="00413F0B" w:rsidRDefault="00413F0B">
            <w:pPr>
              <w:pStyle w:val="Paragrafi"/>
              <w:ind w:firstLine="0"/>
              <w:jc w:val="left"/>
              <w:rPr>
                <w:sz w:val="20"/>
                <w:lang w:val="sq-AL"/>
              </w:rPr>
            </w:pP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30 shtator viti korrent</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 xml:space="preserve">Kryetari </w:t>
            </w:r>
          </w:p>
          <w:p w:rsidR="00413F0B" w:rsidRDefault="00413F0B">
            <w:pPr>
              <w:pStyle w:val="Paragrafi"/>
              <w:ind w:firstLine="0"/>
              <w:jc w:val="left"/>
              <w:rPr>
                <w:sz w:val="20"/>
                <w:lang w:val="sq-AL"/>
              </w:rPr>
            </w:pPr>
            <w:r>
              <w:rPr>
                <w:sz w:val="20"/>
                <w:lang w:val="sq-AL"/>
              </w:rPr>
              <w:t>i njësisë së vetëqeverisjes vendore</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 xml:space="preserve">Raporti II i monitorimit të zbatimit të buxhetit. </w:t>
            </w:r>
          </w:p>
          <w:p w:rsidR="00413F0B" w:rsidRDefault="00413F0B">
            <w:pPr>
              <w:pStyle w:val="Paragrafi"/>
              <w:ind w:firstLine="0"/>
              <w:jc w:val="left"/>
              <w:rPr>
                <w:sz w:val="20"/>
                <w:lang w:val="sq-AL"/>
              </w:rPr>
            </w:pPr>
            <w:r>
              <w:rPr>
                <w:sz w:val="20"/>
                <w:lang w:val="sq-AL"/>
              </w:rPr>
              <w:t>Periudhat që përmban raporti:</w:t>
            </w:r>
          </w:p>
          <w:p w:rsidR="00413F0B" w:rsidRDefault="00413F0B">
            <w:pPr>
              <w:pStyle w:val="Paragrafi"/>
              <w:ind w:firstLine="0"/>
              <w:jc w:val="left"/>
              <w:rPr>
                <w:sz w:val="20"/>
                <w:lang w:val="sq-AL"/>
              </w:rPr>
            </w:pPr>
            <w:r>
              <w:rPr>
                <w:sz w:val="20"/>
                <w:lang w:val="sq-AL"/>
              </w:rPr>
              <w:t xml:space="preserve">- Vitin buxhetor / korrent </w:t>
            </w:r>
          </w:p>
          <w:p w:rsidR="00413F0B" w:rsidRDefault="00413F0B">
            <w:pPr>
              <w:pStyle w:val="Paragrafi"/>
              <w:ind w:firstLine="0"/>
              <w:jc w:val="left"/>
              <w:rPr>
                <w:sz w:val="20"/>
                <w:lang w:val="sq-AL"/>
              </w:rPr>
            </w:pPr>
            <w:r>
              <w:rPr>
                <w:sz w:val="20"/>
                <w:lang w:val="sq-AL"/>
              </w:rPr>
              <w:t>- Katërmujori i dytë (progresiv); vitit korrent (1.5.20XX --- 31.8.20XX);</w:t>
            </w:r>
          </w:p>
          <w:p w:rsidR="00413F0B" w:rsidRDefault="00413F0B">
            <w:pPr>
              <w:pStyle w:val="Paragrafi"/>
              <w:ind w:firstLine="0"/>
              <w:jc w:val="left"/>
              <w:rPr>
                <w:sz w:val="20"/>
                <w:lang w:val="sq-AL"/>
              </w:rPr>
            </w:pPr>
            <w:r>
              <w:rPr>
                <w:sz w:val="20"/>
                <w:lang w:val="sq-AL"/>
              </w:rPr>
              <w:t>- Dy vitet pararendëse.</w:t>
            </w:r>
          </w:p>
          <w:p w:rsidR="00413F0B" w:rsidRDefault="00413F0B">
            <w:pPr>
              <w:pStyle w:val="Paragrafi"/>
              <w:ind w:firstLine="0"/>
              <w:jc w:val="left"/>
              <w:rPr>
                <w:sz w:val="20"/>
                <w:lang w:val="sq-AL"/>
              </w:rPr>
            </w:pPr>
            <w:r>
              <w:rPr>
                <w:sz w:val="20"/>
                <w:lang w:val="sq-AL"/>
              </w:rPr>
              <w:t>Raporti përfshin:</w:t>
            </w:r>
          </w:p>
          <w:p w:rsidR="00413F0B" w:rsidRDefault="00413F0B">
            <w:pPr>
              <w:pStyle w:val="Paragrafi"/>
              <w:ind w:firstLine="0"/>
              <w:jc w:val="left"/>
              <w:rPr>
                <w:sz w:val="20"/>
                <w:lang w:val="sq-AL"/>
              </w:rPr>
            </w:pPr>
            <w:r>
              <w:rPr>
                <w:sz w:val="20"/>
                <w:lang w:val="sq-AL"/>
              </w:rPr>
              <w:t>- Të dhënat faktike dhe masën e realizimit në përqindje kundrejt planit për të njëjtën periudhë dhe krahasimin në përqindje kundrejt realizimit faktik të periudhave të mëparshme;</w:t>
            </w:r>
          </w:p>
          <w:p w:rsidR="00413F0B" w:rsidRDefault="00413F0B">
            <w:pPr>
              <w:pStyle w:val="Paragrafi"/>
              <w:ind w:firstLine="0"/>
              <w:jc w:val="left"/>
              <w:rPr>
                <w:sz w:val="20"/>
                <w:lang w:val="sq-AL"/>
              </w:rPr>
            </w:pPr>
            <w:r>
              <w:rPr>
                <w:sz w:val="20"/>
                <w:lang w:val="sq-AL"/>
              </w:rPr>
              <w:t xml:space="preserve">- Analizën e mospërputhjeve dhe masave për përmirësimin e situatës. </w:t>
            </w:r>
          </w:p>
          <w:p w:rsidR="00413F0B" w:rsidRDefault="00413F0B">
            <w:pPr>
              <w:pStyle w:val="Paragrafi"/>
              <w:ind w:firstLine="0"/>
              <w:jc w:val="left"/>
              <w:rPr>
                <w:sz w:val="20"/>
                <w:lang w:val="sq-AL"/>
              </w:rPr>
            </w:pPr>
            <w:r>
              <w:rPr>
                <w:sz w:val="20"/>
                <w:lang w:val="sq-AL"/>
              </w:rPr>
              <w:t>- Treguesit e monitorimit të performancës së programeve buxhetore;</w:t>
            </w:r>
          </w:p>
          <w:p w:rsidR="00413F0B" w:rsidRDefault="00413F0B">
            <w:pPr>
              <w:pStyle w:val="Paragrafi"/>
              <w:ind w:firstLine="0"/>
              <w:jc w:val="left"/>
              <w:rPr>
                <w:sz w:val="20"/>
                <w:lang w:val="sq-AL"/>
              </w:rPr>
            </w:pPr>
            <w:r>
              <w:rPr>
                <w:sz w:val="20"/>
                <w:lang w:val="sq-AL"/>
              </w:rPr>
              <w:t>- Masën e parashikimit të pritshën të realizimit të treguesve të performancës deri në fund të vitit.</w:t>
            </w:r>
          </w:p>
        </w:tc>
      </w:tr>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Publikimi i raportit II</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30 shtator viti korrent</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Nëpunësi autorizues</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Informacion i aksesueshëm në faqen zyrtare të njësisë vendore</w:t>
            </w:r>
          </w:p>
        </w:tc>
      </w:tr>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Komente mbi raportin II, drejtuar:</w:t>
            </w:r>
          </w:p>
          <w:p w:rsidR="00413F0B" w:rsidRDefault="00413F0B">
            <w:pPr>
              <w:pStyle w:val="Paragrafi"/>
              <w:ind w:firstLine="0"/>
              <w:jc w:val="left"/>
              <w:rPr>
                <w:sz w:val="20"/>
                <w:lang w:val="sq-AL"/>
              </w:rPr>
            </w:pPr>
            <w:r>
              <w:rPr>
                <w:sz w:val="20"/>
                <w:lang w:val="sq-AL"/>
              </w:rPr>
              <w:t>- Kryetarit të njësisë;</w:t>
            </w:r>
          </w:p>
          <w:p w:rsidR="00413F0B" w:rsidRDefault="00413F0B">
            <w:pPr>
              <w:pStyle w:val="Paragrafi"/>
              <w:ind w:firstLine="0"/>
              <w:jc w:val="left"/>
              <w:rPr>
                <w:sz w:val="20"/>
                <w:lang w:val="sq-AL"/>
              </w:rPr>
            </w:pPr>
            <w:r>
              <w:rPr>
                <w:sz w:val="20"/>
                <w:lang w:val="sq-AL"/>
              </w:rPr>
              <w:t>- Këshillit të njësisë vendore.</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30 tetor viti korrent</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Ministria e Financave dhe Ekonomisë</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Shkresa e MFE-së, e cila përmban:</w:t>
            </w:r>
          </w:p>
          <w:p w:rsidR="00413F0B" w:rsidRDefault="00413F0B">
            <w:pPr>
              <w:pStyle w:val="Paragrafi"/>
              <w:ind w:firstLine="0"/>
              <w:jc w:val="left"/>
              <w:rPr>
                <w:sz w:val="20"/>
                <w:lang w:val="sq-AL"/>
              </w:rPr>
            </w:pPr>
            <w:r>
              <w:rPr>
                <w:sz w:val="20"/>
                <w:lang w:val="sq-AL"/>
              </w:rPr>
              <w:t>- Komente dhe rekomandime në lidhje me treguesit e performancës të raportuar.</w:t>
            </w:r>
          </w:p>
        </w:tc>
      </w:tr>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 xml:space="preserve">Përgatitja e raportit III të monitorimit </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1-15 janar viti korrent</w:t>
            </w:r>
          </w:p>
        </w:tc>
        <w:tc>
          <w:tcPr>
            <w:tcW w:w="1801" w:type="dxa"/>
            <w:tcBorders>
              <w:top w:val="single" w:sz="4" w:space="0" w:color="auto"/>
              <w:left w:val="single" w:sz="4" w:space="0" w:color="auto"/>
              <w:bottom w:val="single" w:sz="4" w:space="0" w:color="auto"/>
              <w:right w:val="single" w:sz="4" w:space="0" w:color="auto"/>
            </w:tcBorders>
          </w:tcPr>
          <w:p w:rsidR="00413F0B" w:rsidRDefault="00413F0B">
            <w:pPr>
              <w:pStyle w:val="Paragrafi"/>
              <w:ind w:firstLine="0"/>
              <w:jc w:val="left"/>
              <w:rPr>
                <w:sz w:val="20"/>
                <w:lang w:val="sq-AL"/>
              </w:rPr>
            </w:pPr>
            <w:r>
              <w:rPr>
                <w:sz w:val="20"/>
                <w:lang w:val="sq-AL"/>
              </w:rPr>
              <w:t>Drejtuesi i EMP-së</w:t>
            </w:r>
          </w:p>
          <w:p w:rsidR="00413F0B" w:rsidRDefault="00413F0B">
            <w:pPr>
              <w:pStyle w:val="Paragrafi"/>
              <w:ind w:firstLine="0"/>
              <w:jc w:val="left"/>
              <w:rPr>
                <w:sz w:val="20"/>
                <w:lang w:val="sq-AL"/>
              </w:rPr>
            </w:pP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Raporti III, i cili përmban:</w:t>
            </w:r>
          </w:p>
          <w:p w:rsidR="00413F0B" w:rsidRDefault="00413F0B">
            <w:pPr>
              <w:pStyle w:val="Paragrafi"/>
              <w:ind w:firstLine="0"/>
              <w:jc w:val="left"/>
              <w:rPr>
                <w:sz w:val="20"/>
                <w:lang w:val="sq-AL"/>
              </w:rPr>
            </w:pPr>
            <w:r>
              <w:rPr>
                <w:sz w:val="20"/>
                <w:lang w:val="sq-AL"/>
              </w:rPr>
              <w:t>- Realizimin faktik të treguesve të performancës së programeve buxhetore (në vlerë dhe % kundrejt planit);</w:t>
            </w:r>
          </w:p>
          <w:p w:rsidR="00413F0B" w:rsidRDefault="00413F0B">
            <w:pPr>
              <w:pStyle w:val="Paragrafi"/>
              <w:ind w:firstLine="0"/>
              <w:jc w:val="left"/>
              <w:rPr>
                <w:sz w:val="20"/>
                <w:lang w:val="sq-AL"/>
              </w:rPr>
            </w:pPr>
            <w:r>
              <w:rPr>
                <w:sz w:val="20"/>
                <w:lang w:val="sq-AL"/>
              </w:rPr>
              <w:t>- Relacion shpjegues për mospërputhjet kundrejt planit të periudhës raportuese dhe planit vjetor;</w:t>
            </w:r>
          </w:p>
          <w:p w:rsidR="00413F0B" w:rsidRDefault="00413F0B">
            <w:pPr>
              <w:pStyle w:val="Paragrafi"/>
              <w:ind w:firstLine="0"/>
              <w:jc w:val="left"/>
              <w:rPr>
                <w:sz w:val="20"/>
                <w:lang w:val="sq-AL"/>
              </w:rPr>
            </w:pPr>
            <w:r>
              <w:rPr>
                <w:sz w:val="20"/>
                <w:lang w:val="sq-AL"/>
              </w:rPr>
              <w:t>- Masat korrigjuese që janë ndërmarrë për çdo rast mospërputhjeje.</w:t>
            </w:r>
          </w:p>
        </w:tc>
      </w:tr>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Diskutimi dhe miratimi i Raportit III në GMS</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15–25 janar viti parardhës</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GMS-ja dhe</w:t>
            </w:r>
          </w:p>
          <w:p w:rsidR="00413F0B" w:rsidRDefault="00413F0B">
            <w:pPr>
              <w:pStyle w:val="Paragrafi"/>
              <w:ind w:firstLine="0"/>
              <w:jc w:val="left"/>
              <w:rPr>
                <w:sz w:val="20"/>
                <w:lang w:val="sq-AL"/>
              </w:rPr>
            </w:pPr>
            <w:r>
              <w:rPr>
                <w:sz w:val="20"/>
                <w:lang w:val="sq-AL"/>
              </w:rPr>
              <w:t>koordinatori i GMS-së</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Raporti III miratuar nga GMS-ja</w:t>
            </w:r>
          </w:p>
          <w:p w:rsidR="00413F0B" w:rsidRDefault="00413F0B">
            <w:pPr>
              <w:pStyle w:val="Paragrafi"/>
              <w:ind w:firstLine="0"/>
              <w:jc w:val="left"/>
              <w:rPr>
                <w:sz w:val="20"/>
                <w:lang w:val="sq-AL"/>
              </w:rPr>
            </w:pPr>
            <w:r>
              <w:rPr>
                <w:sz w:val="20"/>
                <w:lang w:val="sq-AL"/>
              </w:rPr>
              <w:t>- Vlerësimi i raporteve të monitorimit të EMP-së;</w:t>
            </w:r>
          </w:p>
          <w:p w:rsidR="00413F0B" w:rsidRDefault="00413F0B">
            <w:pPr>
              <w:pStyle w:val="Paragrafi"/>
              <w:ind w:firstLine="0"/>
              <w:jc w:val="left"/>
              <w:rPr>
                <w:sz w:val="20"/>
                <w:lang w:val="sq-AL"/>
              </w:rPr>
            </w:pPr>
            <w:r>
              <w:rPr>
                <w:sz w:val="20"/>
                <w:lang w:val="sq-AL"/>
              </w:rPr>
              <w:t>- Marrja e vendimeve në rastet e mosdakordësisë nga EMP-ja.</w:t>
            </w:r>
          </w:p>
        </w:tc>
      </w:tr>
      <w:tr w:rsidR="00413F0B" w:rsidTr="00413F0B">
        <w:tc>
          <w:tcPr>
            <w:tcW w:w="2515" w:type="dxa"/>
            <w:tcBorders>
              <w:top w:val="single" w:sz="4" w:space="0" w:color="auto"/>
              <w:left w:val="single" w:sz="4" w:space="0" w:color="auto"/>
              <w:bottom w:val="single" w:sz="4" w:space="0" w:color="auto"/>
              <w:right w:val="single" w:sz="4" w:space="0" w:color="auto"/>
            </w:tcBorders>
          </w:tcPr>
          <w:p w:rsidR="00413F0B" w:rsidRDefault="00413F0B">
            <w:pPr>
              <w:pStyle w:val="Paragrafi"/>
              <w:ind w:firstLine="0"/>
              <w:jc w:val="left"/>
              <w:rPr>
                <w:sz w:val="20"/>
                <w:lang w:val="sq-AL"/>
              </w:rPr>
            </w:pPr>
            <w:r>
              <w:rPr>
                <w:sz w:val="20"/>
                <w:lang w:val="sq-AL"/>
              </w:rPr>
              <w:t>Raportimi në Këshill dhe Ministrinë e Financave</w:t>
            </w:r>
          </w:p>
          <w:p w:rsidR="00413F0B" w:rsidRDefault="00413F0B">
            <w:pPr>
              <w:pStyle w:val="Paragrafi"/>
              <w:ind w:firstLine="0"/>
              <w:jc w:val="left"/>
              <w:rPr>
                <w:sz w:val="20"/>
                <w:lang w:val="sq-AL"/>
              </w:rPr>
            </w:pPr>
          </w:p>
          <w:p w:rsidR="00413F0B" w:rsidRDefault="00413F0B">
            <w:pPr>
              <w:pStyle w:val="Paragrafi"/>
              <w:ind w:firstLine="0"/>
              <w:jc w:val="left"/>
              <w:rPr>
                <w:sz w:val="20"/>
                <w:lang w:val="sq-AL"/>
              </w:rPr>
            </w:pP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Brenda muajit shkurt të vitit pasardhës</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 xml:space="preserve">Kryetari </w:t>
            </w:r>
          </w:p>
          <w:p w:rsidR="00413F0B" w:rsidRDefault="00413F0B">
            <w:pPr>
              <w:pStyle w:val="Paragrafi"/>
              <w:ind w:firstLine="0"/>
              <w:jc w:val="left"/>
              <w:rPr>
                <w:sz w:val="20"/>
                <w:lang w:val="sq-AL"/>
              </w:rPr>
            </w:pPr>
            <w:r>
              <w:rPr>
                <w:sz w:val="20"/>
                <w:lang w:val="sq-AL"/>
              </w:rPr>
              <w:t>i njësisë së vetëqeverisjes vendore</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 xml:space="preserve">Raporti III (vjetor) i monitorimit të zbatimit të buxhetit. </w:t>
            </w:r>
          </w:p>
          <w:p w:rsidR="00413F0B" w:rsidRDefault="00413F0B">
            <w:pPr>
              <w:pStyle w:val="Paragrafi"/>
              <w:ind w:firstLine="0"/>
              <w:rPr>
                <w:sz w:val="20"/>
                <w:lang w:val="sq-AL"/>
              </w:rPr>
            </w:pPr>
            <w:r>
              <w:rPr>
                <w:sz w:val="20"/>
                <w:lang w:val="sq-AL"/>
              </w:rPr>
              <w:t>Periudhat që përmbajnë raportet:</w:t>
            </w:r>
          </w:p>
          <w:p w:rsidR="00413F0B" w:rsidRDefault="00413F0B">
            <w:pPr>
              <w:pStyle w:val="Paragrafi"/>
              <w:ind w:firstLine="0"/>
              <w:rPr>
                <w:sz w:val="20"/>
                <w:lang w:val="sq-AL"/>
              </w:rPr>
            </w:pPr>
            <w:r>
              <w:rPr>
                <w:sz w:val="20"/>
                <w:lang w:val="sq-AL"/>
              </w:rPr>
              <w:t>- Vitin buxhetor / korrent, periudha (1.1.20XX --- 31.12.20XX).</w:t>
            </w:r>
          </w:p>
          <w:p w:rsidR="00413F0B" w:rsidRDefault="00413F0B">
            <w:pPr>
              <w:pStyle w:val="Paragrafi"/>
              <w:ind w:firstLine="0"/>
              <w:rPr>
                <w:sz w:val="20"/>
                <w:lang w:val="sq-AL"/>
              </w:rPr>
            </w:pPr>
            <w:r>
              <w:rPr>
                <w:sz w:val="20"/>
                <w:lang w:val="sq-AL"/>
              </w:rPr>
              <w:t>Raporti përfshin:</w:t>
            </w:r>
          </w:p>
          <w:p w:rsidR="00413F0B" w:rsidRDefault="00413F0B">
            <w:pPr>
              <w:pStyle w:val="Paragrafi"/>
              <w:ind w:firstLine="0"/>
              <w:rPr>
                <w:sz w:val="20"/>
                <w:lang w:val="sq-AL"/>
              </w:rPr>
            </w:pPr>
            <w:r>
              <w:rPr>
                <w:sz w:val="20"/>
                <w:lang w:val="sq-AL"/>
              </w:rPr>
              <w:t>- Të dhënat faktike dhe masën e realizimit në përqindje kundrejt planit të periudhës dhe krahasimin në përqindje kundrejt realizimit faktik të periudhave të mëparshme;</w:t>
            </w:r>
          </w:p>
          <w:p w:rsidR="00413F0B" w:rsidRDefault="00413F0B">
            <w:pPr>
              <w:pStyle w:val="Paragrafi"/>
              <w:ind w:firstLine="0"/>
              <w:rPr>
                <w:sz w:val="20"/>
                <w:lang w:val="sq-AL"/>
              </w:rPr>
            </w:pPr>
            <w:r>
              <w:rPr>
                <w:sz w:val="20"/>
                <w:lang w:val="sq-AL"/>
              </w:rPr>
              <w:t>- Të dhënat faktike dhe masën e realizimit në përqindje kundrejt planit vjetor dhe krahasimin në përqindje kundrejt realizimit faktik të dy viteve paraardhëse;</w:t>
            </w:r>
          </w:p>
          <w:p w:rsidR="00413F0B" w:rsidRDefault="00413F0B">
            <w:pPr>
              <w:pStyle w:val="Paragrafi"/>
              <w:ind w:firstLine="0"/>
              <w:rPr>
                <w:sz w:val="20"/>
                <w:lang w:val="sq-AL"/>
              </w:rPr>
            </w:pPr>
            <w:r>
              <w:rPr>
                <w:sz w:val="20"/>
                <w:lang w:val="sq-AL"/>
              </w:rPr>
              <w:t>- Analizën e mospërputhjeve dhe masave që janë marrë për përmirësimin e situatës;</w:t>
            </w:r>
          </w:p>
          <w:p w:rsidR="00413F0B" w:rsidRDefault="00413F0B">
            <w:pPr>
              <w:pStyle w:val="Paragrafi"/>
              <w:ind w:firstLine="0"/>
              <w:rPr>
                <w:sz w:val="20"/>
                <w:lang w:val="sq-AL"/>
              </w:rPr>
            </w:pPr>
            <w:r>
              <w:rPr>
                <w:sz w:val="20"/>
                <w:lang w:val="sq-AL"/>
              </w:rPr>
              <w:t>- Treguesit e monitorimit të performancës së programeve buxhetore të katërmujorit të tretë dhe ata vjetorë.</w:t>
            </w:r>
          </w:p>
          <w:p w:rsidR="00413F0B" w:rsidRDefault="00413F0B">
            <w:pPr>
              <w:pStyle w:val="Paragrafi"/>
              <w:ind w:firstLine="0"/>
              <w:rPr>
                <w:sz w:val="20"/>
                <w:lang w:val="sq-AL"/>
              </w:rPr>
            </w:pPr>
            <w:r>
              <w:rPr>
                <w:sz w:val="20"/>
                <w:lang w:val="sq-AL"/>
              </w:rPr>
              <w:t>- Treguesit kyçë financiarë vjetorë.</w:t>
            </w:r>
          </w:p>
        </w:tc>
      </w:tr>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Publikimi i Raportit III dhe vjetor</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Brenda muajit shkurt viti pasardhës</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Nëpunësi autorizues</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Informacion i aksesueshëm në faqen zyrtare të njësisë vendore</w:t>
            </w:r>
          </w:p>
        </w:tc>
      </w:tr>
      <w:tr w:rsidR="00413F0B" w:rsidTr="00413F0B">
        <w:tc>
          <w:tcPr>
            <w:tcW w:w="2515"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Komente mbi raportin III, drejtuar:</w:t>
            </w:r>
          </w:p>
          <w:p w:rsidR="00413F0B" w:rsidRDefault="00413F0B">
            <w:pPr>
              <w:pStyle w:val="Paragrafi"/>
              <w:ind w:firstLine="0"/>
              <w:jc w:val="left"/>
              <w:rPr>
                <w:sz w:val="20"/>
                <w:lang w:val="sq-AL"/>
              </w:rPr>
            </w:pPr>
            <w:r>
              <w:rPr>
                <w:sz w:val="20"/>
                <w:lang w:val="sq-AL"/>
              </w:rPr>
              <w:t>- Kryetarit të njësisë;</w:t>
            </w:r>
          </w:p>
          <w:p w:rsidR="00413F0B" w:rsidRDefault="00413F0B">
            <w:pPr>
              <w:pStyle w:val="Paragrafi"/>
              <w:ind w:firstLine="0"/>
              <w:jc w:val="left"/>
              <w:rPr>
                <w:sz w:val="20"/>
                <w:lang w:val="sq-AL"/>
              </w:rPr>
            </w:pPr>
            <w:r>
              <w:rPr>
                <w:sz w:val="20"/>
                <w:lang w:val="sq-AL"/>
              </w:rPr>
              <w:t>- Këshillit të njësisë vendore.</w:t>
            </w:r>
          </w:p>
        </w:tc>
        <w:tc>
          <w:tcPr>
            <w:tcW w:w="2337"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Mars viti pasardhës</w:t>
            </w:r>
          </w:p>
        </w:tc>
        <w:tc>
          <w:tcPr>
            <w:tcW w:w="1801"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jc w:val="left"/>
              <w:rPr>
                <w:sz w:val="20"/>
                <w:lang w:val="sq-AL"/>
              </w:rPr>
            </w:pPr>
            <w:r>
              <w:rPr>
                <w:sz w:val="20"/>
                <w:lang w:val="sq-AL"/>
              </w:rPr>
              <w:t>Ministria e Financave dhe Ekonomisë</w:t>
            </w:r>
          </w:p>
        </w:tc>
        <w:tc>
          <w:tcPr>
            <w:tcW w:w="3600" w:type="dxa"/>
            <w:tcBorders>
              <w:top w:val="single" w:sz="4" w:space="0" w:color="auto"/>
              <w:left w:val="single" w:sz="4" w:space="0" w:color="auto"/>
              <w:bottom w:val="single" w:sz="4" w:space="0" w:color="auto"/>
              <w:right w:val="single" w:sz="4" w:space="0" w:color="auto"/>
            </w:tcBorders>
            <w:hideMark/>
          </w:tcPr>
          <w:p w:rsidR="00413F0B" w:rsidRDefault="00413F0B">
            <w:pPr>
              <w:pStyle w:val="Paragrafi"/>
              <w:ind w:firstLine="0"/>
              <w:rPr>
                <w:sz w:val="20"/>
                <w:lang w:val="sq-AL"/>
              </w:rPr>
            </w:pPr>
            <w:r>
              <w:rPr>
                <w:sz w:val="20"/>
                <w:lang w:val="sq-AL"/>
              </w:rPr>
              <w:t>Shkresa e MFE-së, e cila përmban:</w:t>
            </w:r>
          </w:p>
          <w:p w:rsidR="00413F0B" w:rsidRDefault="00413F0B">
            <w:pPr>
              <w:pStyle w:val="Paragrafi"/>
              <w:ind w:firstLine="0"/>
              <w:rPr>
                <w:sz w:val="20"/>
                <w:lang w:val="sq-AL"/>
              </w:rPr>
            </w:pPr>
            <w:r>
              <w:rPr>
                <w:sz w:val="20"/>
                <w:lang w:val="sq-AL"/>
              </w:rPr>
              <w:t>- Komente dhe rekomandime në lidhje me treguesit e performancës të raportuar;</w:t>
            </w:r>
          </w:p>
          <w:p w:rsidR="00413F0B" w:rsidRDefault="00413F0B">
            <w:pPr>
              <w:pStyle w:val="Paragrafi"/>
              <w:ind w:firstLine="0"/>
              <w:rPr>
                <w:sz w:val="20"/>
                <w:lang w:val="sq-AL"/>
              </w:rPr>
            </w:pPr>
            <w:r>
              <w:rPr>
                <w:sz w:val="20"/>
                <w:lang w:val="sq-AL"/>
              </w:rPr>
              <w:t xml:space="preserve">- Në rastet e konstatimit të  vështirësisë financiare rekomandime konkrete për </w:t>
            </w:r>
            <w:r>
              <w:rPr>
                <w:sz w:val="20"/>
                <w:lang w:val="sq-AL"/>
              </w:rPr>
              <w:lastRenderedPageBreak/>
              <w:t>rregullimin e situatës së vështirësisë financiare.</w:t>
            </w:r>
          </w:p>
        </w:tc>
      </w:tr>
    </w:tbl>
    <w:p w:rsidR="00413F0B" w:rsidRDefault="00413F0B" w:rsidP="00413F0B">
      <w:pPr>
        <w:pStyle w:val="Paragrafi"/>
        <w:rPr>
          <w:lang w:val="sq-AL"/>
        </w:rPr>
      </w:pPr>
    </w:p>
    <w:p w:rsidR="00413F0B" w:rsidRDefault="00413F0B" w:rsidP="00413F0B">
      <w:pPr>
        <w:spacing w:after="0" w:line="240" w:lineRule="auto"/>
        <w:ind w:firstLine="0"/>
        <w:jc w:val="left"/>
        <w:rPr>
          <w:rFonts w:ascii="Garamond" w:eastAsia="MS Mincho" w:hAnsi="Garamond" w:cs="CG Times"/>
          <w:sz w:val="24"/>
          <w:lang w:val="sq-AL"/>
        </w:rPr>
        <w:sectPr w:rsidR="00413F0B">
          <w:type w:val="continuous"/>
          <w:pgSz w:w="11907" w:h="16840"/>
          <w:pgMar w:top="720" w:right="1134" w:bottom="720" w:left="1134" w:header="851" w:footer="851" w:gutter="0"/>
          <w:cols w:space="720"/>
        </w:sectPr>
      </w:pPr>
    </w:p>
    <w:p w:rsidR="00413F0B" w:rsidRDefault="00413F0B" w:rsidP="00413F0B">
      <w:pPr>
        <w:pStyle w:val="Paragrafi"/>
        <w:jc w:val="center"/>
        <w:rPr>
          <w:spacing w:val="-4"/>
          <w:lang w:val="sq-AL"/>
        </w:rPr>
      </w:pPr>
      <w:r>
        <w:rPr>
          <w:spacing w:val="-4"/>
          <w:lang w:val="sq-AL"/>
        </w:rPr>
        <w:t>SHTOJCË 2</w:t>
      </w:r>
    </w:p>
    <w:p w:rsidR="00413F0B" w:rsidRDefault="00413F0B" w:rsidP="00413F0B">
      <w:pPr>
        <w:pStyle w:val="Paragrafi"/>
        <w:jc w:val="center"/>
        <w:rPr>
          <w:spacing w:val="-4"/>
          <w:lang w:val="sq-AL"/>
        </w:rPr>
      </w:pPr>
      <w:r>
        <w:rPr>
          <w:spacing w:val="-4"/>
          <w:lang w:val="sq-AL"/>
        </w:rPr>
        <w:t>PËRMBAJTJA E RAPORTIT TË MONITORIMIT</w:t>
      </w:r>
    </w:p>
    <w:p w:rsidR="00413F0B" w:rsidRDefault="00413F0B" w:rsidP="00413F0B">
      <w:pPr>
        <w:pStyle w:val="Hapesira7"/>
        <w:rPr>
          <w:spacing w:val="-4"/>
          <w:lang w:val="sq-AL"/>
        </w:rPr>
      </w:pPr>
    </w:p>
    <w:p w:rsidR="00413F0B" w:rsidRDefault="00413F0B" w:rsidP="00413F0B">
      <w:pPr>
        <w:pStyle w:val="Paragrafi"/>
        <w:rPr>
          <w:spacing w:val="-4"/>
          <w:lang w:val="sq-AL"/>
        </w:rPr>
      </w:pPr>
      <w:r>
        <w:rPr>
          <w:spacing w:val="-4"/>
          <w:lang w:val="sq-AL"/>
        </w:rPr>
        <w:t>Raporti i Monitorimit të Zbatimit të Buxhetit përfshin informacion mbi realizimin e zbatimit të buxhetit sipas përmbajtjes së këtij udhëzimi. Dokumenti, në mënyrë të përmbledhur, duhet të përmbajë:</w:t>
      </w:r>
    </w:p>
    <w:p w:rsidR="00413F0B" w:rsidRDefault="00413F0B" w:rsidP="00413F0B">
      <w:pPr>
        <w:pStyle w:val="Paragrafi"/>
        <w:rPr>
          <w:spacing w:val="-4"/>
          <w:lang w:val="sq-AL"/>
        </w:rPr>
      </w:pPr>
      <w:r>
        <w:rPr>
          <w:spacing w:val="-4"/>
          <w:lang w:val="sq-AL"/>
        </w:rPr>
        <w:t>1. Përmbajtja e raportit</w:t>
      </w:r>
    </w:p>
    <w:p w:rsidR="00413F0B" w:rsidRDefault="00413F0B" w:rsidP="00413F0B">
      <w:pPr>
        <w:pStyle w:val="Paragrafi"/>
        <w:rPr>
          <w:spacing w:val="-4"/>
          <w:lang w:val="sq-AL"/>
        </w:rPr>
      </w:pPr>
      <w:r>
        <w:rPr>
          <w:spacing w:val="-4"/>
          <w:lang w:val="sq-AL"/>
        </w:rPr>
        <w:t>1.1 Lista e përmbajtjes së raportit të monitorimit (statistikat dhe përshkrimet e gjithë dokumentit).</w:t>
      </w:r>
    </w:p>
    <w:p w:rsidR="00413F0B" w:rsidRDefault="00413F0B" w:rsidP="00413F0B">
      <w:pPr>
        <w:pStyle w:val="Paragrafi"/>
        <w:rPr>
          <w:spacing w:val="-4"/>
          <w:lang w:val="sq-AL"/>
        </w:rPr>
      </w:pPr>
      <w:r>
        <w:rPr>
          <w:spacing w:val="-4"/>
          <w:lang w:val="sq-AL"/>
        </w:rPr>
        <w:t>2. Hyrje</w:t>
      </w:r>
    </w:p>
    <w:p w:rsidR="00413F0B" w:rsidRDefault="00413F0B" w:rsidP="00413F0B">
      <w:pPr>
        <w:pStyle w:val="Paragrafi"/>
        <w:rPr>
          <w:spacing w:val="-4"/>
          <w:lang w:val="sq-AL"/>
        </w:rPr>
      </w:pPr>
      <w:r>
        <w:rPr>
          <w:spacing w:val="-4"/>
          <w:lang w:val="sq-AL"/>
        </w:rPr>
        <w:t xml:space="preserve">2.1 Përshkrim i përgjithshëm mbi procesin e monitorimit.  </w:t>
      </w:r>
    </w:p>
    <w:p w:rsidR="00413F0B" w:rsidRDefault="00413F0B" w:rsidP="00413F0B">
      <w:pPr>
        <w:pStyle w:val="Paragrafi"/>
        <w:rPr>
          <w:spacing w:val="-4"/>
          <w:lang w:val="sq-AL"/>
        </w:rPr>
      </w:pPr>
      <w:r>
        <w:rPr>
          <w:spacing w:val="-4"/>
          <w:lang w:val="sq-AL"/>
        </w:rPr>
        <w:t>3. Plotësimi i formateve të përcaktuara në këtë udhëzim (të gjitha anekset bashkëlidhur), ku të dhënat janë të rakorduara me planin e periudhës së buxhetit dhe realizimin faktik të thesarit sipas Sistemit Information Financiar të Qeverisë (SIFQ).</w:t>
      </w:r>
    </w:p>
    <w:p w:rsidR="00413F0B" w:rsidRDefault="00413F0B" w:rsidP="00413F0B">
      <w:pPr>
        <w:pStyle w:val="Paragrafi"/>
        <w:rPr>
          <w:spacing w:val="-4"/>
          <w:lang w:val="sq-AL"/>
        </w:rPr>
      </w:pPr>
      <w:r>
        <w:rPr>
          <w:spacing w:val="-4"/>
          <w:lang w:val="sq-AL"/>
        </w:rPr>
        <w:t>3.1 Raporti i shpenzimeve sipas programeve;</w:t>
      </w:r>
    </w:p>
    <w:p w:rsidR="00413F0B" w:rsidRDefault="00413F0B" w:rsidP="00413F0B">
      <w:pPr>
        <w:pStyle w:val="Paragrafi"/>
        <w:rPr>
          <w:spacing w:val="-4"/>
          <w:lang w:val="sq-AL"/>
        </w:rPr>
      </w:pPr>
      <w:r>
        <w:rPr>
          <w:spacing w:val="-4"/>
          <w:lang w:val="sq-AL"/>
        </w:rPr>
        <w:t>3.2 Raporti i shpenzimeve të programeve sipas artikujve buxhetorë;</w:t>
      </w:r>
    </w:p>
    <w:p w:rsidR="00413F0B" w:rsidRDefault="00413F0B" w:rsidP="00413F0B">
      <w:pPr>
        <w:pStyle w:val="Paragrafi"/>
        <w:rPr>
          <w:spacing w:val="-4"/>
          <w:lang w:val="sq-AL"/>
        </w:rPr>
      </w:pPr>
      <w:r>
        <w:rPr>
          <w:spacing w:val="-4"/>
          <w:lang w:val="sq-AL"/>
        </w:rPr>
        <w:t>3.3 Raporti përmbledhës i realizimit të treguesve të performancës/produkteve të programit;</w:t>
      </w:r>
    </w:p>
    <w:p w:rsidR="00413F0B" w:rsidRDefault="00413F0B" w:rsidP="00413F0B">
      <w:pPr>
        <w:pStyle w:val="Paragrafi"/>
        <w:rPr>
          <w:spacing w:val="-4"/>
          <w:lang w:val="sq-AL"/>
        </w:rPr>
      </w:pPr>
      <w:r>
        <w:rPr>
          <w:spacing w:val="-4"/>
          <w:lang w:val="sq-AL"/>
        </w:rPr>
        <w:t>3.4 Raporti i realizimit të objektivave të politikës së programit;</w:t>
      </w:r>
    </w:p>
    <w:p w:rsidR="00413F0B" w:rsidRDefault="00413F0B" w:rsidP="00413F0B">
      <w:pPr>
        <w:pStyle w:val="Paragrafi"/>
        <w:rPr>
          <w:spacing w:val="-4"/>
          <w:lang w:val="sq-AL"/>
        </w:rPr>
      </w:pPr>
      <w:r>
        <w:rPr>
          <w:spacing w:val="-4"/>
          <w:lang w:val="sq-AL"/>
        </w:rPr>
        <w:t>3.5 Projektet e investimeve me financim të brendshëm dhe me financim të huaj.</w:t>
      </w:r>
    </w:p>
    <w:p w:rsidR="00413F0B" w:rsidRDefault="00413F0B" w:rsidP="00413F0B">
      <w:pPr>
        <w:pStyle w:val="Paragrafi"/>
        <w:rPr>
          <w:spacing w:val="-4"/>
          <w:lang w:val="sq-AL"/>
        </w:rPr>
      </w:pPr>
      <w:r>
        <w:rPr>
          <w:spacing w:val="-4"/>
          <w:lang w:val="sq-AL"/>
        </w:rPr>
        <w:t xml:space="preserve">4. Relacion shpjegues për çdo format të sipërcituar: </w:t>
      </w:r>
    </w:p>
    <w:p w:rsidR="00413F0B" w:rsidRDefault="00413F0B" w:rsidP="00413F0B">
      <w:pPr>
        <w:pStyle w:val="Paragrafi"/>
        <w:rPr>
          <w:spacing w:val="-4"/>
          <w:lang w:val="sq-AL"/>
        </w:rPr>
      </w:pPr>
      <w:r>
        <w:rPr>
          <w:spacing w:val="-4"/>
          <w:lang w:val="sq-AL"/>
        </w:rPr>
        <w:t>- Rezultatet sipas programeve, identifikimin e mospërputhejve, masat e marra për përmirësimin e situatës;</w:t>
      </w:r>
    </w:p>
    <w:p w:rsidR="00413F0B" w:rsidRDefault="00413F0B" w:rsidP="00413F0B">
      <w:pPr>
        <w:pStyle w:val="Paragrafi"/>
        <w:rPr>
          <w:spacing w:val="-4"/>
          <w:lang w:val="sq-AL"/>
        </w:rPr>
      </w:pPr>
      <w:r>
        <w:rPr>
          <w:spacing w:val="-4"/>
          <w:lang w:val="sq-AL"/>
        </w:rPr>
        <w:t xml:space="preserve">- Për gjithë njësinë e vetëqeverisjes vendore jepet një përshkrim në lidhje me masën e realizimit të treguesve të performancës; </w:t>
      </w:r>
    </w:p>
    <w:p w:rsidR="00413F0B" w:rsidRDefault="00413F0B" w:rsidP="00413F0B">
      <w:pPr>
        <w:pStyle w:val="Paragrafi"/>
        <w:rPr>
          <w:spacing w:val="-4"/>
          <w:lang w:val="sq-AL"/>
        </w:rPr>
      </w:pPr>
      <w:r>
        <w:rPr>
          <w:spacing w:val="-4"/>
          <w:lang w:val="sq-AL"/>
        </w:rPr>
        <w:t>- Aty ku është e mundur raporti shoqërohet me opinionin e auditit të brendshëm dhe ose të jashtëm të dhënë për këtë qëllim;</w:t>
      </w:r>
    </w:p>
    <w:p w:rsidR="00413F0B" w:rsidRDefault="00413F0B" w:rsidP="00413F0B">
      <w:pPr>
        <w:pStyle w:val="Paragrafi"/>
        <w:rPr>
          <w:spacing w:val="-4"/>
          <w:lang w:val="sq-AL"/>
        </w:rPr>
      </w:pPr>
      <w:r>
        <w:rPr>
          <w:spacing w:val="-4"/>
          <w:lang w:val="sq-AL"/>
        </w:rPr>
        <w:t>- Ecurinë e realizimit të qëllimeve dhe objektivave të politikës që trajtojnë çështjen e barazisë gjinore nëpërmjet treguesve të performancës;</w:t>
      </w:r>
    </w:p>
    <w:p w:rsidR="00413F0B" w:rsidRDefault="00413F0B" w:rsidP="00413F0B">
      <w:pPr>
        <w:pStyle w:val="Paragrafi"/>
        <w:rPr>
          <w:spacing w:val="-4"/>
          <w:lang w:val="sq-AL"/>
        </w:rPr>
      </w:pPr>
      <w:r>
        <w:rPr>
          <w:spacing w:val="-4"/>
          <w:lang w:val="sq-AL"/>
        </w:rPr>
        <w:t>- Realizimin e produkteve në krahasim me planin si në terma sasiorë ashtu edhe në vlerë duke evidentuar edhe koston për njësi, si dhe nënvizimin e argumenteve konkrete lidhur me rishikimin ose jo të politikës së programit apo propozime të tjera për përmirësimin e situatës;</w:t>
      </w:r>
    </w:p>
    <w:p w:rsidR="00413F0B" w:rsidRDefault="00413F0B" w:rsidP="00413F0B">
      <w:pPr>
        <w:pStyle w:val="Paragrafi"/>
        <w:rPr>
          <w:spacing w:val="-4"/>
          <w:lang w:val="sq-AL"/>
        </w:rPr>
      </w:pPr>
      <w:r>
        <w:rPr>
          <w:spacing w:val="-4"/>
          <w:lang w:val="sq-AL"/>
        </w:rPr>
        <w:t>- Shpjegimet përkatëse lidhur me ndryshimet e buxhetit nga plani fillestar deri në atë përfundimtar, në nivel programi dhe artikulli;</w:t>
      </w:r>
    </w:p>
    <w:p w:rsidR="00413F0B" w:rsidRDefault="00413F0B" w:rsidP="00413F0B">
      <w:pPr>
        <w:pStyle w:val="Paragrafi"/>
        <w:rPr>
          <w:spacing w:val="-4"/>
          <w:lang w:val="sq-AL"/>
        </w:rPr>
      </w:pPr>
      <w:r>
        <w:rPr>
          <w:spacing w:val="-4"/>
          <w:lang w:val="sq-AL"/>
        </w:rPr>
        <w:t>- Analiza e të dhënave mbi realizimin e investimeve me financim të brendshëm dhe me financim të huaj;</w:t>
      </w:r>
    </w:p>
    <w:p w:rsidR="00413F0B" w:rsidRDefault="00413F0B" w:rsidP="00413F0B">
      <w:pPr>
        <w:pStyle w:val="Paragrafi"/>
        <w:rPr>
          <w:spacing w:val="-4"/>
          <w:lang w:val="sq-AL"/>
        </w:rPr>
      </w:pPr>
      <w:r>
        <w:rPr>
          <w:spacing w:val="-4"/>
          <w:lang w:val="sq-AL"/>
        </w:rPr>
        <w:t>- Raportimin e nivelit, kohëzgjatjes dhe strukturës së detyrimeve tatimore të evidentuara e të paarkëtuara në kohë.</w:t>
      </w:r>
    </w:p>
    <w:p w:rsidR="00413F0B" w:rsidRDefault="00413F0B" w:rsidP="00413F0B">
      <w:pPr>
        <w:pStyle w:val="Paragrafi"/>
        <w:rPr>
          <w:spacing w:val="-4"/>
          <w:lang w:val="sq-AL"/>
        </w:rPr>
      </w:pPr>
      <w:r>
        <w:rPr>
          <w:spacing w:val="-4"/>
          <w:lang w:val="sq-AL"/>
        </w:rPr>
        <w:t xml:space="preserve">- Për treguesit e performancës, fillimisht përcaktohen/maten vlerat bazë të treguesve të performancës dhe vendosen synime realiste. Viti i parë i vendosjes së treguesve duhet të shërbejë për të raportuar mbi vlerat bazë të treguesve, e më pas vendosen synimet dhe monitorohet realizimi i tyre. </w:t>
      </w:r>
    </w:p>
    <w:p w:rsidR="00413F0B" w:rsidRDefault="00413F0B" w:rsidP="00413F0B">
      <w:pPr>
        <w:pStyle w:val="Paragrafi"/>
        <w:ind w:firstLine="0"/>
        <w:rPr>
          <w:spacing w:val="-4"/>
          <w:lang w:val="sq-AL"/>
        </w:rPr>
      </w:pPr>
    </w:p>
    <w:p w:rsidR="00413F0B" w:rsidRDefault="00413F0B" w:rsidP="00413F0B">
      <w:pPr>
        <w:pStyle w:val="Paragrafi"/>
        <w:jc w:val="center"/>
        <w:rPr>
          <w:spacing w:val="-4"/>
          <w:lang w:val="sq-AL"/>
        </w:rPr>
      </w:pPr>
      <w:r>
        <w:rPr>
          <w:spacing w:val="-4"/>
          <w:lang w:val="sq-AL"/>
        </w:rPr>
        <w:t>SHTOJCË 3</w:t>
      </w:r>
    </w:p>
    <w:p w:rsidR="00413F0B" w:rsidRDefault="00413F0B" w:rsidP="00413F0B">
      <w:pPr>
        <w:pStyle w:val="Paragrafi"/>
        <w:jc w:val="center"/>
        <w:rPr>
          <w:spacing w:val="-4"/>
          <w:lang w:val="sq-AL"/>
        </w:rPr>
      </w:pPr>
      <w:r>
        <w:rPr>
          <w:spacing w:val="-4"/>
          <w:lang w:val="sq-AL"/>
        </w:rPr>
        <w:t>PROCEDURA NË RASTIN E NJË BUXHETI TË RISHIKUAR GJATË VITIT KORRENT</w:t>
      </w:r>
    </w:p>
    <w:p w:rsidR="00413F0B" w:rsidRDefault="00413F0B" w:rsidP="00413F0B">
      <w:pPr>
        <w:pStyle w:val="Hapesira7"/>
        <w:rPr>
          <w:spacing w:val="-4"/>
          <w:lang w:val="sq-AL"/>
        </w:rPr>
      </w:pPr>
    </w:p>
    <w:p w:rsidR="00413F0B" w:rsidRDefault="00413F0B" w:rsidP="00413F0B">
      <w:pPr>
        <w:pStyle w:val="Paragrafi"/>
        <w:rPr>
          <w:spacing w:val="-4"/>
          <w:lang w:val="sq-AL"/>
        </w:rPr>
      </w:pPr>
      <w:r>
        <w:rPr>
          <w:spacing w:val="-4"/>
          <w:lang w:val="sq-AL"/>
        </w:rPr>
        <w:t>Në rastet kur Këshilli i Njësisë së Vetëqeverisjes vendore miraton një buxhet të rishikuar apo nëse rishikohet buxheti qendror me miratim të Kuvendit (dhe kur ky i fundit prek transfertat e qeverisë për njësitë e vetëqeverisjes vendore), duke prekur/ rishikuar alokimet sipas programeve, artikujve dhe burimeve të financimit të tyre, njësia e vetëqeverisjes vendore rishikon planin e produkteve për ata tregues performance që preken nga rishikimi i buxhetit.</w:t>
      </w:r>
    </w:p>
    <w:p w:rsidR="00413F0B" w:rsidRDefault="00413F0B" w:rsidP="00413F0B">
      <w:pPr>
        <w:pStyle w:val="Paragrafi"/>
        <w:rPr>
          <w:spacing w:val="-4"/>
          <w:lang w:val="sq-AL"/>
        </w:rPr>
      </w:pPr>
      <w:r>
        <w:rPr>
          <w:spacing w:val="-4"/>
          <w:lang w:val="sq-AL"/>
        </w:rPr>
        <w:t xml:space="preserve">Për këtë, koordinatori i GMS-së udhëzon EMP-në të përgatisin rishikimin e planeve për vitin korrent sipas afateve që përcaktohen nga urdhri që shpërndahet nga kryetari i njësisë së vetëqeverisjes vendore. </w:t>
      </w:r>
    </w:p>
    <w:p w:rsidR="00413F0B" w:rsidRDefault="00413F0B" w:rsidP="00413F0B">
      <w:pPr>
        <w:pStyle w:val="Paragrafi"/>
        <w:rPr>
          <w:spacing w:val="-4"/>
          <w:lang w:val="sq-AL"/>
        </w:rPr>
      </w:pPr>
      <w:r>
        <w:rPr>
          <w:spacing w:val="-4"/>
          <w:lang w:val="sq-AL"/>
        </w:rPr>
        <w:t xml:space="preserve">Rishikimi i planeve nis me identifikimin e natyrës së ndryshimeve duke i krahasuar me alokimet e mëparshme. Në dakordësi me të gjithë anëtarët e EMP-së përgatitet impakti i ndryshimeve buxhetore në arritjen e objektivave, projekteve, produkteve dhe në alokimin e burimeve sipas artikujve për vitin korrent. </w:t>
      </w:r>
    </w:p>
    <w:p w:rsidR="00413F0B" w:rsidRDefault="00413F0B" w:rsidP="00413F0B">
      <w:pPr>
        <w:pStyle w:val="Paragrafi"/>
        <w:rPr>
          <w:spacing w:val="-4"/>
          <w:lang w:val="sq-AL"/>
        </w:rPr>
      </w:pPr>
      <w:r>
        <w:rPr>
          <w:spacing w:val="-4"/>
          <w:lang w:val="sq-AL"/>
        </w:rPr>
        <w:t>Ndryshimi i planit reflektohet në ndryshimin e produkteve të treguesve të performancës në sasi dhe në vlerë (kur bëhet fjalë për tregues inputi – kosto për njësi për produktet e synuar që të prodhohen).</w:t>
      </w:r>
    </w:p>
    <w:p w:rsidR="00413F0B" w:rsidRDefault="00413F0B" w:rsidP="00413F0B">
      <w:pPr>
        <w:pStyle w:val="Paragrafi"/>
        <w:rPr>
          <w:spacing w:val="-4"/>
          <w:lang w:val="sq-AL"/>
        </w:rPr>
      </w:pPr>
      <w:r>
        <w:rPr>
          <w:spacing w:val="-4"/>
          <w:lang w:val="sq-AL"/>
        </w:rPr>
        <w:t xml:space="preserve">EMP-ja duhet më pas të diskutojë, konsultojë me stafin teknik sipas nevojës dhe të arrijë marrëveshje në lidhje me ndryshimet që do t’i bëhen planit, në mënyrë që plani të përshtatet me alokimet e rishikuara. Për këtë duhet të marrë në konsideratë faktin nëse ndryshimet e propozuara do të kenë impakt mbi objektivat, </w:t>
      </w:r>
      <w:r>
        <w:rPr>
          <w:spacing w:val="-4"/>
          <w:lang w:val="sq-AL"/>
        </w:rPr>
        <w:lastRenderedPageBreak/>
        <w:t>standardet, projektet, produktet, në alokimin e burimeve, sipas artikujve, nëse ka ndryshime ndërmjet lidhjes së produkteve me objektivat, ndërmjet produkteve dhe proceseve politike. Implikimet dhe ndryshimet e propozuara si në objektiva dhe në standarde duhet të reflektohen në procesin e ardhshëm të PBA-së.</w:t>
      </w:r>
    </w:p>
    <w:p w:rsidR="00413F0B" w:rsidRDefault="00413F0B" w:rsidP="00413F0B">
      <w:pPr>
        <w:pStyle w:val="Paragrafi"/>
        <w:rPr>
          <w:spacing w:val="-4"/>
          <w:lang w:val="sq-AL"/>
        </w:rPr>
      </w:pPr>
      <w:r>
        <w:rPr>
          <w:spacing w:val="-4"/>
          <w:lang w:val="sq-AL"/>
        </w:rPr>
        <w:t>Në përputhje me afatet e parashikuara nga urdhri i kryetarit të njësisë drejtuesi i EMP-së dorëzon te koordinatori i GMS-së ndryshimin e planit, i cili përmban:</w:t>
      </w:r>
    </w:p>
    <w:p w:rsidR="00413F0B" w:rsidRDefault="00413F0B" w:rsidP="00413F0B">
      <w:pPr>
        <w:pStyle w:val="Paragrafi"/>
        <w:rPr>
          <w:spacing w:val="-4"/>
          <w:lang w:val="sq-AL"/>
        </w:rPr>
      </w:pPr>
      <w:r>
        <w:rPr>
          <w:spacing w:val="-4"/>
          <w:lang w:val="sq-AL"/>
        </w:rPr>
        <w:t>a) Deklaratën e politikës së programit;</w:t>
      </w:r>
    </w:p>
    <w:p w:rsidR="00413F0B" w:rsidRDefault="00413F0B" w:rsidP="00413F0B">
      <w:pPr>
        <w:pStyle w:val="Paragrafi"/>
        <w:rPr>
          <w:spacing w:val="-4"/>
          <w:lang w:val="sq-AL"/>
        </w:rPr>
      </w:pPr>
      <w:r>
        <w:rPr>
          <w:spacing w:val="-4"/>
          <w:lang w:val="sq-AL"/>
        </w:rPr>
        <w:t>b) Shpenzimet e programit sipas produkteve;</w:t>
      </w:r>
    </w:p>
    <w:p w:rsidR="00413F0B" w:rsidRDefault="00413F0B" w:rsidP="00413F0B">
      <w:pPr>
        <w:pStyle w:val="Paragrafi"/>
        <w:rPr>
          <w:spacing w:val="-4"/>
          <w:lang w:val="sq-AL"/>
        </w:rPr>
      </w:pPr>
      <w:r>
        <w:rPr>
          <w:spacing w:val="-4"/>
          <w:lang w:val="sq-AL"/>
        </w:rPr>
        <w:t>c) Projektet me financim të brendshëm;</w:t>
      </w:r>
    </w:p>
    <w:p w:rsidR="00413F0B" w:rsidRDefault="00413F0B" w:rsidP="00413F0B">
      <w:pPr>
        <w:pStyle w:val="Paragrafi"/>
        <w:rPr>
          <w:spacing w:val="-4"/>
          <w:lang w:val="sq-AL"/>
        </w:rPr>
      </w:pPr>
      <w:r>
        <w:rPr>
          <w:spacing w:val="-4"/>
          <w:lang w:val="sq-AL"/>
        </w:rPr>
        <w:t>d) Projektet me financim të huaj;</w:t>
      </w:r>
    </w:p>
    <w:p w:rsidR="00413F0B" w:rsidRDefault="00413F0B" w:rsidP="00413F0B">
      <w:pPr>
        <w:pStyle w:val="Paragrafi"/>
        <w:rPr>
          <w:spacing w:val="-4"/>
          <w:lang w:val="sq-AL"/>
        </w:rPr>
      </w:pPr>
      <w:r>
        <w:rPr>
          <w:spacing w:val="-4"/>
          <w:lang w:val="sq-AL"/>
        </w:rPr>
        <w:t>e) Një profil katërmujor të rishikuar të shpenzimeve dhe produktet e synuara (nga ana sasiore).</w:t>
      </w:r>
    </w:p>
    <w:p w:rsidR="00413F0B" w:rsidRDefault="00413F0B" w:rsidP="00413F0B">
      <w:pPr>
        <w:pStyle w:val="Paragrafi"/>
        <w:rPr>
          <w:spacing w:val="-4"/>
          <w:lang w:val="sq-AL"/>
        </w:rPr>
      </w:pPr>
      <w:r>
        <w:rPr>
          <w:spacing w:val="-4"/>
          <w:lang w:val="sq-AL"/>
        </w:rPr>
        <w:t xml:space="preserve">Koordinatori i GMS-së shqyrton raportet e të gjitha programeve buxhetore të njësisë, planet e të cilave janë prekur nga ndryshimi i buxhetit. Koordinatori i GMS-së së bashku me drejtuesit e EMP-ve nënshkruajnë raportet e monitorimit dhe i dorëzohen për miratim kryetarit të njësisë dhe dorëzohen në këshill. </w:t>
      </w:r>
    </w:p>
    <w:p w:rsidR="00413F0B" w:rsidRPr="00413F0B" w:rsidRDefault="00413F0B" w:rsidP="00413F0B">
      <w:pPr>
        <w:pStyle w:val="Hapesira7"/>
        <w:rPr>
          <w:spacing w:val="-4"/>
          <w:sz w:val="24"/>
          <w:lang w:val="sq-AL"/>
        </w:rPr>
      </w:pPr>
    </w:p>
    <w:p w:rsidR="00413F0B" w:rsidRDefault="00413F0B" w:rsidP="00413F0B">
      <w:pPr>
        <w:pStyle w:val="Paragrafi"/>
        <w:jc w:val="center"/>
        <w:rPr>
          <w:spacing w:val="-4"/>
          <w:lang w:val="sq-AL"/>
        </w:rPr>
      </w:pPr>
      <w:r>
        <w:rPr>
          <w:spacing w:val="-4"/>
          <w:lang w:val="sq-AL"/>
        </w:rPr>
        <w:t>SHTOJCË 4</w:t>
      </w:r>
    </w:p>
    <w:p w:rsidR="00413F0B" w:rsidRDefault="00413F0B" w:rsidP="00413F0B">
      <w:pPr>
        <w:pStyle w:val="Paragrafi"/>
        <w:jc w:val="center"/>
        <w:rPr>
          <w:spacing w:val="-4"/>
          <w:lang w:val="sq-AL"/>
        </w:rPr>
      </w:pPr>
      <w:r>
        <w:rPr>
          <w:spacing w:val="-4"/>
          <w:lang w:val="sq-AL"/>
        </w:rPr>
        <w:t>PROCEDURA NË RASTIN E NDRYSHIMEVE TË ALOKIMEVE FINANCIARE NË VITIN KORRENT</w:t>
      </w:r>
    </w:p>
    <w:p w:rsidR="00413F0B" w:rsidRDefault="00413F0B" w:rsidP="00413F0B">
      <w:pPr>
        <w:pStyle w:val="Hapesira7"/>
        <w:rPr>
          <w:spacing w:val="-4"/>
          <w:lang w:val="sq-AL"/>
        </w:rPr>
      </w:pPr>
    </w:p>
    <w:p w:rsidR="00413F0B" w:rsidRDefault="00413F0B" w:rsidP="00413F0B">
      <w:pPr>
        <w:pStyle w:val="Paragrafi"/>
        <w:rPr>
          <w:spacing w:val="-4"/>
          <w:lang w:val="sq-AL"/>
        </w:rPr>
      </w:pPr>
      <w:r>
        <w:rPr>
          <w:spacing w:val="-4"/>
          <w:lang w:val="sq-AL"/>
        </w:rPr>
        <w:t>Të gjitha vendimet dhe veprimet gjatë vitit kanë si referencë planin vjetor. Nëse ka argumente të arsyeshme plani vjetor është subjekt ndryshimi. Faktorë që çojnë në ndryshimin e planit, janë:</w:t>
      </w:r>
    </w:p>
    <w:p w:rsidR="00413F0B" w:rsidRDefault="00413F0B" w:rsidP="00413F0B">
      <w:pPr>
        <w:pStyle w:val="Paragrafi"/>
        <w:rPr>
          <w:spacing w:val="-4"/>
          <w:lang w:val="sq-AL"/>
        </w:rPr>
      </w:pPr>
      <w:r>
        <w:rPr>
          <w:spacing w:val="-4"/>
          <w:lang w:val="sq-AL"/>
        </w:rPr>
        <w:t>a) Ngjarje të paparashikuara dhe të parashikuara, si p.sh., emergjenca të cilat tejkalojnë fondet e parashikuara të rezervës dhe kontigjencës.</w:t>
      </w:r>
    </w:p>
    <w:p w:rsidR="00413F0B" w:rsidRDefault="00413F0B" w:rsidP="00413F0B">
      <w:pPr>
        <w:pStyle w:val="Paragrafi"/>
        <w:rPr>
          <w:spacing w:val="-4"/>
          <w:lang w:val="sq-AL"/>
        </w:rPr>
      </w:pPr>
      <w:r>
        <w:rPr>
          <w:spacing w:val="-4"/>
          <w:lang w:val="sq-AL"/>
        </w:rPr>
        <w:t>b) Nevoja për rishikimin e kostove dhe/ose kohës jo të mjaftueshme për zbatimin e programeve si rrjedhojë e parashikimeve jo të sakta;</w:t>
      </w:r>
    </w:p>
    <w:p w:rsidR="00413F0B" w:rsidRDefault="00413F0B" w:rsidP="00413F0B">
      <w:pPr>
        <w:pStyle w:val="Paragrafi"/>
        <w:rPr>
          <w:spacing w:val="-4"/>
          <w:lang w:val="sq-AL"/>
        </w:rPr>
      </w:pPr>
      <w:r>
        <w:rPr>
          <w:spacing w:val="-4"/>
          <w:lang w:val="sq-AL"/>
        </w:rPr>
        <w:t>c) Moti i keq ose ndryshimi i çmimit të materialeve dhe/ose shërbimeve.</w:t>
      </w:r>
    </w:p>
    <w:p w:rsidR="00413F0B" w:rsidRDefault="00413F0B" w:rsidP="00413F0B">
      <w:pPr>
        <w:pStyle w:val="Paragrafi"/>
        <w:rPr>
          <w:spacing w:val="-4"/>
          <w:lang w:val="sq-AL"/>
        </w:rPr>
      </w:pPr>
      <w:r>
        <w:rPr>
          <w:spacing w:val="-4"/>
          <w:lang w:val="sq-AL"/>
        </w:rPr>
        <w:t xml:space="preserve">Nëse plani sugjeron ndryshime në alokimin e burimeve financiare për rrjedhojë është e nevojshme bërja e ndryshimeve në objektiva, në sasinë ose cilësinë e produkteve të treguesve të performancës që planifikohet të realizohen sipas programeve të shpenzimeve që preken nga ndryshimet e planit buxhetor. </w:t>
      </w:r>
    </w:p>
    <w:p w:rsidR="00413F0B" w:rsidRDefault="00413F0B" w:rsidP="00413F0B">
      <w:pPr>
        <w:pStyle w:val="Paragrafi"/>
        <w:rPr>
          <w:spacing w:val="-4"/>
          <w:lang w:val="sq-AL"/>
        </w:rPr>
      </w:pPr>
      <w:r>
        <w:rPr>
          <w:spacing w:val="-4"/>
          <w:lang w:val="sq-AL"/>
        </w:rPr>
        <w:t xml:space="preserve">Si rregull ndryshimet duhet të jenë minimale. Ndryshimet duhet të jenë të papranueshme në tremujorin e parë të vitit pasi kjo periudhë është shumë afër kohës së parashikimit fillestar. </w:t>
      </w:r>
    </w:p>
    <w:p w:rsidR="00413F0B" w:rsidRDefault="00413F0B" w:rsidP="00413F0B">
      <w:pPr>
        <w:pStyle w:val="Paragrafi"/>
        <w:rPr>
          <w:spacing w:val="-4"/>
          <w:lang w:val="sq-AL"/>
        </w:rPr>
      </w:pPr>
      <w:r>
        <w:rPr>
          <w:spacing w:val="-4"/>
          <w:lang w:val="sq-AL"/>
        </w:rPr>
        <w:t>Ndryshimet e mundshme në alokimin e të ardhurave mund të marrin formën e:</w:t>
      </w:r>
    </w:p>
    <w:p w:rsidR="00413F0B" w:rsidRDefault="00413F0B" w:rsidP="00413F0B">
      <w:pPr>
        <w:pStyle w:val="Paragrafi"/>
        <w:rPr>
          <w:spacing w:val="-4"/>
          <w:lang w:val="sq-AL"/>
        </w:rPr>
      </w:pPr>
      <w:r>
        <w:rPr>
          <w:spacing w:val="-4"/>
          <w:lang w:val="sq-AL"/>
        </w:rPr>
        <w:t>- Transferimit të burimeve ndërmjet produkteve në të njëjtin program;</w:t>
      </w:r>
    </w:p>
    <w:p w:rsidR="00413F0B" w:rsidRDefault="00413F0B" w:rsidP="00413F0B">
      <w:pPr>
        <w:pStyle w:val="Paragrafi"/>
        <w:rPr>
          <w:spacing w:val="-4"/>
          <w:lang w:val="sq-AL"/>
        </w:rPr>
      </w:pPr>
      <w:r>
        <w:rPr>
          <w:spacing w:val="-4"/>
          <w:lang w:val="sq-AL"/>
        </w:rPr>
        <w:t>- Transferimit të burimeve ndërmjet artikujve në të njëjtin program;</w:t>
      </w:r>
    </w:p>
    <w:p w:rsidR="00413F0B" w:rsidRDefault="00413F0B" w:rsidP="00413F0B">
      <w:pPr>
        <w:pStyle w:val="Paragrafi"/>
        <w:rPr>
          <w:spacing w:val="-4"/>
          <w:lang w:val="sq-AL"/>
        </w:rPr>
      </w:pPr>
      <w:r>
        <w:rPr>
          <w:spacing w:val="-4"/>
          <w:lang w:val="sq-AL"/>
        </w:rPr>
        <w:t xml:space="preserve">- Transferimit të burimeve ndërmjet programeve të njësisë së vetëqeverisjes vendore.  </w:t>
      </w:r>
    </w:p>
    <w:p w:rsidR="00413F0B" w:rsidRDefault="00413F0B" w:rsidP="00413F0B">
      <w:pPr>
        <w:pStyle w:val="Paragrafi"/>
        <w:rPr>
          <w:b/>
          <w:spacing w:val="-4"/>
          <w:lang w:val="sq-AL"/>
        </w:rPr>
      </w:pPr>
      <w:r>
        <w:rPr>
          <w:b/>
          <w:spacing w:val="-4"/>
          <w:lang w:val="sq-AL"/>
        </w:rPr>
        <w:t>Ndryshimet brenda programeve</w:t>
      </w:r>
    </w:p>
    <w:p w:rsidR="00413F0B" w:rsidRDefault="00413F0B" w:rsidP="00413F0B">
      <w:pPr>
        <w:pStyle w:val="Paragrafi"/>
        <w:rPr>
          <w:spacing w:val="-4"/>
          <w:lang w:val="sq-AL"/>
        </w:rPr>
      </w:pPr>
      <w:r>
        <w:rPr>
          <w:spacing w:val="-4"/>
          <w:lang w:val="sq-AL"/>
        </w:rPr>
        <w:t xml:space="preserve">Nëse gjykohet që ndryshimi i planit buxhetor sjell nevojën e mbulimit të impaktit në arritjen e objektivave të përgjithshëm të bashkisë duke transferuar fonde/burime brenda të njëjtit program të njësisë, atëherë drejtuesit e EMP-ve duhet të konkludojnë në dakordësinë midis anëtarëve të EMP-së që janë pjesë e nënprogrameve që preken për reflektimin e ndryshimeve përkatëse. Për këtë arsye bëhen llogaritje në lidhje me planifikimin e sasisë së produkteve që do të mbulohen, si rrjedhojë e fondeve të ndryshuara (shtuara, pakësuara) përkatësisht. Duhet të merret në analizë cilësia e prodhimit të produkteve në rastin e rishikimit të planit. Në çdo rast duhet të synohet ruajtja e një standardi minimal të ofrimit të shërbimit për programet përkatëse. </w:t>
      </w:r>
    </w:p>
    <w:p w:rsidR="00413F0B" w:rsidRDefault="00413F0B" w:rsidP="00413F0B">
      <w:pPr>
        <w:pStyle w:val="Paragrafi"/>
        <w:rPr>
          <w:spacing w:val="-4"/>
          <w:lang w:val="sq-AL"/>
        </w:rPr>
      </w:pPr>
      <w:r>
        <w:rPr>
          <w:spacing w:val="-4"/>
          <w:lang w:val="sq-AL"/>
        </w:rPr>
        <w:t xml:space="preserve">Të gjitha ndryshimet duhet të shoqërohen me një relacion të argumentuar në lidhje me veprimet korrigjuese që duhen ndërmarrë. Nëse ndryshimi i buxhetit parashikon krijimin e produkteve të reja ose projekteve të reja, mbështetur në një analizë të detajuar që duhet të paraqitet mbi domosdoshmërinë e krijimit të produkteve apo projekteve të reja, si dhe impaktin që kanë ato në përmbushjen e planit, miratimi është subjekt i këshillit të njësisë së vetëqeverisjes vendore. </w:t>
      </w:r>
    </w:p>
    <w:p w:rsidR="00413F0B" w:rsidRDefault="00413F0B" w:rsidP="00413F0B">
      <w:pPr>
        <w:pStyle w:val="Paragrafi"/>
        <w:rPr>
          <w:spacing w:val="-4"/>
          <w:lang w:val="sq-AL"/>
        </w:rPr>
      </w:pPr>
      <w:r>
        <w:rPr>
          <w:spacing w:val="-4"/>
          <w:lang w:val="sq-AL"/>
        </w:rPr>
        <w:t>Kur transferta nuk përfshin krijimin e produkteve të reja ose të projekteve të reja, nëpunësi autorizues duhet të udhëzojë drejtuesin e EMP-së për të përgatitur materialet e nevojshme te nëpunësi zbatues me qëllim që të bëjnë të mundur realizimin e transfertës sipas procedurave të përcaktuara në udhëzimin nr. 9, datë 20.3.2018 “Për procedurat standarde të zbatimit të buxhetit”.</w:t>
      </w:r>
    </w:p>
    <w:p w:rsidR="00413F0B" w:rsidRDefault="00413F0B" w:rsidP="00413F0B">
      <w:pPr>
        <w:pStyle w:val="Paragrafi"/>
        <w:rPr>
          <w:spacing w:val="-4"/>
          <w:lang w:val="sq-AL"/>
        </w:rPr>
      </w:pPr>
      <w:r>
        <w:rPr>
          <w:spacing w:val="-4"/>
          <w:lang w:val="sq-AL"/>
        </w:rPr>
        <w:t>Për projektet e reja të investimeve publike, nëpunësi autorizues i njësisë së vetëqeverisjes vendore duhet të udhëzojë EMP-në për të përgatitur materialet e nevojshme për të realizuar rialokimin sipas udhëzimit nr. 9, datë 20.3.2018 “Për procedurat standarde të zbatimit të buxhetit”.</w:t>
      </w:r>
    </w:p>
    <w:p w:rsidR="00413F0B" w:rsidRDefault="00413F0B" w:rsidP="00413F0B">
      <w:pPr>
        <w:pStyle w:val="Paragrafi"/>
        <w:rPr>
          <w:b/>
          <w:spacing w:val="-4"/>
          <w:lang w:val="sq-AL"/>
        </w:rPr>
      </w:pPr>
      <w:r>
        <w:rPr>
          <w:b/>
          <w:spacing w:val="-4"/>
          <w:lang w:val="sq-AL"/>
        </w:rPr>
        <w:t xml:space="preserve">Ndryshimet ndërmjet programeve </w:t>
      </w:r>
    </w:p>
    <w:p w:rsidR="00413F0B" w:rsidRDefault="00413F0B" w:rsidP="00413F0B">
      <w:pPr>
        <w:pStyle w:val="Paragrafi"/>
        <w:rPr>
          <w:spacing w:val="-4"/>
          <w:lang w:val="sq-AL"/>
        </w:rPr>
      </w:pPr>
      <w:r>
        <w:rPr>
          <w:spacing w:val="-4"/>
          <w:lang w:val="sq-AL"/>
        </w:rPr>
        <w:t xml:space="preserve">Nëse gjykohet që ndryshimi i planit buxhetor sjell nevojën e mbulimit të ndikimit në arritjen e objektivave </w:t>
      </w:r>
      <w:r>
        <w:rPr>
          <w:spacing w:val="-4"/>
          <w:lang w:val="sq-AL"/>
        </w:rPr>
        <w:lastRenderedPageBreak/>
        <w:t>të përgjithshëm të njësisë duke transferuar fonde/burime nga një program buxhetor te një program tjetër buxhetor i njësisë së vetëqeverisjes vendore, atëherë drejtuesit e EMP-ve përkatëse duhet të dakordësojnë me njësitë shpenzuese që preken për reflektimin të ndryshimeve përkatëse.  Drejtuesit e EMP-ve duhet të arrijnë në marrëveshje në lidhje me:</w:t>
      </w:r>
    </w:p>
    <w:p w:rsidR="00413F0B" w:rsidRDefault="00413F0B" w:rsidP="00413F0B">
      <w:pPr>
        <w:pStyle w:val="Paragrafi"/>
        <w:rPr>
          <w:spacing w:val="-4"/>
          <w:lang w:val="sq-AL"/>
        </w:rPr>
      </w:pPr>
      <w:r>
        <w:rPr>
          <w:spacing w:val="-4"/>
          <w:lang w:val="sq-AL"/>
        </w:rPr>
        <w:t>- Shumën e fondeve që kërkohen në secilin rast dhe artikujt që do të përfshihen në transfertë;</w:t>
      </w:r>
    </w:p>
    <w:p w:rsidR="00413F0B" w:rsidRDefault="00413F0B" w:rsidP="00413F0B">
      <w:pPr>
        <w:pStyle w:val="Paragrafi"/>
        <w:rPr>
          <w:spacing w:val="-4"/>
          <w:lang w:val="sq-AL"/>
        </w:rPr>
      </w:pPr>
      <w:r>
        <w:rPr>
          <w:spacing w:val="-4"/>
          <w:lang w:val="sq-AL"/>
        </w:rPr>
        <w:t xml:space="preserve">- Produktin që do të realizohet; </w:t>
      </w:r>
    </w:p>
    <w:p w:rsidR="00413F0B" w:rsidRDefault="00413F0B" w:rsidP="00413F0B">
      <w:pPr>
        <w:pStyle w:val="Paragrafi"/>
        <w:rPr>
          <w:spacing w:val="-4"/>
          <w:lang w:val="sq-AL"/>
        </w:rPr>
      </w:pPr>
      <w:r>
        <w:rPr>
          <w:spacing w:val="-4"/>
          <w:lang w:val="sq-AL"/>
        </w:rPr>
        <w:t>- Ndikimin e transfertës në objektivat dhe/ose standardet e programit;</w:t>
      </w:r>
    </w:p>
    <w:p w:rsidR="00413F0B" w:rsidRDefault="00413F0B" w:rsidP="00413F0B">
      <w:pPr>
        <w:pStyle w:val="Paragrafi"/>
        <w:rPr>
          <w:spacing w:val="-4"/>
          <w:lang w:val="sq-AL"/>
        </w:rPr>
      </w:pPr>
      <w:r>
        <w:rPr>
          <w:spacing w:val="-4"/>
          <w:lang w:val="sq-AL"/>
        </w:rPr>
        <w:t>- Programet nga të cilat EMP-ja propozojnë të transferohen burime, duke përfshirë një justifikim se pse burimet duhet të alokohen në këto programe.</w:t>
      </w:r>
    </w:p>
    <w:p w:rsidR="00413F0B" w:rsidRDefault="00413F0B" w:rsidP="00413F0B">
      <w:pPr>
        <w:pStyle w:val="Paragrafi"/>
        <w:rPr>
          <w:spacing w:val="-4"/>
          <w:lang w:val="sq-AL"/>
        </w:rPr>
      </w:pPr>
      <w:r>
        <w:rPr>
          <w:spacing w:val="-4"/>
          <w:lang w:val="sq-AL"/>
        </w:rPr>
        <w:t>Informacioni i mësipërm duhet të jetë pjesë e relacionit shpjegues mbi veprimet korrigjuese të ndërmarra i cili dorëzohet te nëpunësi autorizues/ koordinatori i GMS-së.</w:t>
      </w:r>
    </w:p>
    <w:p w:rsidR="00413F0B" w:rsidRDefault="00413F0B" w:rsidP="00413F0B">
      <w:pPr>
        <w:pStyle w:val="Paragrafi"/>
        <w:rPr>
          <w:spacing w:val="-4"/>
          <w:lang w:val="sq-AL"/>
        </w:rPr>
      </w:pPr>
      <w:r>
        <w:rPr>
          <w:spacing w:val="-4"/>
          <w:lang w:val="sq-AL"/>
        </w:rPr>
        <w:t xml:space="preserve">Nëpunësi autorizues duhet të përgatisë një kërkesë për Këshillin e njësisë së vetëqeverisjes vendore për rialokimin e fondeve midis programeve. Kërkesa duhet të paraqesë ndikimin e pritshëm mbi objektivat, produktet dhe shpenzimet e produkteve për secilin program të përfshirë në propozimin e transfertës. </w:t>
      </w:r>
    </w:p>
    <w:p w:rsidR="00413F0B" w:rsidRDefault="00413F0B" w:rsidP="00413F0B">
      <w:pPr>
        <w:pStyle w:val="Paragrafi"/>
        <w:rPr>
          <w:spacing w:val="-4"/>
          <w:lang w:val="sq-AL"/>
        </w:rPr>
      </w:pPr>
      <w:r>
        <w:rPr>
          <w:spacing w:val="-4"/>
          <w:lang w:val="sq-AL"/>
        </w:rPr>
        <w:t>Pasi kërkesa miratohet nga Këshilli i njësisë së vetëqeverisjes vendore, nëpunësi autorizues duhet të udhëzojë drejtuesin e EMP-së për të përgatitur materialet e nevojshme në mënyrë që transferta të realizohet sipas përcaktimeve të bëra në udhëzimin nr. 9, datë 20.7.2018 “Për procedurat standarde të zbatimit të buxhetit”.</w:t>
      </w:r>
    </w:p>
    <w:p w:rsidR="00413F0B" w:rsidRDefault="00413F0B" w:rsidP="00413F0B">
      <w:pPr>
        <w:pStyle w:val="Paragrafi"/>
        <w:rPr>
          <w:spacing w:val="-4"/>
          <w:lang w:val="sq-AL"/>
        </w:rPr>
      </w:pPr>
      <w:r>
        <w:rPr>
          <w:spacing w:val="-4"/>
          <w:lang w:val="sq-AL"/>
        </w:rPr>
        <w:t>Pasi është arritur dakordësia në lidhje me ndryshimet përkatëse rishikohet plani i produkteve për aq sa preken fondet e programeve përkatëse (në rritje ose në rënie) dhe dërgohet plani i rishikuar për miratim te kryetari i njësisë së vetëqeverisjes vendore e më tej në Këshillin njësisë së vetëqeverisjes vendore.</w:t>
      </w:r>
    </w:p>
    <w:p w:rsidR="00413F0B" w:rsidRDefault="00413F0B" w:rsidP="00413F0B">
      <w:pPr>
        <w:pStyle w:val="Paragrafi"/>
        <w:rPr>
          <w:spacing w:val="-4"/>
          <w:lang w:val="sq-AL"/>
        </w:rPr>
      </w:pPr>
      <w:r>
        <w:rPr>
          <w:spacing w:val="-4"/>
          <w:lang w:val="sq-AL"/>
        </w:rPr>
        <w:t>Në rast se GMS-së nuk arrin marrëveshjen, për rialokimin e fondeve midis programeve kryetari i GMS-së ka të drejtën të vendosë për më tej.</w:t>
      </w:r>
    </w:p>
    <w:p w:rsidR="00413F0B" w:rsidRPr="00413F0B" w:rsidRDefault="00413F0B" w:rsidP="00413F0B">
      <w:pPr>
        <w:pStyle w:val="Paragrafi"/>
        <w:jc w:val="center"/>
        <w:rPr>
          <w:spacing w:val="-4"/>
          <w:lang w:val="sq-AL"/>
        </w:rPr>
      </w:pPr>
    </w:p>
    <w:p w:rsidR="00413F0B" w:rsidRDefault="00413F0B" w:rsidP="00413F0B">
      <w:pPr>
        <w:pStyle w:val="Paragrafi"/>
        <w:jc w:val="center"/>
        <w:rPr>
          <w:spacing w:val="-4"/>
          <w:lang w:val="sq-AL"/>
        </w:rPr>
      </w:pPr>
      <w:r>
        <w:rPr>
          <w:spacing w:val="-4"/>
          <w:lang w:val="sq-AL"/>
        </w:rPr>
        <w:t>SHTOJCË 5</w:t>
      </w:r>
    </w:p>
    <w:p w:rsidR="00413F0B" w:rsidRDefault="00413F0B" w:rsidP="00413F0B">
      <w:pPr>
        <w:pStyle w:val="Paragrafi"/>
        <w:jc w:val="center"/>
        <w:rPr>
          <w:spacing w:val="-4"/>
          <w:lang w:val="sq-AL"/>
        </w:rPr>
      </w:pPr>
      <w:r>
        <w:rPr>
          <w:spacing w:val="-4"/>
          <w:lang w:val="sq-AL"/>
        </w:rPr>
        <w:t>TREGUESIT E MONITORIMIT TË PERFORMANCËS SË PROGRAMEVE DHE TREGUESIT FINANCIARË</w:t>
      </w:r>
    </w:p>
    <w:p w:rsidR="00413F0B" w:rsidRDefault="00413F0B" w:rsidP="00413F0B">
      <w:pPr>
        <w:pStyle w:val="Hapesira7"/>
        <w:rPr>
          <w:spacing w:val="-4"/>
          <w:lang w:val="sq-AL"/>
        </w:rPr>
      </w:pPr>
    </w:p>
    <w:p w:rsidR="00413F0B" w:rsidRDefault="00413F0B" w:rsidP="00413F0B">
      <w:pPr>
        <w:pStyle w:val="Paragrafi"/>
        <w:rPr>
          <w:spacing w:val="-4"/>
          <w:lang w:val="sq-AL"/>
        </w:rPr>
      </w:pPr>
      <w:r>
        <w:rPr>
          <w:spacing w:val="-4"/>
          <w:lang w:val="sq-AL"/>
        </w:rPr>
        <w:t xml:space="preserve">Programet e shpenzimeve monitorohen për të siguruar transparencë në lidhje me performancën e tyre për këtë qëllim hartohen tregues performance. Treguesit e performancës përdoren për të monitoruar arritjen e objektivave dhe efektivitetin e operacioneve. Në nivel programi shpenzimesh buxhetore ato përdoren për të monitoruar arritjen e objektivave të programit. Treguesit e monitorimit të përformancës duhet të jenë: </w:t>
      </w:r>
    </w:p>
    <w:p w:rsidR="00413F0B" w:rsidRDefault="00413F0B" w:rsidP="00413F0B">
      <w:pPr>
        <w:pStyle w:val="Paragrafi"/>
        <w:rPr>
          <w:spacing w:val="-4"/>
          <w:lang w:val="sq-AL"/>
        </w:rPr>
      </w:pPr>
      <w:r>
        <w:rPr>
          <w:spacing w:val="-4"/>
          <w:lang w:val="sq-AL"/>
        </w:rPr>
        <w:t xml:space="preserve">i. lehtësisht të kuptueshëm; </w:t>
      </w:r>
    </w:p>
    <w:p w:rsidR="00413F0B" w:rsidRDefault="00413F0B" w:rsidP="00413F0B">
      <w:pPr>
        <w:pStyle w:val="Paragrafi"/>
        <w:rPr>
          <w:spacing w:val="-4"/>
          <w:lang w:val="sq-AL"/>
        </w:rPr>
      </w:pPr>
      <w:r>
        <w:rPr>
          <w:spacing w:val="-4"/>
          <w:lang w:val="sq-AL"/>
        </w:rPr>
        <w:t xml:space="preserve">ii. specifikë e të lidhur ngushtësisht me qëllimin e politikës së programit dhe objektivat që synohen të arrihen përmes tij; </w:t>
      </w:r>
    </w:p>
    <w:p w:rsidR="00413F0B" w:rsidRDefault="00413F0B" w:rsidP="00413F0B">
      <w:pPr>
        <w:pStyle w:val="Paragrafi"/>
        <w:rPr>
          <w:spacing w:val="-4"/>
          <w:lang w:val="sq-AL"/>
        </w:rPr>
      </w:pPr>
      <w:r>
        <w:rPr>
          <w:spacing w:val="-4"/>
          <w:lang w:val="sq-AL"/>
        </w:rPr>
        <w:t xml:space="preserve">iii. lehtësisht të matshëm; </w:t>
      </w:r>
    </w:p>
    <w:p w:rsidR="00413F0B" w:rsidRDefault="00413F0B" w:rsidP="00413F0B">
      <w:pPr>
        <w:pStyle w:val="Paragrafi"/>
        <w:rPr>
          <w:spacing w:val="-4"/>
          <w:lang w:val="sq-AL"/>
        </w:rPr>
      </w:pPr>
      <w:r>
        <w:rPr>
          <w:spacing w:val="-4"/>
          <w:lang w:val="sq-AL"/>
        </w:rPr>
        <w:t xml:space="preserve">iv. të identifikueshëm. </w:t>
      </w:r>
    </w:p>
    <w:p w:rsidR="00413F0B" w:rsidRDefault="00413F0B" w:rsidP="00413F0B">
      <w:pPr>
        <w:pStyle w:val="Paragrafi"/>
        <w:rPr>
          <w:spacing w:val="-4"/>
          <w:lang w:val="sq-AL"/>
        </w:rPr>
      </w:pPr>
      <w:r>
        <w:rPr>
          <w:spacing w:val="-4"/>
          <w:lang w:val="sq-AL"/>
        </w:rPr>
        <w:t xml:space="preserve">Njësia e vetëqeverisjes vendore harton tregues performance për çdo program shpenzimesh. Gjatë vitit (në tri periudha 4-mujore) monitorohen treguesit në mënyrë që të krahasohet realizimi i tyre faktik me nivelin e planifikuar. Përmes kësaj sigurohen korrigjimet e nevojshme lidhur me performancën e arrirë për çdo program. </w:t>
      </w:r>
    </w:p>
    <w:p w:rsidR="00413F0B" w:rsidRDefault="00413F0B" w:rsidP="00413F0B">
      <w:pPr>
        <w:pStyle w:val="Paragrafi"/>
        <w:rPr>
          <w:spacing w:val="-4"/>
          <w:lang w:val="sq-AL"/>
        </w:rPr>
      </w:pPr>
      <w:r>
        <w:rPr>
          <w:spacing w:val="-4"/>
          <w:lang w:val="sq-AL"/>
        </w:rPr>
        <w:t xml:space="preserve">Për të gjitha funksionet e veta ligjore njësia e vetëqeverisjes vendore monitoron të gjitha programet e shpenzimeve të saj duke krijuar një sistem administrimi të performancës së shërbimeve publike që ajo ofron për komunitetin vendor bazuar mbi standarde vendore dhe/ose standarde minimale kombëtare. Për këtë qëllim njësia e vetëqeverisjes vendore harton një sistem treguesish performance. </w:t>
      </w:r>
    </w:p>
    <w:p w:rsidR="00413F0B" w:rsidRDefault="00413F0B" w:rsidP="00413F0B">
      <w:pPr>
        <w:pStyle w:val="Paragrafi"/>
        <w:rPr>
          <w:spacing w:val="-4"/>
          <w:lang w:val="sq-AL"/>
        </w:rPr>
      </w:pPr>
      <w:r>
        <w:rPr>
          <w:spacing w:val="-4"/>
          <w:lang w:val="sq-AL"/>
        </w:rPr>
        <w:t xml:space="preserve">Në lidhje me funksionet e deleguara nga institucionet qendrore dhe me synim garantimin e zbatimit të normave dhe standardeve kombëtare të krijuara në legjislacionin përkatës në fuqi dhe në përputhje me parimin e autonomisë vendore, ministritë e linjës të fushave përkatëse të përgjegjësisë, kanë të drejtë të mbikëqyrin dhe monitorojnë veprimtarinë e njësive të vetëqeverisjes vendore për ato funksione që ato kanë deleguar te njësitë e vetëqeverisjes vendore. </w:t>
      </w:r>
    </w:p>
    <w:p w:rsidR="00413F0B" w:rsidRDefault="00413F0B" w:rsidP="00413F0B">
      <w:pPr>
        <w:pStyle w:val="Paragrafi"/>
        <w:rPr>
          <w:spacing w:val="-4"/>
          <w:lang w:val="sq-AL"/>
        </w:rPr>
      </w:pPr>
      <w:r>
        <w:rPr>
          <w:spacing w:val="-4"/>
          <w:lang w:val="sq-AL"/>
        </w:rPr>
        <w:t xml:space="preserve">Treguesit e performancës duhet të përcaktohen në nivel produktesh dhe rezultatesh në mënyrë që ta drejtojë programin buxhetor drejt efektivitetit. Treguesit në nivel produkti tregojnë mallra dhe shërbime që duhen ofruar/prodhuar për arritjen e objektivave afatmesëm dhe qëllimeve afatgjata të programit. Nëse informacioni i programeve të shpenzimeve në lidhje me produktet/treguesit në nivel produkti kombinohet me informacion të saktë në lidhje me koston e programit, kjo gjë bën të mundur analizën e eficiencës së të gjithë programit. </w:t>
      </w:r>
    </w:p>
    <w:p w:rsidR="00413F0B" w:rsidRDefault="00413F0B" w:rsidP="00413F0B">
      <w:pPr>
        <w:pStyle w:val="Paragrafi"/>
        <w:rPr>
          <w:spacing w:val="-4"/>
          <w:lang w:val="sq-AL"/>
        </w:rPr>
      </w:pPr>
      <w:r>
        <w:rPr>
          <w:spacing w:val="-4"/>
          <w:lang w:val="sq-AL"/>
        </w:rPr>
        <w:t xml:space="preserve">Më poshtë jepen shembuj treguesish performance për shërbimin e menaxhimit të mbetjeve bashkiake për </w:t>
      </w:r>
      <w:r>
        <w:rPr>
          <w:spacing w:val="-4"/>
          <w:lang w:val="sq-AL"/>
        </w:rPr>
        <w:lastRenderedPageBreak/>
        <w:t>të gjitha llojet e niveleve të treguesve.</w:t>
      </w:r>
    </w:p>
    <w:p w:rsidR="00413F0B" w:rsidRDefault="00413F0B" w:rsidP="00413F0B">
      <w:pPr>
        <w:spacing w:after="0" w:line="240" w:lineRule="auto"/>
        <w:ind w:firstLine="0"/>
        <w:jc w:val="left"/>
        <w:rPr>
          <w:rFonts w:ascii="Garamond" w:eastAsia="MS Mincho" w:hAnsi="Garamond" w:cs="CG Times"/>
          <w:spacing w:val="-4"/>
          <w:sz w:val="24"/>
          <w:lang w:val="sq-AL"/>
        </w:rPr>
        <w:sectPr w:rsidR="00413F0B" w:rsidSect="00413F0B">
          <w:type w:val="continuous"/>
          <w:pgSz w:w="11907" w:h="16840"/>
          <w:pgMar w:top="720" w:right="1134" w:bottom="720" w:left="1134" w:header="851" w:footer="851" w:gutter="0"/>
          <w:cols w:space="454"/>
        </w:sectPr>
      </w:pPr>
    </w:p>
    <w:p w:rsidR="00413F0B" w:rsidRDefault="00413F0B" w:rsidP="00413F0B">
      <w:pPr>
        <w:pStyle w:val="Paragrafi"/>
        <w:rPr>
          <w:spacing w:val="-4"/>
          <w:lang w:val="sq-AL"/>
        </w:rPr>
      </w:pPr>
    </w:p>
    <w:p w:rsidR="00413F0B" w:rsidRDefault="00413F0B" w:rsidP="00413F0B">
      <w:pPr>
        <w:spacing w:after="0" w:line="240" w:lineRule="auto"/>
        <w:ind w:firstLine="0"/>
        <w:jc w:val="left"/>
        <w:rPr>
          <w:rFonts w:ascii="Garamond" w:eastAsia="MS Mincho" w:hAnsi="Garamond" w:cs="CG Times"/>
          <w:b/>
          <w:spacing w:val="-4"/>
          <w:sz w:val="20"/>
          <w:szCs w:val="20"/>
          <w:lang w:val="sq-AL"/>
        </w:rPr>
        <w:sectPr w:rsidR="00413F0B" w:rsidSect="00413F0B">
          <w:type w:val="continuous"/>
          <w:pgSz w:w="11907" w:h="16840"/>
          <w:pgMar w:top="720" w:right="1134" w:bottom="720" w:left="1134" w:header="851" w:footer="851" w:gutter="0"/>
          <w:cols w:space="454"/>
        </w:sectPr>
      </w:pPr>
    </w:p>
    <w:tbl>
      <w:tblPr>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250"/>
        <w:gridCol w:w="2340"/>
        <w:gridCol w:w="2790"/>
      </w:tblGrid>
      <w:tr w:rsidR="00413F0B" w:rsidTr="00413F0B">
        <w:trPr>
          <w:trHeight w:val="354"/>
          <w:jc w:val="center"/>
        </w:trPr>
        <w:tc>
          <w:tcPr>
            <w:tcW w:w="225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rsidR="00413F0B" w:rsidRDefault="00413F0B">
            <w:pPr>
              <w:pStyle w:val="Paragrafi"/>
              <w:spacing w:line="276" w:lineRule="auto"/>
              <w:ind w:firstLine="0"/>
              <w:jc w:val="center"/>
              <w:rPr>
                <w:b/>
                <w:spacing w:val="-4"/>
                <w:sz w:val="20"/>
                <w:szCs w:val="20"/>
                <w:lang w:val="sq-AL"/>
              </w:rPr>
            </w:pPr>
            <w:r>
              <w:rPr>
                <w:b/>
                <w:spacing w:val="-4"/>
                <w:sz w:val="20"/>
                <w:szCs w:val="20"/>
                <w:lang w:val="sq-AL"/>
              </w:rPr>
              <w:t>Lloji i treguesit të performancës në nivel</w:t>
            </w:r>
          </w:p>
        </w:tc>
        <w:tc>
          <w:tcPr>
            <w:tcW w:w="234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rsidR="00413F0B" w:rsidRDefault="00413F0B">
            <w:pPr>
              <w:pStyle w:val="Paragrafi"/>
              <w:spacing w:line="276" w:lineRule="auto"/>
              <w:ind w:firstLine="0"/>
              <w:jc w:val="center"/>
              <w:rPr>
                <w:b/>
                <w:spacing w:val="-4"/>
                <w:sz w:val="20"/>
                <w:szCs w:val="20"/>
                <w:lang w:val="sq-AL"/>
              </w:rPr>
            </w:pPr>
            <w:r>
              <w:rPr>
                <w:b/>
                <w:spacing w:val="-4"/>
                <w:sz w:val="20"/>
                <w:szCs w:val="20"/>
                <w:lang w:val="sq-AL"/>
              </w:rPr>
              <w:t>Përshkrimi</w:t>
            </w:r>
          </w:p>
        </w:tc>
        <w:tc>
          <w:tcPr>
            <w:tcW w:w="279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rsidR="00413F0B" w:rsidRDefault="00413F0B">
            <w:pPr>
              <w:pStyle w:val="Paragrafi"/>
              <w:spacing w:line="276" w:lineRule="auto"/>
              <w:ind w:firstLine="0"/>
              <w:jc w:val="center"/>
              <w:rPr>
                <w:b/>
                <w:spacing w:val="-4"/>
                <w:sz w:val="20"/>
                <w:szCs w:val="20"/>
                <w:lang w:val="sq-AL"/>
              </w:rPr>
            </w:pPr>
            <w:r>
              <w:rPr>
                <w:b/>
                <w:spacing w:val="-4"/>
                <w:sz w:val="20"/>
                <w:szCs w:val="20"/>
                <w:lang w:val="sq-AL"/>
              </w:rPr>
              <w:t>Shembull</w:t>
            </w:r>
          </w:p>
        </w:tc>
      </w:tr>
      <w:tr w:rsidR="00413F0B" w:rsidTr="00413F0B">
        <w:trPr>
          <w:trHeight w:val="462"/>
          <w:jc w:val="center"/>
        </w:trPr>
        <w:tc>
          <w:tcPr>
            <w:tcW w:w="225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rsidR="00413F0B" w:rsidRDefault="00413F0B">
            <w:pPr>
              <w:pStyle w:val="Paragrafi"/>
              <w:spacing w:line="276" w:lineRule="auto"/>
              <w:ind w:firstLine="0"/>
              <w:jc w:val="left"/>
              <w:rPr>
                <w:spacing w:val="-4"/>
                <w:sz w:val="20"/>
                <w:szCs w:val="20"/>
                <w:lang w:val="sq-AL"/>
              </w:rPr>
            </w:pPr>
            <w:r>
              <w:rPr>
                <w:spacing w:val="-4"/>
                <w:sz w:val="20"/>
                <w:szCs w:val="20"/>
                <w:lang w:val="sq-AL"/>
              </w:rPr>
              <w:t>Produkti/output (sasi e prodhuar)</w:t>
            </w:r>
          </w:p>
        </w:tc>
        <w:tc>
          <w:tcPr>
            <w:tcW w:w="234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rsidR="00413F0B" w:rsidRDefault="00413F0B">
            <w:pPr>
              <w:pStyle w:val="Paragrafi"/>
              <w:spacing w:line="276" w:lineRule="auto"/>
              <w:ind w:firstLine="0"/>
              <w:rPr>
                <w:spacing w:val="-4"/>
                <w:sz w:val="20"/>
                <w:szCs w:val="20"/>
                <w:lang w:val="sq-AL"/>
              </w:rPr>
            </w:pPr>
            <w:r>
              <w:rPr>
                <w:spacing w:val="-4"/>
                <w:sz w:val="20"/>
                <w:szCs w:val="20"/>
                <w:lang w:val="sq-AL"/>
              </w:rPr>
              <w:t>Shërbime të ofruara te klientët/qytetarët</w:t>
            </w:r>
          </w:p>
        </w:tc>
        <w:tc>
          <w:tcPr>
            <w:tcW w:w="279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rsidR="00413F0B" w:rsidRDefault="00413F0B">
            <w:pPr>
              <w:pStyle w:val="Paragrafi"/>
              <w:spacing w:line="276" w:lineRule="auto"/>
              <w:ind w:firstLine="0"/>
              <w:rPr>
                <w:spacing w:val="-4"/>
                <w:sz w:val="20"/>
                <w:szCs w:val="20"/>
                <w:lang w:val="sq-AL"/>
              </w:rPr>
            </w:pPr>
            <w:r>
              <w:rPr>
                <w:spacing w:val="-4"/>
                <w:sz w:val="20"/>
                <w:szCs w:val="20"/>
                <w:lang w:val="sq-AL"/>
              </w:rPr>
              <w:t>Tonë mbetje të mbledhura nga familjet ose bizneset</w:t>
            </w:r>
          </w:p>
        </w:tc>
      </w:tr>
      <w:tr w:rsidR="00413F0B" w:rsidTr="00413F0B">
        <w:trPr>
          <w:trHeight w:val="428"/>
          <w:jc w:val="center"/>
        </w:trPr>
        <w:tc>
          <w:tcPr>
            <w:tcW w:w="225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rsidR="00413F0B" w:rsidRDefault="00413F0B">
            <w:pPr>
              <w:pStyle w:val="Paragrafi"/>
              <w:spacing w:line="276" w:lineRule="auto"/>
              <w:ind w:firstLine="0"/>
              <w:jc w:val="left"/>
              <w:rPr>
                <w:spacing w:val="-4"/>
                <w:sz w:val="20"/>
                <w:szCs w:val="20"/>
                <w:lang w:val="sq-AL"/>
              </w:rPr>
            </w:pPr>
            <w:r>
              <w:rPr>
                <w:spacing w:val="-4"/>
                <w:sz w:val="20"/>
                <w:szCs w:val="20"/>
                <w:lang w:val="sq-AL"/>
              </w:rPr>
              <w:t>Rezultati</w:t>
            </w:r>
          </w:p>
        </w:tc>
        <w:tc>
          <w:tcPr>
            <w:tcW w:w="234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rsidR="00413F0B" w:rsidRDefault="00413F0B">
            <w:pPr>
              <w:pStyle w:val="Paragrafi"/>
              <w:spacing w:line="276" w:lineRule="auto"/>
              <w:ind w:firstLine="0"/>
              <w:rPr>
                <w:spacing w:val="-4"/>
                <w:sz w:val="20"/>
                <w:szCs w:val="20"/>
                <w:lang w:val="sq-AL"/>
              </w:rPr>
            </w:pPr>
            <w:r>
              <w:rPr>
                <w:spacing w:val="-4"/>
                <w:sz w:val="20"/>
                <w:szCs w:val="20"/>
                <w:lang w:val="sq-AL"/>
              </w:rPr>
              <w:t>Efekti mbi çështjet sociale - ekonomike</w:t>
            </w:r>
          </w:p>
        </w:tc>
        <w:tc>
          <w:tcPr>
            <w:tcW w:w="279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rsidR="00413F0B" w:rsidRDefault="00413F0B">
            <w:pPr>
              <w:pStyle w:val="Paragrafi"/>
              <w:spacing w:line="276" w:lineRule="auto"/>
              <w:ind w:firstLine="0"/>
              <w:rPr>
                <w:spacing w:val="-4"/>
                <w:sz w:val="20"/>
                <w:szCs w:val="20"/>
                <w:lang w:val="sq-AL"/>
              </w:rPr>
            </w:pPr>
            <w:r>
              <w:rPr>
                <w:spacing w:val="-4"/>
                <w:sz w:val="20"/>
                <w:szCs w:val="20"/>
                <w:lang w:val="sq-AL"/>
              </w:rPr>
              <w:t>Përmirësimi i cilësisë së mjedisit dhe higjienës publike</w:t>
            </w:r>
          </w:p>
        </w:tc>
      </w:tr>
      <w:tr w:rsidR="00413F0B" w:rsidTr="00413F0B">
        <w:trPr>
          <w:trHeight w:val="677"/>
          <w:jc w:val="center"/>
        </w:trPr>
        <w:tc>
          <w:tcPr>
            <w:tcW w:w="225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rsidR="00413F0B" w:rsidRDefault="00413F0B">
            <w:pPr>
              <w:pStyle w:val="Paragrafi"/>
              <w:spacing w:line="276" w:lineRule="auto"/>
              <w:ind w:firstLine="0"/>
              <w:jc w:val="left"/>
              <w:rPr>
                <w:spacing w:val="-4"/>
                <w:sz w:val="20"/>
                <w:szCs w:val="20"/>
                <w:lang w:val="sq-AL"/>
              </w:rPr>
            </w:pPr>
            <w:r>
              <w:rPr>
                <w:spacing w:val="-4"/>
                <w:sz w:val="20"/>
                <w:szCs w:val="20"/>
                <w:lang w:val="sq-AL"/>
              </w:rPr>
              <w:t>Impakti</w:t>
            </w:r>
          </w:p>
        </w:tc>
        <w:tc>
          <w:tcPr>
            <w:tcW w:w="234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rsidR="00413F0B" w:rsidRDefault="00413F0B">
            <w:pPr>
              <w:pStyle w:val="Paragrafi"/>
              <w:spacing w:line="276" w:lineRule="auto"/>
              <w:ind w:firstLine="0"/>
              <w:rPr>
                <w:spacing w:val="-4"/>
                <w:sz w:val="20"/>
                <w:szCs w:val="20"/>
                <w:lang w:val="sq-AL"/>
              </w:rPr>
            </w:pPr>
            <w:r>
              <w:rPr>
                <w:spacing w:val="-4"/>
                <w:sz w:val="20"/>
                <w:szCs w:val="20"/>
                <w:lang w:val="sq-AL"/>
              </w:rPr>
              <w:t>Perceptimi i qytetarëve në lidhje me politikat e bashkisë</w:t>
            </w:r>
          </w:p>
        </w:tc>
        <w:tc>
          <w:tcPr>
            <w:tcW w:w="279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rsidR="00413F0B" w:rsidRDefault="00413F0B">
            <w:pPr>
              <w:pStyle w:val="Paragrafi"/>
              <w:spacing w:line="276" w:lineRule="auto"/>
              <w:ind w:firstLine="0"/>
              <w:rPr>
                <w:spacing w:val="-4"/>
                <w:sz w:val="20"/>
                <w:szCs w:val="20"/>
                <w:lang w:val="sq-AL"/>
              </w:rPr>
            </w:pPr>
            <w:r>
              <w:rPr>
                <w:spacing w:val="-4"/>
                <w:sz w:val="20"/>
                <w:szCs w:val="20"/>
                <w:lang w:val="sq-AL"/>
              </w:rPr>
              <w:t>Besimi i qytetarëve në politikat e bashkisë</w:t>
            </w:r>
          </w:p>
        </w:tc>
      </w:tr>
      <w:tr w:rsidR="00413F0B" w:rsidTr="00413F0B">
        <w:trPr>
          <w:trHeight w:val="420"/>
          <w:jc w:val="center"/>
        </w:trPr>
        <w:tc>
          <w:tcPr>
            <w:tcW w:w="225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rsidR="00413F0B" w:rsidRDefault="00413F0B">
            <w:pPr>
              <w:pStyle w:val="Paragrafi"/>
              <w:spacing w:line="276" w:lineRule="auto"/>
              <w:ind w:firstLine="0"/>
              <w:jc w:val="left"/>
              <w:rPr>
                <w:spacing w:val="-4"/>
                <w:sz w:val="20"/>
                <w:szCs w:val="20"/>
                <w:lang w:val="sq-AL"/>
              </w:rPr>
            </w:pPr>
            <w:r>
              <w:rPr>
                <w:spacing w:val="-4"/>
                <w:sz w:val="20"/>
                <w:szCs w:val="20"/>
                <w:lang w:val="sq-AL"/>
              </w:rPr>
              <w:t>Eficiencë input (kosto për njësi e prodhuar)</w:t>
            </w:r>
          </w:p>
        </w:tc>
        <w:tc>
          <w:tcPr>
            <w:tcW w:w="234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rsidR="00413F0B" w:rsidRDefault="00413F0B">
            <w:pPr>
              <w:pStyle w:val="Paragrafi"/>
              <w:spacing w:line="276" w:lineRule="auto"/>
              <w:ind w:firstLine="0"/>
              <w:rPr>
                <w:spacing w:val="-4"/>
                <w:sz w:val="20"/>
                <w:szCs w:val="20"/>
                <w:lang w:val="sq-AL"/>
              </w:rPr>
            </w:pPr>
            <w:r>
              <w:rPr>
                <w:spacing w:val="-4"/>
                <w:sz w:val="20"/>
                <w:szCs w:val="20"/>
                <w:lang w:val="sq-AL"/>
              </w:rPr>
              <w:t xml:space="preserve">Burimet financiare për çdo njësi produkti </w:t>
            </w:r>
          </w:p>
        </w:tc>
        <w:tc>
          <w:tcPr>
            <w:tcW w:w="279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rsidR="00413F0B" w:rsidRDefault="00413F0B">
            <w:pPr>
              <w:pStyle w:val="Paragrafi"/>
              <w:spacing w:line="276" w:lineRule="auto"/>
              <w:ind w:firstLine="0"/>
              <w:rPr>
                <w:spacing w:val="-4"/>
                <w:sz w:val="20"/>
                <w:szCs w:val="20"/>
                <w:lang w:val="sq-AL"/>
              </w:rPr>
            </w:pPr>
            <w:r>
              <w:rPr>
                <w:spacing w:val="-4"/>
                <w:sz w:val="20"/>
                <w:szCs w:val="20"/>
                <w:lang w:val="sq-AL"/>
              </w:rPr>
              <w:t>Kosto e një ton mbetje bashkiake të mbledhur/ përpunuar etj.</w:t>
            </w:r>
          </w:p>
        </w:tc>
      </w:tr>
    </w:tbl>
    <w:p w:rsidR="00413F0B" w:rsidRDefault="00413F0B" w:rsidP="00413F0B">
      <w:pPr>
        <w:pStyle w:val="Hapesira7"/>
        <w:rPr>
          <w:spacing w:val="-4"/>
          <w:lang w:val="sq-AL"/>
        </w:rPr>
      </w:pPr>
    </w:p>
    <w:p w:rsidR="00413F0B" w:rsidRDefault="00413F0B" w:rsidP="00413F0B">
      <w:pPr>
        <w:spacing w:after="0" w:line="240" w:lineRule="auto"/>
        <w:ind w:firstLine="0"/>
        <w:jc w:val="left"/>
        <w:rPr>
          <w:rFonts w:ascii="Garamond" w:eastAsia="MS Mincho" w:hAnsi="Garamond" w:cs="CG Times"/>
          <w:spacing w:val="-4"/>
          <w:sz w:val="24"/>
          <w:lang w:val="sq-AL"/>
        </w:rPr>
        <w:sectPr w:rsidR="00413F0B" w:rsidSect="00413F0B">
          <w:type w:val="continuous"/>
          <w:pgSz w:w="11907" w:h="16840"/>
          <w:pgMar w:top="720" w:right="1134" w:bottom="720" w:left="1134" w:header="851" w:footer="851" w:gutter="0"/>
          <w:cols w:space="720"/>
        </w:sectPr>
      </w:pPr>
    </w:p>
    <w:p w:rsidR="00413F0B" w:rsidRDefault="00413F0B" w:rsidP="00413F0B">
      <w:pPr>
        <w:pStyle w:val="Paragrafi"/>
        <w:rPr>
          <w:spacing w:val="-4"/>
          <w:lang w:val="sq-AL"/>
        </w:rPr>
      </w:pPr>
      <w:r>
        <w:rPr>
          <w:spacing w:val="-4"/>
          <w:lang w:val="sq-AL"/>
        </w:rPr>
        <w:t xml:space="preserve">Njësitë e vetëqeverisjes vendore hartojnë tregues performance për të gjitha programet e shpenzimeve buxhetore që ato përdorin.  Hartimi i treguesve është detyrë e një grupi të gjerë aktorësh, si: kryetari i njësisë së vetëqeverisjes vendore, drejtuesi i programit buxhetor dhe aktorë jashtë njësisë, të cilët kanë njohuri në lidhje me programin përkatës. </w:t>
      </w:r>
    </w:p>
    <w:p w:rsidR="00413F0B" w:rsidRDefault="00413F0B" w:rsidP="00413F0B">
      <w:pPr>
        <w:pStyle w:val="Paragrafi"/>
        <w:rPr>
          <w:spacing w:val="-4"/>
          <w:lang w:val="sq-AL"/>
        </w:rPr>
      </w:pPr>
      <w:r>
        <w:rPr>
          <w:spacing w:val="-4"/>
          <w:lang w:val="sq-AL"/>
        </w:rPr>
        <w:t xml:space="preserve">Nëpërmjet udhëzimeve vjetore të përgatitjes së buxhetit afatmesëm Ministria e Financave dhe Ekonomisë në bashkëpunim me ministritë e linjës mund të ndajë me njësitë e vetëqeverisjes vendore tregues standardë minimalë, bazuar në legjislacionin specifik. </w:t>
      </w:r>
    </w:p>
    <w:p w:rsidR="00413F0B" w:rsidRDefault="00413F0B" w:rsidP="00413F0B">
      <w:pPr>
        <w:pStyle w:val="Paragrafi"/>
        <w:rPr>
          <w:spacing w:val="-4"/>
          <w:lang w:val="sq-AL"/>
        </w:rPr>
      </w:pPr>
      <w:r>
        <w:rPr>
          <w:spacing w:val="-4"/>
          <w:lang w:val="sq-AL"/>
        </w:rPr>
        <w:t xml:space="preserve">Për funksionet e deleguara treguesit e monitorimit të performancës duhet të jenë të njëjtë për të gjitha njësitë e vetëqeverisjes vendore. Për funksionet e veta njësitë e vetëqeverisjes vendore vendosin tregues të lidhura ngushtësisht me karakteristikat e njësisë. </w:t>
      </w:r>
    </w:p>
    <w:p w:rsidR="00413F0B" w:rsidRDefault="00413F0B" w:rsidP="00413F0B">
      <w:pPr>
        <w:pStyle w:val="Paragrafi"/>
        <w:rPr>
          <w:b/>
          <w:spacing w:val="-4"/>
          <w:lang w:val="sq-AL"/>
        </w:rPr>
      </w:pPr>
      <w:r>
        <w:rPr>
          <w:b/>
          <w:spacing w:val="-4"/>
          <w:lang w:val="sq-AL"/>
        </w:rPr>
        <w:t>Treguesit financiarë</w:t>
      </w:r>
    </w:p>
    <w:p w:rsidR="00413F0B" w:rsidRDefault="00413F0B" w:rsidP="00413F0B">
      <w:pPr>
        <w:pStyle w:val="Paragrafi"/>
        <w:rPr>
          <w:spacing w:val="-4"/>
          <w:lang w:val="sq-AL"/>
        </w:rPr>
      </w:pPr>
      <w:r>
        <w:rPr>
          <w:spacing w:val="-4"/>
          <w:lang w:val="sq-AL"/>
        </w:rPr>
        <w:t xml:space="preserve">Treguesit financiarë përdoren për të vlerësuar qëndrueshmërinë financiare të njësisë së vetëqeverisjes vendore, informuar aktorët kryesorë, si: kryetarin e njësisë së vetëqeverisjes vendore, këshillin e njësisë së vetëqeverisjes vendore, komunitetin vendor, taksapaguesit, Ministrinë e Financave dhe Ekonomisë ose kreditorët. </w:t>
      </w:r>
    </w:p>
    <w:p w:rsidR="00413F0B" w:rsidRDefault="00413F0B" w:rsidP="00413F0B">
      <w:pPr>
        <w:pStyle w:val="Paragrafi"/>
        <w:rPr>
          <w:spacing w:val="-4"/>
          <w:lang w:val="sq-AL"/>
        </w:rPr>
      </w:pPr>
      <w:r>
        <w:rPr>
          <w:spacing w:val="-4"/>
          <w:lang w:val="sq-AL"/>
        </w:rPr>
        <w:t xml:space="preserve">Analiza dhe raportimin i treguesve financiarë i mundëson njësisë të kuptojë më mirë aspektet financiare të saj dhe njësive administrative. Ky informacion i kombinuar me element të tjerë ekonomik, demografik dhe social të njësisë ndihmon analizën dhe marrjen e masave përkatëse nga ana e Ministrisë së Financave dhe Ekonomisë dhe njësive të vetëqeverisjes vendore për të bërë krahasime midis tyre dhe mbajtjen e financave vendore nën monitorim. </w:t>
      </w:r>
    </w:p>
    <w:p w:rsidR="00413F0B" w:rsidRDefault="00413F0B" w:rsidP="00413F0B">
      <w:pPr>
        <w:pStyle w:val="Paragrafi"/>
        <w:rPr>
          <w:spacing w:val="-4"/>
          <w:lang w:val="sq-AL"/>
        </w:rPr>
      </w:pPr>
      <w:r>
        <w:rPr>
          <w:spacing w:val="-4"/>
          <w:lang w:val="sq-AL"/>
        </w:rPr>
        <w:t>Me anë të analizës së treguesve financiarë merret informacion në lidhje me:</w:t>
      </w:r>
    </w:p>
    <w:p w:rsidR="00413F0B" w:rsidRDefault="00413F0B" w:rsidP="00413F0B">
      <w:pPr>
        <w:pStyle w:val="Paragrafi"/>
        <w:rPr>
          <w:spacing w:val="-4"/>
          <w:lang w:val="sq-AL"/>
        </w:rPr>
      </w:pPr>
      <w:r>
        <w:rPr>
          <w:spacing w:val="-4"/>
          <w:lang w:val="sq-AL"/>
        </w:rPr>
        <w:t>- Cilat janë prioritetet e njësisë së vetëqeverisjes vendore;</w:t>
      </w:r>
    </w:p>
    <w:p w:rsidR="00413F0B" w:rsidRDefault="00413F0B" w:rsidP="00413F0B">
      <w:pPr>
        <w:pStyle w:val="Paragrafi"/>
        <w:rPr>
          <w:spacing w:val="-4"/>
          <w:lang w:val="sq-AL"/>
        </w:rPr>
      </w:pPr>
      <w:r>
        <w:rPr>
          <w:spacing w:val="-4"/>
          <w:lang w:val="sq-AL"/>
        </w:rPr>
        <w:t>- Çfarë burimesh ka në dispozicion njësia;</w:t>
      </w:r>
    </w:p>
    <w:p w:rsidR="00413F0B" w:rsidRDefault="00413F0B" w:rsidP="00413F0B">
      <w:pPr>
        <w:pStyle w:val="Paragrafi"/>
        <w:rPr>
          <w:spacing w:val="-4"/>
          <w:lang w:val="sq-AL"/>
        </w:rPr>
      </w:pPr>
      <w:r>
        <w:rPr>
          <w:spacing w:val="-4"/>
          <w:lang w:val="sq-AL"/>
        </w:rPr>
        <w:t>- Si përdoren fondet publike të njësisë së vetëqeverisjes vendore;</w:t>
      </w:r>
    </w:p>
    <w:p w:rsidR="00413F0B" w:rsidRDefault="00413F0B" w:rsidP="00413F0B">
      <w:pPr>
        <w:pStyle w:val="Paragrafi"/>
        <w:rPr>
          <w:spacing w:val="-4"/>
          <w:lang w:val="sq-AL"/>
        </w:rPr>
      </w:pPr>
      <w:r>
        <w:rPr>
          <w:spacing w:val="-4"/>
          <w:lang w:val="sq-AL"/>
        </w:rPr>
        <w:t>- Sa varet njësia nga transfertat e qeverisë qendrore;</w:t>
      </w:r>
    </w:p>
    <w:p w:rsidR="00413F0B" w:rsidRDefault="00413F0B" w:rsidP="00413F0B">
      <w:pPr>
        <w:pStyle w:val="Paragrafi"/>
        <w:rPr>
          <w:spacing w:val="-4"/>
          <w:lang w:val="sq-AL"/>
        </w:rPr>
      </w:pPr>
      <w:r>
        <w:rPr>
          <w:spacing w:val="-4"/>
          <w:lang w:val="sq-AL"/>
        </w:rPr>
        <w:t>- Nëse po ruhet disiplina fiskale;</w:t>
      </w:r>
    </w:p>
    <w:p w:rsidR="00413F0B" w:rsidRDefault="00413F0B" w:rsidP="00413F0B">
      <w:pPr>
        <w:pStyle w:val="Paragrafi"/>
        <w:rPr>
          <w:spacing w:val="-4"/>
          <w:lang w:val="sq-AL"/>
        </w:rPr>
      </w:pPr>
      <w:r>
        <w:rPr>
          <w:spacing w:val="-4"/>
          <w:lang w:val="sq-AL"/>
        </w:rPr>
        <w:t>- Nëse ka risqe fiskale që kërkojnë një vëmendje të veçantë.</w:t>
      </w:r>
    </w:p>
    <w:p w:rsidR="00413F0B" w:rsidRDefault="00413F0B" w:rsidP="00413F0B">
      <w:pPr>
        <w:pStyle w:val="Paragrafi"/>
        <w:rPr>
          <w:spacing w:val="-4"/>
          <w:lang w:val="sq-AL"/>
        </w:rPr>
      </w:pPr>
      <w:r>
        <w:rPr>
          <w:spacing w:val="-4"/>
          <w:lang w:val="sq-AL"/>
        </w:rPr>
        <w:t xml:space="preserve">Analiza financiare duhet të vlerësohet përgjatë viteve. Në këtë mënyrë monitorohen ndryshimet e kushteve financiare bazuar në të njëjtit tregues financiarë për të gjitha njësitë e vetëqeverisjes vendore. Bazuar në këta tregues Ministria e Financave dhe Ekonomisë jep rekomandime për njësitë e vetëqeverisjes vendore. </w:t>
      </w:r>
    </w:p>
    <w:p w:rsidR="00413F0B" w:rsidRDefault="00413F0B" w:rsidP="00413F0B">
      <w:pPr>
        <w:pStyle w:val="Paragrafi"/>
        <w:rPr>
          <w:spacing w:val="-4"/>
          <w:lang w:val="sq-AL"/>
        </w:rPr>
      </w:pPr>
      <w:r>
        <w:rPr>
          <w:spacing w:val="-4"/>
          <w:lang w:val="sq-AL"/>
        </w:rPr>
        <w:t xml:space="preserve">Drejtoria që merret me buxhetin dhe financën brenda njësisë së vetëqeverisjes vendore është përgjegjëse për të përgatitur, llogaritur, përditësuar dhe raportuar treguesit financiarë. Të dhënat për të llogaritur këta tregues financiarë mund të merren nga Sistemi Informatik Financiar i Qeverisë (SIFQ) duke iu referuar të dhënave faktike. Për të dhënat e planifikuara/buxhetuara, treguesit llogariten duke përdorur të dhënat nga buxheti. </w:t>
      </w:r>
    </w:p>
    <w:p w:rsidR="00413F0B" w:rsidRDefault="00413F0B" w:rsidP="00413F0B">
      <w:pPr>
        <w:pStyle w:val="Paragrafi"/>
        <w:rPr>
          <w:spacing w:val="-4"/>
          <w:lang w:val="sq-AL"/>
        </w:rPr>
      </w:pPr>
      <w:r>
        <w:rPr>
          <w:spacing w:val="-4"/>
          <w:lang w:val="sq-AL"/>
        </w:rPr>
        <w:t xml:space="preserve">Përllogaritja e këtyre treguesve financiarë do të mbështetet edhe në të dhënat që sigurohen nga Instrumente të Planifikimit Financiar ose software të ndryshëm të miratuar për njësitë e vetëqeverisjes vendore. </w:t>
      </w:r>
    </w:p>
    <w:p w:rsidR="00413F0B" w:rsidRDefault="00413F0B" w:rsidP="00413F0B">
      <w:pPr>
        <w:pStyle w:val="Paragrafi"/>
        <w:rPr>
          <w:spacing w:val="-4"/>
          <w:lang w:val="sq-AL"/>
        </w:rPr>
      </w:pPr>
      <w:r>
        <w:rPr>
          <w:spacing w:val="-4"/>
          <w:lang w:val="sq-AL"/>
        </w:rPr>
        <w:t>Të dhënat për të llogaritur vlerat faktike të treguesve financiarë mblidhen në mënyrë të përvitshme. Për shifrat e parashikuara të treguesve financiare, përdoren të dhënat e programit të buxhetit dhe PBA-së. Të gjitha të dhënat për llogaritjen e treguesve financiarë janë vjetore përveç treguesve të mëposhtëm të cilët kërkojnë të dhëna të akumuluara:</w:t>
      </w:r>
    </w:p>
    <w:p w:rsidR="00413F0B" w:rsidRDefault="00413F0B" w:rsidP="00413F0B">
      <w:pPr>
        <w:pStyle w:val="Paragrafi"/>
        <w:rPr>
          <w:spacing w:val="-4"/>
          <w:lang w:val="sq-AL"/>
        </w:rPr>
      </w:pPr>
      <w:r>
        <w:rPr>
          <w:spacing w:val="-4"/>
          <w:lang w:val="sq-AL"/>
        </w:rPr>
        <w:lastRenderedPageBreak/>
        <w:t>- Raporti i borxhit afatgjatë kundrejt totalit të të ardhurave (huamarrja është e dhënë e akumuluar për huamarrjen afatgjatë; totali i të ardhurave është e dhënë vjetore);</w:t>
      </w:r>
    </w:p>
    <w:p w:rsidR="00413F0B" w:rsidRDefault="00413F0B" w:rsidP="00413F0B">
      <w:pPr>
        <w:pStyle w:val="Paragrafi"/>
        <w:rPr>
          <w:spacing w:val="-6"/>
          <w:lang w:val="sq-AL"/>
        </w:rPr>
      </w:pPr>
      <w:r>
        <w:rPr>
          <w:spacing w:val="-6"/>
          <w:lang w:val="sq-AL"/>
        </w:rPr>
        <w:t>- Raporti i borxhit afatshkurtër kundrejt të ardhurave të veta të njësisë (huamarrja është e dhënë e akumuluar për huamarrjen afatshkurtër; totali i të ardhurave nga burimet e veta është e dhënë vjetore);</w:t>
      </w:r>
    </w:p>
    <w:p w:rsidR="00413F0B" w:rsidRDefault="00413F0B" w:rsidP="00413F0B">
      <w:pPr>
        <w:pStyle w:val="Paragrafi"/>
        <w:rPr>
          <w:spacing w:val="-4"/>
          <w:lang w:val="sq-AL"/>
        </w:rPr>
      </w:pPr>
      <w:r>
        <w:rPr>
          <w:spacing w:val="-4"/>
          <w:lang w:val="sq-AL"/>
        </w:rPr>
        <w:t>- Raporti i detyrimeve të papaguara në afat kundrejt të ardhurave nga taksat dhe tarifat (detyrimet e prapambetura kërkon të dhëna të akumuluara  nga detyrimet e papaguara; të ardhurat nga taksat dhe tarifat është e dhënë vjetore).</w:t>
      </w:r>
    </w:p>
    <w:p w:rsidR="00413F0B" w:rsidRDefault="00413F0B" w:rsidP="00413F0B">
      <w:pPr>
        <w:pStyle w:val="Paragrafi"/>
        <w:rPr>
          <w:spacing w:val="-4"/>
          <w:lang w:val="sq-AL"/>
        </w:rPr>
      </w:pPr>
      <w:r>
        <w:rPr>
          <w:spacing w:val="-4"/>
          <w:lang w:val="sq-AL"/>
        </w:rPr>
        <w:t xml:space="preserve">Të gjithë treguesit financiarë llogariten dhe përditësohen në mënyrë të përvitshme dhe i referohen vitit të fundit (t-1); vitit korrent (t) dhe tri viteve të ardhshme. Treguesit financiarë raportohen çdo vit në Këshillin e njësisë së vetëqeverisjes vendore dhe në Ministrinë e Financave dhe Ekonomisë. </w:t>
      </w:r>
    </w:p>
    <w:p w:rsidR="00413F0B" w:rsidRDefault="00413F0B" w:rsidP="00413F0B">
      <w:pPr>
        <w:pStyle w:val="Paragrafi"/>
        <w:rPr>
          <w:spacing w:val="-4"/>
          <w:lang w:val="sq-AL"/>
        </w:rPr>
      </w:pPr>
      <w:r>
        <w:rPr>
          <w:spacing w:val="-4"/>
          <w:lang w:val="sq-AL"/>
        </w:rPr>
        <w:t>Ministria e Financave dhe Ekonomisë i përdor treguesit e performancës dhe jep komente sipas rastit mbi objektivat e vendosur nga njësia për të cilat matet performanca.</w:t>
      </w:r>
    </w:p>
    <w:p w:rsidR="00413F0B" w:rsidRDefault="00413F0B" w:rsidP="00413F0B">
      <w:pPr>
        <w:pStyle w:val="Paragrafi"/>
        <w:rPr>
          <w:spacing w:val="-4"/>
          <w:lang w:val="sq-AL"/>
        </w:rPr>
      </w:pPr>
    </w:p>
    <w:p w:rsidR="00413F0B" w:rsidRDefault="00413F0B" w:rsidP="00413F0B">
      <w:pPr>
        <w:pStyle w:val="Paragrafi"/>
        <w:rPr>
          <w:spacing w:val="-4"/>
          <w:lang w:val="sq-AL"/>
        </w:rPr>
      </w:pPr>
    </w:p>
    <w:p w:rsidR="00413F0B" w:rsidRDefault="00413F0B" w:rsidP="00413F0B">
      <w:pPr>
        <w:pStyle w:val="Paragrafi"/>
        <w:rPr>
          <w:spacing w:val="-4"/>
          <w:lang w:val="sq-AL"/>
        </w:rPr>
      </w:pPr>
    </w:p>
    <w:p w:rsidR="00413F0B" w:rsidRDefault="00413F0B" w:rsidP="00413F0B">
      <w:pPr>
        <w:pStyle w:val="Paragrafi"/>
        <w:rPr>
          <w:spacing w:val="-4"/>
          <w:lang w:val="sq-AL"/>
        </w:rPr>
      </w:pPr>
    </w:p>
    <w:p w:rsidR="00413F0B" w:rsidRDefault="00413F0B" w:rsidP="00413F0B">
      <w:pPr>
        <w:pStyle w:val="Paragrafi"/>
        <w:rPr>
          <w:spacing w:val="-4"/>
          <w:lang w:val="sq-AL"/>
        </w:rPr>
      </w:pPr>
    </w:p>
    <w:p w:rsidR="00413F0B" w:rsidRDefault="00413F0B" w:rsidP="00413F0B">
      <w:pPr>
        <w:pStyle w:val="Paragrafi"/>
        <w:rPr>
          <w:spacing w:val="-4"/>
          <w:lang w:val="sq-AL"/>
        </w:rPr>
        <w:sectPr w:rsidR="00413F0B" w:rsidSect="00413F0B">
          <w:type w:val="continuous"/>
          <w:pgSz w:w="11907" w:h="16840"/>
          <w:pgMar w:top="720" w:right="1134" w:bottom="720" w:left="1134" w:header="851" w:footer="851" w:gutter="0"/>
          <w:cols w:space="454"/>
        </w:sectPr>
      </w:pPr>
    </w:p>
    <w:p w:rsidR="00413F0B" w:rsidRDefault="00413F0B" w:rsidP="00413F0B">
      <w:pPr>
        <w:pStyle w:val="Paragrafi"/>
        <w:rPr>
          <w:spacing w:val="-4"/>
          <w:lang w:val="sq-AL"/>
        </w:rPr>
      </w:pPr>
    </w:p>
    <w:p w:rsidR="00413F0B" w:rsidRDefault="00413F0B" w:rsidP="00413F0B">
      <w:pPr>
        <w:pStyle w:val="Paragrafi"/>
        <w:rPr>
          <w:spacing w:val="-4"/>
          <w:lang w:val="sq-AL"/>
        </w:rPr>
      </w:pPr>
    </w:p>
    <w:p w:rsidR="00413F0B" w:rsidRDefault="00413F0B" w:rsidP="00413F0B">
      <w:pPr>
        <w:pStyle w:val="Paragrafi"/>
        <w:rPr>
          <w:spacing w:val="-4"/>
          <w:lang w:val="sq-AL"/>
        </w:rPr>
      </w:pPr>
      <w:r>
        <w:rPr>
          <w:spacing w:val="-4"/>
          <w:lang w:val="sq-AL"/>
        </w:rPr>
        <w:t xml:space="preserve"> </w:t>
      </w:r>
    </w:p>
    <w:p w:rsidR="00413F0B" w:rsidRDefault="00413F0B" w:rsidP="00413F0B">
      <w:pPr>
        <w:spacing w:after="0" w:line="240" w:lineRule="auto"/>
        <w:ind w:firstLine="0"/>
        <w:jc w:val="left"/>
        <w:rPr>
          <w:rFonts w:ascii="Garamond" w:eastAsia="MS Mincho" w:hAnsi="Garamond" w:cs="CG Times"/>
          <w:spacing w:val="-4"/>
          <w:sz w:val="24"/>
          <w:lang w:val="sq-AL"/>
        </w:rPr>
        <w:sectPr w:rsidR="00413F0B">
          <w:type w:val="continuous"/>
          <w:pgSz w:w="11907" w:h="16840"/>
          <w:pgMar w:top="720" w:right="1134" w:bottom="720" w:left="1134" w:header="851" w:footer="851" w:gutter="0"/>
          <w:cols w:num="2" w:space="454"/>
        </w:sectPr>
      </w:pPr>
    </w:p>
    <w:p w:rsidR="00413F0B" w:rsidRDefault="00413F0B" w:rsidP="00413F0B">
      <w:pPr>
        <w:spacing w:after="0" w:line="240" w:lineRule="auto"/>
        <w:ind w:firstLine="0"/>
        <w:jc w:val="left"/>
        <w:rPr>
          <w:rFonts w:ascii="Garamond" w:eastAsia="MS Mincho" w:hAnsi="Garamond" w:cs="CG Times"/>
          <w:sz w:val="24"/>
          <w:lang w:val="sq-AL"/>
        </w:rPr>
        <w:sectPr w:rsidR="00413F0B">
          <w:type w:val="continuous"/>
          <w:pgSz w:w="11907" w:h="16840"/>
          <w:pgMar w:top="720" w:right="1134" w:bottom="720" w:left="1134" w:header="851" w:footer="851" w:gutter="0"/>
          <w:cols w:space="720"/>
        </w:sectPr>
      </w:pPr>
    </w:p>
    <w:p w:rsidR="00413F0B" w:rsidRPr="00413F0B" w:rsidRDefault="00413F0B" w:rsidP="00413F0B">
      <w:pPr>
        <w:pStyle w:val="Heading2"/>
        <w:numPr>
          <w:ilvl w:val="0"/>
          <w:numId w:val="0"/>
        </w:numPr>
        <w:spacing w:before="0"/>
        <w:rPr>
          <w:rFonts w:ascii="Garamond" w:hAnsi="Garamond" w:cs="Times New Roman"/>
          <w:b/>
          <w:color w:val="auto"/>
          <w:sz w:val="20"/>
          <w:szCs w:val="20"/>
          <w:lang w:val="sq-AL"/>
        </w:rPr>
      </w:pPr>
      <w:r w:rsidRPr="00413F0B">
        <w:rPr>
          <w:rFonts w:ascii="Garamond" w:hAnsi="Garamond" w:cs="Times New Roman"/>
          <w:b/>
          <w:color w:val="auto"/>
          <w:sz w:val="20"/>
          <w:szCs w:val="20"/>
          <w:lang w:val="sq-AL"/>
        </w:rPr>
        <w:lastRenderedPageBreak/>
        <w:t>Treguesit financiarë (sipas përcaktimeve të nenit 54, të ligjit nr. 68/2017)</w:t>
      </w:r>
    </w:p>
    <w:tbl>
      <w:tblPr>
        <w:tblStyle w:val="TableGrid"/>
        <w:tblW w:w="5027" w:type="pct"/>
        <w:tblInd w:w="0" w:type="dxa"/>
        <w:tblLook w:val="04A0" w:firstRow="1" w:lastRow="0" w:firstColumn="1" w:lastColumn="0" w:noHBand="0" w:noVBand="1"/>
      </w:tblPr>
      <w:tblGrid>
        <w:gridCol w:w="676"/>
        <w:gridCol w:w="1929"/>
        <w:gridCol w:w="3151"/>
        <w:gridCol w:w="5168"/>
        <w:gridCol w:w="901"/>
        <w:gridCol w:w="885"/>
        <w:gridCol w:w="897"/>
        <w:gridCol w:w="897"/>
        <w:gridCol w:w="969"/>
      </w:tblGrid>
      <w:tr w:rsidR="00413F0B" w:rsidTr="00413F0B">
        <w:tc>
          <w:tcPr>
            <w:tcW w:w="218" w:type="pct"/>
            <w:tcBorders>
              <w:top w:val="single" w:sz="4" w:space="0" w:color="auto"/>
              <w:left w:val="single" w:sz="4"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hAnsi="Garamond"/>
                <w:b/>
                <w:lang w:val="sq-AL"/>
              </w:rPr>
            </w:pPr>
            <w:r>
              <w:rPr>
                <w:rFonts w:ascii="Garamond" w:hAnsi="Garamond"/>
                <w:b/>
                <w:lang w:val="sq-AL"/>
              </w:rPr>
              <w:t>Nr.</w:t>
            </w:r>
          </w:p>
        </w:tc>
        <w:tc>
          <w:tcPr>
            <w:tcW w:w="623" w:type="pct"/>
            <w:tcBorders>
              <w:top w:val="single" w:sz="4" w:space="0" w:color="auto"/>
              <w:left w:val="single" w:sz="4"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hAnsi="Garamond"/>
                <w:b/>
                <w:lang w:val="sq-AL"/>
              </w:rPr>
            </w:pPr>
            <w:r>
              <w:rPr>
                <w:rFonts w:ascii="Garamond" w:hAnsi="Garamond"/>
                <w:b/>
                <w:lang w:val="sq-AL"/>
              </w:rPr>
              <w:t>Treguesit kyçë financiarë</w:t>
            </w:r>
          </w:p>
        </w:tc>
        <w:tc>
          <w:tcPr>
            <w:tcW w:w="1018" w:type="pct"/>
            <w:tcBorders>
              <w:top w:val="single" w:sz="4" w:space="0" w:color="auto"/>
              <w:left w:val="single" w:sz="4"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hAnsi="Garamond"/>
                <w:b/>
                <w:lang w:val="sq-AL"/>
              </w:rPr>
            </w:pPr>
            <w:r>
              <w:rPr>
                <w:rFonts w:ascii="Garamond" w:hAnsi="Garamond"/>
                <w:b/>
                <w:lang w:val="sq-AL"/>
              </w:rPr>
              <w:t>Kuptimi</w:t>
            </w:r>
          </w:p>
        </w:tc>
        <w:tc>
          <w:tcPr>
            <w:tcW w:w="1670" w:type="pct"/>
            <w:tcBorders>
              <w:top w:val="single" w:sz="4" w:space="0" w:color="auto"/>
              <w:left w:val="single" w:sz="4"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hAnsi="Garamond"/>
                <w:b/>
                <w:lang w:val="sq-AL"/>
              </w:rPr>
            </w:pPr>
            <w:r>
              <w:rPr>
                <w:rFonts w:ascii="Garamond" w:hAnsi="Garamond"/>
                <w:b/>
                <w:lang w:val="sq-AL"/>
              </w:rPr>
              <w:t>Formula</w:t>
            </w:r>
          </w:p>
        </w:tc>
        <w:tc>
          <w:tcPr>
            <w:tcW w:w="291" w:type="pct"/>
            <w:tcBorders>
              <w:top w:val="single" w:sz="4" w:space="0" w:color="auto"/>
              <w:left w:val="single" w:sz="4"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hAnsi="Garamond"/>
                <w:b/>
                <w:lang w:val="sq-AL"/>
              </w:rPr>
            </w:pPr>
            <w:r>
              <w:rPr>
                <w:rFonts w:ascii="Garamond" w:hAnsi="Garamond"/>
                <w:b/>
                <w:lang w:val="sq-AL"/>
              </w:rPr>
              <w:t>Fakti viti</w:t>
            </w:r>
          </w:p>
          <w:p w:rsidR="00413F0B" w:rsidRDefault="00413F0B">
            <w:pPr>
              <w:spacing w:after="0" w:line="240" w:lineRule="auto"/>
              <w:ind w:firstLine="0"/>
              <w:jc w:val="center"/>
              <w:rPr>
                <w:rFonts w:ascii="Garamond" w:hAnsi="Garamond"/>
                <w:b/>
                <w:lang w:val="sq-AL"/>
              </w:rPr>
            </w:pPr>
            <w:r>
              <w:rPr>
                <w:rFonts w:ascii="Garamond" w:hAnsi="Garamond"/>
                <w:b/>
                <w:lang w:val="sq-AL"/>
              </w:rPr>
              <w:t>(t-1)</w:t>
            </w:r>
          </w:p>
        </w:tc>
        <w:tc>
          <w:tcPr>
            <w:tcW w:w="286" w:type="pct"/>
            <w:tcBorders>
              <w:top w:val="single" w:sz="4" w:space="0" w:color="auto"/>
              <w:left w:val="single" w:sz="4"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hAnsi="Garamond"/>
                <w:b/>
                <w:lang w:val="sq-AL"/>
              </w:rPr>
            </w:pPr>
            <w:r>
              <w:rPr>
                <w:rFonts w:ascii="Garamond" w:hAnsi="Garamond"/>
                <w:b/>
                <w:lang w:val="sq-AL"/>
              </w:rPr>
              <w:t>Plani viti</w:t>
            </w:r>
          </w:p>
          <w:p w:rsidR="00413F0B" w:rsidRDefault="00413F0B">
            <w:pPr>
              <w:spacing w:after="0" w:line="240" w:lineRule="auto"/>
              <w:ind w:firstLine="0"/>
              <w:jc w:val="center"/>
              <w:rPr>
                <w:rFonts w:ascii="Garamond" w:hAnsi="Garamond"/>
                <w:b/>
                <w:lang w:val="sq-AL"/>
              </w:rPr>
            </w:pPr>
            <w:r>
              <w:rPr>
                <w:rFonts w:ascii="Garamond" w:hAnsi="Garamond"/>
                <w:b/>
                <w:lang w:val="sq-AL"/>
              </w:rPr>
              <w:t>(t)</w:t>
            </w:r>
          </w:p>
        </w:tc>
        <w:tc>
          <w:tcPr>
            <w:tcW w:w="290" w:type="pct"/>
            <w:tcBorders>
              <w:top w:val="single" w:sz="4" w:space="0" w:color="auto"/>
              <w:left w:val="single" w:sz="4"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hAnsi="Garamond"/>
                <w:b/>
                <w:lang w:val="sq-AL"/>
              </w:rPr>
            </w:pPr>
            <w:r>
              <w:rPr>
                <w:rFonts w:ascii="Garamond" w:hAnsi="Garamond"/>
                <w:b/>
                <w:lang w:val="sq-AL"/>
              </w:rPr>
              <w:t>Plani viti (t+1)</w:t>
            </w:r>
          </w:p>
        </w:tc>
        <w:tc>
          <w:tcPr>
            <w:tcW w:w="290" w:type="pct"/>
            <w:tcBorders>
              <w:top w:val="single" w:sz="4" w:space="0" w:color="auto"/>
              <w:left w:val="single" w:sz="4"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hAnsi="Garamond"/>
                <w:b/>
                <w:lang w:val="sq-AL"/>
              </w:rPr>
            </w:pPr>
            <w:r>
              <w:rPr>
                <w:rFonts w:ascii="Garamond" w:hAnsi="Garamond"/>
                <w:b/>
                <w:lang w:val="sq-AL"/>
              </w:rPr>
              <w:t>Plani viti (t+2)</w:t>
            </w:r>
          </w:p>
        </w:tc>
        <w:tc>
          <w:tcPr>
            <w:tcW w:w="313" w:type="pct"/>
            <w:tcBorders>
              <w:top w:val="single" w:sz="4" w:space="0" w:color="auto"/>
              <w:left w:val="single" w:sz="4"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hAnsi="Garamond"/>
                <w:b/>
                <w:lang w:val="sq-AL"/>
              </w:rPr>
            </w:pPr>
            <w:r>
              <w:rPr>
                <w:rFonts w:ascii="Garamond" w:hAnsi="Garamond"/>
                <w:b/>
                <w:lang w:val="sq-AL"/>
              </w:rPr>
              <w:t xml:space="preserve">Plani </w:t>
            </w:r>
          </w:p>
          <w:p w:rsidR="00413F0B" w:rsidRDefault="00413F0B">
            <w:pPr>
              <w:spacing w:after="0" w:line="240" w:lineRule="auto"/>
              <w:ind w:firstLine="0"/>
              <w:jc w:val="center"/>
              <w:rPr>
                <w:rFonts w:ascii="Garamond" w:hAnsi="Garamond"/>
                <w:b/>
                <w:lang w:val="sq-AL"/>
              </w:rPr>
            </w:pPr>
            <w:r>
              <w:rPr>
                <w:rFonts w:ascii="Garamond" w:hAnsi="Garamond"/>
                <w:b/>
                <w:lang w:val="sq-AL"/>
              </w:rPr>
              <w:t>viti</w:t>
            </w:r>
          </w:p>
          <w:p w:rsidR="00413F0B" w:rsidRDefault="00413F0B">
            <w:pPr>
              <w:spacing w:after="0" w:line="240" w:lineRule="auto"/>
              <w:ind w:firstLine="0"/>
              <w:jc w:val="center"/>
              <w:rPr>
                <w:rFonts w:ascii="Garamond" w:hAnsi="Garamond"/>
                <w:b/>
                <w:lang w:val="sq-AL"/>
              </w:rPr>
            </w:pPr>
            <w:r>
              <w:rPr>
                <w:rFonts w:ascii="Garamond" w:hAnsi="Garamond"/>
                <w:b/>
                <w:lang w:val="sq-AL"/>
              </w:rPr>
              <w:t>(t+3)</w:t>
            </w:r>
          </w:p>
        </w:tc>
      </w:tr>
      <w:tr w:rsidR="00413F0B" w:rsidTr="00413F0B">
        <w:trPr>
          <w:trHeight w:val="323"/>
        </w:trPr>
        <w:tc>
          <w:tcPr>
            <w:tcW w:w="2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1*</w:t>
            </w:r>
            <w:r>
              <w:rPr>
                <w:rStyle w:val="FootnoteReference"/>
                <w:rFonts w:ascii="Garamond" w:hAnsi="Garamond"/>
                <w:lang w:val="sq-AL"/>
              </w:rPr>
              <w:footnoteReference w:id="1"/>
            </w:r>
          </w:p>
        </w:tc>
        <w:tc>
          <w:tcPr>
            <w:tcW w:w="623"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left"/>
              <w:rPr>
                <w:rFonts w:ascii="Garamond" w:hAnsi="Garamond"/>
                <w:lang w:val="sq-AL"/>
              </w:rPr>
            </w:pPr>
            <w:r>
              <w:rPr>
                <w:rFonts w:ascii="Garamond" w:hAnsi="Garamond"/>
                <w:lang w:val="sq-AL"/>
              </w:rPr>
              <w:t>Raporti i shpenzimeve të përgjithshme ndaj të ardhurave të përgjithshme</w:t>
            </w:r>
          </w:p>
        </w:tc>
        <w:tc>
          <w:tcPr>
            <w:tcW w:w="10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left"/>
              <w:rPr>
                <w:rFonts w:ascii="Garamond" w:hAnsi="Garamond"/>
                <w:lang w:val="sq-AL"/>
              </w:rPr>
            </w:pPr>
            <w:r>
              <w:rPr>
                <w:rFonts w:ascii="Garamond" w:hAnsi="Garamond"/>
                <w:lang w:val="sq-AL"/>
              </w:rPr>
              <w:t>Ky raport tregon shpenzimet si një përqindje kundrejt të ardhurave– raporti tregon sesa shpenzon njësia për ofrimin e shërbimeve publike.</w:t>
            </w:r>
          </w:p>
          <w:p w:rsidR="00413F0B" w:rsidRDefault="00413F0B">
            <w:pPr>
              <w:spacing w:after="0" w:line="240" w:lineRule="auto"/>
              <w:ind w:firstLine="0"/>
              <w:jc w:val="left"/>
              <w:rPr>
                <w:rFonts w:ascii="Garamond" w:hAnsi="Garamond"/>
                <w:lang w:val="sq-AL"/>
              </w:rPr>
            </w:pPr>
            <w:r>
              <w:rPr>
                <w:rFonts w:ascii="Garamond" w:hAnsi="Garamond"/>
                <w:lang w:val="sq-AL"/>
              </w:rPr>
              <w:t xml:space="preserve">Tregon marrëdhënien midis flukseve hyrëse të të ardhurave me flukset dalëse të shpenzimeve. </w:t>
            </w:r>
          </w:p>
        </w:tc>
        <w:tc>
          <w:tcPr>
            <w:tcW w:w="1670"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center"/>
              <w:rPr>
                <w:rFonts w:ascii="Garamond" w:hAnsi="Garamond"/>
                <w:lang w:val="sq-AL"/>
              </w:rPr>
            </w:pPr>
            <m:oMath>
              <m:f>
                <m:fPr>
                  <m:ctrlPr>
                    <w:rPr>
                      <w:rFonts w:ascii="Cambria Math" w:hAnsi="Cambria Math"/>
                      <w:i/>
                      <w:sz w:val="22"/>
                      <w:szCs w:val="22"/>
                      <w:lang w:val="sq-AL"/>
                    </w:rPr>
                  </m:ctrlPr>
                </m:fPr>
                <m:num>
                  <m:r>
                    <w:rPr>
                      <w:rFonts w:ascii="Cambria Math" w:hAnsi="Cambria Math"/>
                      <w:lang w:val="sq-AL"/>
                    </w:rPr>
                    <m:t>Shpenzime</m:t>
                  </m:r>
                </m:num>
                <m:den>
                  <m:r>
                    <w:rPr>
                      <w:rFonts w:ascii="Cambria Math" w:hAnsi="Cambria Math"/>
                      <w:lang w:val="sq-AL"/>
                    </w:rPr>
                    <m:t>Ardhura</m:t>
                  </m:r>
                </m:den>
              </m:f>
            </m:oMath>
            <w:r>
              <w:rPr>
                <w:rFonts w:ascii="Garamond" w:hAnsi="Garamond"/>
                <w:lang w:val="sq-AL"/>
              </w:rPr>
              <w:t>*100</w:t>
            </w:r>
          </w:p>
        </w:tc>
        <w:tc>
          <w:tcPr>
            <w:tcW w:w="291"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86"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31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r>
      <w:tr w:rsidR="00413F0B" w:rsidTr="00413F0B">
        <w:trPr>
          <w:trHeight w:val="1115"/>
        </w:trPr>
        <w:tc>
          <w:tcPr>
            <w:tcW w:w="2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2*</w:t>
            </w:r>
          </w:p>
        </w:tc>
        <w:tc>
          <w:tcPr>
            <w:tcW w:w="62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jc w:val="left"/>
              <w:rPr>
                <w:rFonts w:ascii="Garamond" w:hAnsi="Garamond"/>
                <w:lang w:val="sq-AL"/>
              </w:rPr>
            </w:pPr>
            <w:r>
              <w:rPr>
                <w:rFonts w:ascii="Garamond" w:hAnsi="Garamond"/>
                <w:lang w:val="sq-AL"/>
              </w:rPr>
              <w:t>Raporti i të  ardhurave të veta vendore ndaj të ardhurave të përgjithshme</w:t>
            </w:r>
          </w:p>
          <w:p w:rsidR="00413F0B" w:rsidRDefault="00413F0B">
            <w:pPr>
              <w:spacing w:after="0" w:line="240" w:lineRule="auto"/>
              <w:ind w:firstLine="0"/>
              <w:jc w:val="left"/>
              <w:rPr>
                <w:rFonts w:ascii="Garamond" w:hAnsi="Garamond"/>
                <w:lang w:val="sq-AL"/>
              </w:rPr>
            </w:pPr>
          </w:p>
        </w:tc>
        <w:tc>
          <w:tcPr>
            <w:tcW w:w="10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left"/>
              <w:rPr>
                <w:rFonts w:ascii="Garamond" w:hAnsi="Garamond"/>
                <w:lang w:val="sq-AL"/>
              </w:rPr>
            </w:pPr>
            <w:r>
              <w:rPr>
                <w:rFonts w:ascii="Garamond" w:hAnsi="Garamond"/>
                <w:lang w:val="sq-AL"/>
              </w:rPr>
              <w:t>Tregon qëndrueshmërinë fiskale të njësisë. Rritja e raportit në vite tregon se njësia nuk mbështetet vetëm në burime të jashtme (si transfertat e qeverisë qendrore, grantet etj.)</w:t>
            </w:r>
          </w:p>
        </w:tc>
        <w:tc>
          <w:tcPr>
            <w:tcW w:w="1670"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center"/>
              <w:rPr>
                <w:rFonts w:ascii="Garamond" w:hAnsi="Garamond"/>
                <w:lang w:val="sq-AL"/>
              </w:rPr>
            </w:pPr>
            <m:oMath>
              <m:f>
                <m:fPr>
                  <m:ctrlPr>
                    <w:rPr>
                      <w:rFonts w:ascii="Cambria Math" w:hAnsi="Cambria Math"/>
                      <w:i/>
                      <w:sz w:val="22"/>
                      <w:szCs w:val="22"/>
                      <w:lang w:val="sq-AL"/>
                    </w:rPr>
                  </m:ctrlPr>
                </m:fPr>
                <m:num>
                  <m:r>
                    <w:rPr>
                      <w:rFonts w:ascii="Cambria Math" w:hAnsi="Cambria Math"/>
                      <w:lang w:val="sq-AL"/>
                    </w:rPr>
                    <m:t>Të ardhurat e veta</m:t>
                  </m:r>
                </m:num>
                <m:den>
                  <m:r>
                    <w:rPr>
                      <w:rFonts w:ascii="Cambria Math" w:hAnsi="Cambria Math"/>
                      <w:lang w:val="sq-AL"/>
                    </w:rPr>
                    <m:t>Të ardhurat e Përgjithshme</m:t>
                  </m:r>
                </m:den>
              </m:f>
            </m:oMath>
            <w:r>
              <w:rPr>
                <w:rFonts w:ascii="Garamond" w:hAnsi="Garamond"/>
                <w:i/>
                <w:lang w:val="sq-AL"/>
              </w:rPr>
              <w:t>*100</w:t>
            </w:r>
          </w:p>
        </w:tc>
        <w:tc>
          <w:tcPr>
            <w:tcW w:w="291"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86"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31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r>
      <w:tr w:rsidR="00413F0B" w:rsidTr="00413F0B">
        <w:tc>
          <w:tcPr>
            <w:tcW w:w="2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3*</w:t>
            </w:r>
          </w:p>
        </w:tc>
        <w:tc>
          <w:tcPr>
            <w:tcW w:w="62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jc w:val="left"/>
              <w:rPr>
                <w:rFonts w:ascii="Garamond" w:hAnsi="Garamond"/>
                <w:lang w:val="sq-AL"/>
              </w:rPr>
            </w:pPr>
            <w:r>
              <w:rPr>
                <w:rFonts w:ascii="Garamond" w:hAnsi="Garamond"/>
                <w:lang w:val="sq-AL"/>
              </w:rPr>
              <w:t>Raporti i të ardhurave faktike nga taksat dhe tarifat vendore ndaj planit të tyre</w:t>
            </w:r>
          </w:p>
          <w:p w:rsidR="00413F0B" w:rsidRDefault="00413F0B">
            <w:pPr>
              <w:spacing w:after="0" w:line="240" w:lineRule="auto"/>
              <w:ind w:firstLine="0"/>
              <w:rPr>
                <w:rFonts w:ascii="Garamond" w:hAnsi="Garamond"/>
                <w:lang w:val="sq-AL"/>
              </w:rPr>
            </w:pPr>
          </w:p>
          <w:p w:rsidR="00413F0B" w:rsidRDefault="00413F0B">
            <w:pPr>
              <w:spacing w:after="0" w:line="240" w:lineRule="auto"/>
              <w:ind w:firstLine="0"/>
              <w:rPr>
                <w:rFonts w:ascii="Garamond" w:hAnsi="Garamond"/>
                <w:lang w:val="sq-AL"/>
              </w:rPr>
            </w:pPr>
          </w:p>
          <w:p w:rsidR="00413F0B" w:rsidRDefault="00413F0B">
            <w:pPr>
              <w:spacing w:after="0" w:line="240" w:lineRule="auto"/>
              <w:ind w:firstLine="0"/>
              <w:rPr>
                <w:rFonts w:ascii="Garamond" w:hAnsi="Garamond"/>
                <w:lang w:val="sq-AL"/>
              </w:rPr>
            </w:pPr>
          </w:p>
        </w:tc>
        <w:tc>
          <w:tcPr>
            <w:tcW w:w="10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left"/>
              <w:rPr>
                <w:rFonts w:ascii="Garamond" w:hAnsi="Garamond"/>
                <w:lang w:val="sq-AL"/>
              </w:rPr>
            </w:pPr>
            <w:r>
              <w:rPr>
                <w:rFonts w:ascii="Garamond" w:hAnsi="Garamond"/>
                <w:lang w:val="sq-AL"/>
              </w:rPr>
              <w:t xml:space="preserve">Një diferencë e madhe ose në rritje midis të ardhurave të arkëtuara dhe atyre të planifikuara përgjatë viteve mund të tregojë një rënie të përgjithshme të ekonomisë vendore. Nëse kjo diference është e përhershme atëherë problem është mbledhja e taksave dhe tarifave vendore që mund të jetë për shkak të procedurave, barrës së lartë fiskale, ose parashikim i pasaktë. </w:t>
            </w:r>
          </w:p>
        </w:tc>
        <w:tc>
          <w:tcPr>
            <w:tcW w:w="1670"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center"/>
              <w:rPr>
                <w:rFonts w:ascii="Garamond" w:hAnsi="Garamond"/>
                <w:lang w:val="sq-AL"/>
              </w:rPr>
            </w:pPr>
            <m:oMath>
              <m:f>
                <m:fPr>
                  <m:ctrlPr>
                    <w:rPr>
                      <w:rFonts w:ascii="Cambria Math" w:hAnsi="Cambria Math"/>
                      <w:i/>
                      <w:sz w:val="22"/>
                      <w:szCs w:val="22"/>
                      <w:lang w:val="sq-AL"/>
                    </w:rPr>
                  </m:ctrlPr>
                </m:fPr>
                <m:num>
                  <m:r>
                    <w:rPr>
                      <w:rFonts w:ascii="Cambria Math" w:hAnsi="Cambria Math"/>
                      <w:lang w:val="sq-AL"/>
                    </w:rPr>
                    <m:t>Të ardhurat faktike nga taksat dhe tarifat</m:t>
                  </m:r>
                </m:num>
                <m:den>
                  <m:r>
                    <w:rPr>
                      <w:rFonts w:ascii="Cambria Math" w:hAnsi="Cambria Math"/>
                      <w:lang w:val="sq-AL"/>
                    </w:rPr>
                    <m:t>Plani i taksave dhe tarifave</m:t>
                  </m:r>
                </m:den>
              </m:f>
            </m:oMath>
            <w:r>
              <w:rPr>
                <w:rFonts w:ascii="Garamond" w:hAnsi="Garamond"/>
                <w:lang w:val="sq-AL"/>
              </w:rPr>
              <w:t>*100</w:t>
            </w:r>
          </w:p>
        </w:tc>
        <w:tc>
          <w:tcPr>
            <w:tcW w:w="291"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86"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31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r>
      <w:tr w:rsidR="00413F0B" w:rsidTr="00413F0B">
        <w:tc>
          <w:tcPr>
            <w:tcW w:w="2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4*</w:t>
            </w:r>
          </w:p>
        </w:tc>
        <w:tc>
          <w:tcPr>
            <w:tcW w:w="623"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left"/>
              <w:rPr>
                <w:rFonts w:ascii="Garamond" w:hAnsi="Garamond"/>
                <w:lang w:val="sq-AL"/>
              </w:rPr>
            </w:pPr>
            <w:r>
              <w:rPr>
                <w:rFonts w:ascii="Garamond" w:hAnsi="Garamond"/>
                <w:lang w:val="sq-AL"/>
              </w:rPr>
              <w:t>Raporti i shpenzimeve për investime kapitale ndaj shpenzimeve të përgjithshme</w:t>
            </w:r>
          </w:p>
        </w:tc>
        <w:tc>
          <w:tcPr>
            <w:tcW w:w="10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left"/>
              <w:rPr>
                <w:rFonts w:ascii="Garamond" w:hAnsi="Garamond"/>
                <w:lang w:val="sq-AL"/>
              </w:rPr>
            </w:pPr>
            <w:r>
              <w:rPr>
                <w:rFonts w:ascii="Garamond" w:hAnsi="Garamond"/>
                <w:lang w:val="sq-AL"/>
              </w:rPr>
              <w:t>Një normë e lartë një menaxhim të mirë të financave vendore duke ofruar përmirësime në shërbimet vendore.</w:t>
            </w:r>
          </w:p>
          <w:p w:rsidR="00413F0B" w:rsidRDefault="00413F0B">
            <w:pPr>
              <w:spacing w:after="0" w:line="240" w:lineRule="auto"/>
              <w:ind w:firstLine="0"/>
              <w:jc w:val="left"/>
              <w:rPr>
                <w:rFonts w:ascii="Garamond" w:hAnsi="Garamond"/>
                <w:lang w:val="sq-AL"/>
              </w:rPr>
            </w:pPr>
            <w:r>
              <w:rPr>
                <w:rFonts w:ascii="Garamond" w:hAnsi="Garamond"/>
                <w:lang w:val="sq-AL"/>
              </w:rPr>
              <w:t>Rritja e raportit përgjatë viteve mund të shpjegohet edhe me shërbime shtesë, infrastrukturë e re, pasuri të paluajtshme të shtuara, funksione të reja të marra që kanë nevojë për investime etj.</w:t>
            </w:r>
          </w:p>
        </w:tc>
        <w:tc>
          <w:tcPr>
            <w:tcW w:w="1670"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center"/>
              <w:rPr>
                <w:rFonts w:ascii="Garamond" w:hAnsi="Garamond"/>
                <w:lang w:val="sq-AL"/>
              </w:rPr>
            </w:pPr>
            <m:oMath>
              <m:f>
                <m:fPr>
                  <m:ctrlPr>
                    <w:rPr>
                      <w:rFonts w:ascii="Cambria Math" w:hAnsi="Cambria Math"/>
                      <w:i/>
                      <w:sz w:val="22"/>
                      <w:szCs w:val="22"/>
                      <w:lang w:val="sq-AL"/>
                    </w:rPr>
                  </m:ctrlPr>
                </m:fPr>
                <m:num>
                  <m:r>
                    <w:rPr>
                      <w:rFonts w:ascii="Cambria Math" w:hAnsi="Cambria Math"/>
                      <w:lang w:val="sq-AL"/>
                    </w:rPr>
                    <m:t>Shpenzimet kapitale</m:t>
                  </m:r>
                </m:num>
                <m:den>
                  <m:r>
                    <w:rPr>
                      <w:rFonts w:ascii="Cambria Math" w:hAnsi="Cambria Math"/>
                      <w:lang w:val="sq-AL"/>
                    </w:rPr>
                    <m:t>Shpenzime të përgjithshme</m:t>
                  </m:r>
                </m:den>
              </m:f>
            </m:oMath>
            <w:r>
              <w:rPr>
                <w:rFonts w:ascii="Garamond" w:hAnsi="Garamond"/>
                <w:lang w:val="sq-AL"/>
              </w:rPr>
              <w:t>*100</w:t>
            </w:r>
          </w:p>
        </w:tc>
        <w:tc>
          <w:tcPr>
            <w:tcW w:w="291"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86"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31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r>
      <w:tr w:rsidR="00413F0B" w:rsidTr="00413F0B">
        <w:tc>
          <w:tcPr>
            <w:tcW w:w="2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5*</w:t>
            </w:r>
          </w:p>
        </w:tc>
        <w:tc>
          <w:tcPr>
            <w:tcW w:w="62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jc w:val="left"/>
              <w:rPr>
                <w:rFonts w:ascii="Garamond" w:hAnsi="Garamond"/>
                <w:lang w:val="sq-AL"/>
              </w:rPr>
            </w:pPr>
            <w:r>
              <w:rPr>
                <w:rFonts w:ascii="Garamond" w:hAnsi="Garamond"/>
                <w:lang w:val="sq-AL"/>
              </w:rPr>
              <w:t xml:space="preserve">Raporti i shpenzimeve për </w:t>
            </w:r>
            <w:r>
              <w:rPr>
                <w:rFonts w:ascii="Garamond" w:hAnsi="Garamond"/>
                <w:lang w:val="sq-AL"/>
              </w:rPr>
              <w:lastRenderedPageBreak/>
              <w:t>personelin ndaj shpenzimeve të përgjithshme</w:t>
            </w:r>
          </w:p>
          <w:p w:rsidR="00413F0B" w:rsidRDefault="00413F0B">
            <w:pPr>
              <w:spacing w:after="0" w:line="240" w:lineRule="auto"/>
              <w:ind w:firstLine="0"/>
              <w:rPr>
                <w:rFonts w:ascii="Garamond" w:hAnsi="Garamond"/>
                <w:lang w:val="sq-AL"/>
              </w:rPr>
            </w:pPr>
          </w:p>
        </w:tc>
        <w:tc>
          <w:tcPr>
            <w:tcW w:w="10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left"/>
              <w:rPr>
                <w:rFonts w:ascii="Garamond" w:hAnsi="Garamond"/>
                <w:lang w:val="sq-AL"/>
              </w:rPr>
            </w:pPr>
            <w:r>
              <w:rPr>
                <w:rFonts w:ascii="Garamond" w:hAnsi="Garamond"/>
                <w:lang w:val="sq-AL"/>
              </w:rPr>
              <w:lastRenderedPageBreak/>
              <w:t xml:space="preserve">Rritja në vite e peshës së shpenzimeve të personelit ndaj </w:t>
            </w:r>
            <w:r>
              <w:rPr>
                <w:rFonts w:ascii="Garamond" w:hAnsi="Garamond"/>
                <w:lang w:val="sq-AL"/>
              </w:rPr>
              <w:lastRenderedPageBreak/>
              <w:t>shpenzimeve të përgjithshme mund të tregojë ulje të shpenzimeve për investime/operative, ose faktin se  produktiviteti i personelit është në rënie.</w:t>
            </w:r>
            <w:r>
              <w:rPr>
                <w:rFonts w:ascii="Garamond" w:hAnsi="Garamond"/>
                <w:lang w:val="sq-AL"/>
              </w:rPr>
              <w:br/>
              <w:t>Një rritje e këtij raport mund të tregojë gjithashtu se qeveria po ofron më shumë shërbime (duke marrë funksionet të reja, duke rritur volumin e shërbimeve ose cilësinë e tij).</w:t>
            </w:r>
          </w:p>
        </w:tc>
        <w:tc>
          <w:tcPr>
            <w:tcW w:w="1670"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center"/>
              <w:rPr>
                <w:rFonts w:ascii="Garamond" w:hAnsi="Garamond"/>
                <w:lang w:val="sq-AL"/>
              </w:rPr>
            </w:pPr>
            <m:oMath>
              <m:f>
                <m:fPr>
                  <m:ctrlPr>
                    <w:rPr>
                      <w:rFonts w:ascii="Cambria Math" w:hAnsi="Cambria Math"/>
                      <w:i/>
                      <w:sz w:val="22"/>
                      <w:szCs w:val="22"/>
                      <w:lang w:val="sq-AL"/>
                    </w:rPr>
                  </m:ctrlPr>
                </m:fPr>
                <m:num>
                  <m:r>
                    <w:rPr>
                      <w:rFonts w:ascii="Cambria Math" w:hAnsi="Cambria Math"/>
                      <w:lang w:val="sq-AL"/>
                    </w:rPr>
                    <m:t>Shpenzimet e personelit</m:t>
                  </m:r>
                </m:num>
                <m:den>
                  <m:r>
                    <w:rPr>
                      <w:rFonts w:ascii="Cambria Math" w:hAnsi="Cambria Math"/>
                      <w:lang w:val="sq-AL"/>
                    </w:rPr>
                    <m:t>Shpenzime të përgjithshme</m:t>
                  </m:r>
                </m:den>
              </m:f>
            </m:oMath>
            <w:r>
              <w:rPr>
                <w:rFonts w:ascii="Garamond" w:hAnsi="Garamond"/>
                <w:lang w:val="sq-AL"/>
              </w:rPr>
              <w:t>*100</w:t>
            </w:r>
          </w:p>
        </w:tc>
        <w:tc>
          <w:tcPr>
            <w:tcW w:w="291"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86"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31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r>
      <w:tr w:rsidR="00413F0B" w:rsidTr="00413F0B">
        <w:tc>
          <w:tcPr>
            <w:tcW w:w="2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6*</w:t>
            </w:r>
          </w:p>
        </w:tc>
        <w:tc>
          <w:tcPr>
            <w:tcW w:w="62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jc w:val="left"/>
              <w:rPr>
                <w:rFonts w:ascii="Garamond" w:hAnsi="Garamond"/>
                <w:lang w:val="sq-AL"/>
              </w:rPr>
            </w:pPr>
            <w:r>
              <w:rPr>
                <w:rFonts w:ascii="Garamond" w:hAnsi="Garamond"/>
                <w:lang w:val="sq-AL"/>
              </w:rPr>
              <w:t>Raporti i huamarrjes afatgjatë ndaj  të ardhurave të përgjithshme</w:t>
            </w:r>
          </w:p>
          <w:p w:rsidR="00413F0B" w:rsidRDefault="00413F0B">
            <w:pPr>
              <w:spacing w:after="0" w:line="240" w:lineRule="auto"/>
              <w:ind w:firstLine="0"/>
              <w:rPr>
                <w:rFonts w:ascii="Garamond" w:hAnsi="Garamond"/>
                <w:lang w:val="sq-AL"/>
              </w:rPr>
            </w:pPr>
          </w:p>
        </w:tc>
        <w:tc>
          <w:tcPr>
            <w:tcW w:w="10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left"/>
              <w:rPr>
                <w:rFonts w:ascii="Garamond" w:hAnsi="Garamond"/>
                <w:lang w:val="sq-AL"/>
              </w:rPr>
            </w:pPr>
            <w:r>
              <w:rPr>
                <w:rFonts w:ascii="Garamond" w:hAnsi="Garamond"/>
                <w:lang w:val="sq-AL"/>
              </w:rPr>
              <w:t>Afatgjatë mbi një vit</w:t>
            </w:r>
            <w:r>
              <w:rPr>
                <w:rFonts w:ascii="Garamond" w:hAnsi="Garamond"/>
                <w:lang w:val="sq-AL"/>
              </w:rPr>
              <w:br/>
              <w:t>Një raport i ulët tregon që NJQV-ja është në gjendje të paguajë detyrimet e saj të borxhit (principali plus interesat).</w:t>
            </w:r>
            <w:r>
              <w:rPr>
                <w:rFonts w:ascii="Garamond" w:hAnsi="Garamond"/>
                <w:lang w:val="sq-AL"/>
              </w:rPr>
              <w:br/>
              <w:t>Nëse NJQV-ja po paguan një përqindje të lartë të të ardhurave totale në shërbimin e borxhit, ato mund të detyrohen të ulin shërbimet e tjera lokale.</w:t>
            </w:r>
          </w:p>
        </w:tc>
        <w:tc>
          <w:tcPr>
            <w:tcW w:w="1670"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center"/>
              <w:rPr>
                <w:rFonts w:ascii="Garamond" w:hAnsi="Garamond"/>
                <w:lang w:val="sq-AL"/>
              </w:rPr>
            </w:pPr>
            <m:oMath>
              <m:f>
                <m:fPr>
                  <m:ctrlPr>
                    <w:rPr>
                      <w:rFonts w:ascii="Cambria Math" w:hAnsi="Cambria Math"/>
                      <w:i/>
                      <w:sz w:val="22"/>
                      <w:szCs w:val="22"/>
                      <w:lang w:val="sq-AL"/>
                    </w:rPr>
                  </m:ctrlPr>
                </m:fPr>
                <m:num>
                  <m:r>
                    <w:rPr>
                      <w:rFonts w:ascii="Cambria Math" w:hAnsi="Cambria Math"/>
                      <w:lang w:val="sq-AL"/>
                    </w:rPr>
                    <m:t>Borxhi afatgjatë i akumuluar</m:t>
                  </m:r>
                </m:num>
                <m:den>
                  <m:r>
                    <w:rPr>
                      <w:rFonts w:ascii="Cambria Math" w:hAnsi="Cambria Math"/>
                      <w:lang w:val="sq-AL"/>
                    </w:rPr>
                    <m:t>Të ardhurat e përgjithshme</m:t>
                  </m:r>
                </m:den>
              </m:f>
            </m:oMath>
            <w:r>
              <w:rPr>
                <w:rFonts w:ascii="Garamond" w:hAnsi="Garamond"/>
                <w:lang w:val="sq-AL"/>
              </w:rPr>
              <w:t>*100</w:t>
            </w:r>
          </w:p>
        </w:tc>
        <w:tc>
          <w:tcPr>
            <w:tcW w:w="291"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86"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31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r>
      <w:tr w:rsidR="00413F0B" w:rsidTr="00413F0B">
        <w:tc>
          <w:tcPr>
            <w:tcW w:w="2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7*</w:t>
            </w:r>
          </w:p>
        </w:tc>
        <w:tc>
          <w:tcPr>
            <w:tcW w:w="62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jc w:val="left"/>
              <w:rPr>
                <w:rFonts w:ascii="Garamond" w:hAnsi="Garamond"/>
                <w:lang w:val="sq-AL"/>
              </w:rPr>
            </w:pPr>
            <w:r>
              <w:rPr>
                <w:rFonts w:ascii="Garamond" w:hAnsi="Garamond"/>
                <w:lang w:val="sq-AL"/>
              </w:rPr>
              <w:t>Raporti i huamarrjes  afatgjatë ndaj të ardhurave të veta</w:t>
            </w:r>
          </w:p>
          <w:p w:rsidR="00413F0B" w:rsidRDefault="00413F0B">
            <w:pPr>
              <w:spacing w:after="0" w:line="240" w:lineRule="auto"/>
              <w:ind w:firstLine="0"/>
              <w:jc w:val="left"/>
              <w:rPr>
                <w:rFonts w:ascii="Garamond" w:hAnsi="Garamond"/>
                <w:lang w:val="sq-AL"/>
              </w:rPr>
            </w:pPr>
          </w:p>
        </w:tc>
        <w:tc>
          <w:tcPr>
            <w:tcW w:w="1018"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r>
              <w:rPr>
                <w:rFonts w:ascii="Garamond" w:hAnsi="Garamond"/>
                <w:lang w:val="sq-AL"/>
              </w:rPr>
              <w:t>I njëjti interpretim si më sipër.</w:t>
            </w:r>
          </w:p>
          <w:p w:rsidR="00413F0B" w:rsidRDefault="00413F0B">
            <w:pPr>
              <w:spacing w:after="0" w:line="240" w:lineRule="auto"/>
              <w:ind w:firstLine="0"/>
              <w:rPr>
                <w:rFonts w:ascii="Garamond" w:hAnsi="Garamond"/>
                <w:lang w:val="sq-AL"/>
              </w:rPr>
            </w:pPr>
          </w:p>
          <w:p w:rsidR="00413F0B" w:rsidRDefault="00413F0B">
            <w:pPr>
              <w:spacing w:after="0" w:line="240" w:lineRule="auto"/>
              <w:ind w:firstLine="0"/>
              <w:jc w:val="left"/>
              <w:rPr>
                <w:rFonts w:ascii="Garamond" w:hAnsi="Garamond"/>
                <w:lang w:val="sq-AL"/>
              </w:rPr>
            </w:pPr>
            <w:r>
              <w:rPr>
                <w:rFonts w:ascii="Garamond" w:hAnsi="Garamond"/>
                <w:lang w:val="sq-AL"/>
              </w:rPr>
              <w:t>Raporti në këtë rast tregon qartë një varësi midis shërbimit të borxhit / shlyerjes me anë të burimeve të veta financiare të njësisë së vetëqeverisjes vendore</w:t>
            </w:r>
          </w:p>
        </w:tc>
        <w:tc>
          <w:tcPr>
            <w:tcW w:w="1670"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center"/>
              <w:rPr>
                <w:rFonts w:ascii="Garamond" w:hAnsi="Garamond"/>
                <w:lang w:val="sq-AL"/>
              </w:rPr>
            </w:pPr>
            <m:oMath>
              <m:f>
                <m:fPr>
                  <m:ctrlPr>
                    <w:rPr>
                      <w:rFonts w:ascii="Cambria Math" w:hAnsi="Cambria Math"/>
                      <w:i/>
                      <w:sz w:val="22"/>
                      <w:szCs w:val="22"/>
                      <w:lang w:val="sq-AL"/>
                    </w:rPr>
                  </m:ctrlPr>
                </m:fPr>
                <m:num>
                  <m:r>
                    <w:rPr>
                      <w:rFonts w:ascii="Cambria Math" w:hAnsi="Cambria Math"/>
                      <w:lang w:val="sq-AL"/>
                    </w:rPr>
                    <m:t>Borxhi afatgjatë i akumuluar</m:t>
                  </m:r>
                </m:num>
                <m:den>
                  <m:r>
                    <w:rPr>
                      <w:rFonts w:ascii="Cambria Math" w:hAnsi="Cambria Math"/>
                      <w:lang w:val="sq-AL"/>
                    </w:rPr>
                    <m:t>Të ardhurat e Veta</m:t>
                  </m:r>
                </m:den>
              </m:f>
            </m:oMath>
            <w:r>
              <w:rPr>
                <w:rFonts w:ascii="Garamond" w:hAnsi="Garamond"/>
                <w:lang w:val="sq-AL"/>
              </w:rPr>
              <w:t>*100</w:t>
            </w:r>
          </w:p>
        </w:tc>
        <w:tc>
          <w:tcPr>
            <w:tcW w:w="291"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86"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31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r>
      <w:tr w:rsidR="00413F0B" w:rsidTr="00413F0B">
        <w:tc>
          <w:tcPr>
            <w:tcW w:w="2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8*</w:t>
            </w:r>
          </w:p>
        </w:tc>
        <w:tc>
          <w:tcPr>
            <w:tcW w:w="623"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left"/>
              <w:rPr>
                <w:rFonts w:ascii="Garamond" w:hAnsi="Garamond"/>
                <w:lang w:val="sq-AL"/>
              </w:rPr>
            </w:pPr>
            <w:r>
              <w:rPr>
                <w:rFonts w:ascii="Garamond" w:hAnsi="Garamond"/>
                <w:lang w:val="sq-AL"/>
              </w:rPr>
              <w:t>Raporti i huamarrjes afatshkurtër ndaj të ardhurave të përgjithshme</w:t>
            </w:r>
          </w:p>
        </w:tc>
        <w:tc>
          <w:tcPr>
            <w:tcW w:w="1018"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r>
              <w:rPr>
                <w:rFonts w:ascii="Garamond" w:hAnsi="Garamond"/>
                <w:lang w:val="sq-AL"/>
              </w:rPr>
              <w:t>Afatshkurtër  nën një vit</w:t>
            </w:r>
          </w:p>
          <w:p w:rsidR="00413F0B" w:rsidRDefault="00413F0B">
            <w:pPr>
              <w:spacing w:after="0" w:line="240" w:lineRule="auto"/>
              <w:ind w:firstLine="0"/>
              <w:rPr>
                <w:rFonts w:ascii="Garamond" w:hAnsi="Garamond"/>
                <w:lang w:val="sq-AL"/>
              </w:rPr>
            </w:pPr>
          </w:p>
          <w:p w:rsidR="00413F0B" w:rsidRDefault="00413F0B">
            <w:pPr>
              <w:spacing w:after="0" w:line="240" w:lineRule="auto"/>
              <w:ind w:firstLine="0"/>
              <w:jc w:val="left"/>
              <w:rPr>
                <w:rFonts w:ascii="Garamond" w:hAnsi="Garamond"/>
                <w:lang w:val="sq-AL"/>
              </w:rPr>
            </w:pPr>
            <w:r>
              <w:rPr>
                <w:rFonts w:ascii="Garamond" w:hAnsi="Garamond"/>
                <w:lang w:val="sq-AL"/>
              </w:rPr>
              <w:t xml:space="preserve">Tregon aftësinë e njësisë vendore për të respektuar detyrimet afatshkurtra. </w:t>
            </w:r>
          </w:p>
          <w:p w:rsidR="00413F0B" w:rsidRDefault="00413F0B">
            <w:pPr>
              <w:spacing w:after="0" w:line="240" w:lineRule="auto"/>
              <w:ind w:firstLine="0"/>
              <w:jc w:val="left"/>
              <w:rPr>
                <w:rFonts w:ascii="Garamond" w:hAnsi="Garamond"/>
                <w:lang w:val="sq-AL"/>
              </w:rPr>
            </w:pPr>
            <w:r>
              <w:rPr>
                <w:rFonts w:ascii="Garamond" w:hAnsi="Garamond"/>
                <w:lang w:val="sq-AL"/>
              </w:rPr>
              <w:t>Rritja e detyrimeve korrente afatshkurtra si % kundrejt të ardhurave në fund të vitit tregon një situatë negative në lidhje me likuiditetet dhe / ose problem me shpenzimet të cilat realizohen me borxh.</w:t>
            </w:r>
          </w:p>
          <w:p w:rsidR="00413F0B" w:rsidRDefault="00413F0B">
            <w:pPr>
              <w:spacing w:after="0" w:line="240" w:lineRule="auto"/>
              <w:ind w:firstLine="0"/>
              <w:jc w:val="left"/>
              <w:rPr>
                <w:rFonts w:ascii="Garamond" w:hAnsi="Garamond"/>
                <w:lang w:val="sq-AL"/>
              </w:rPr>
            </w:pPr>
            <w:r>
              <w:rPr>
                <w:rFonts w:ascii="Garamond" w:hAnsi="Garamond"/>
                <w:lang w:val="sq-AL"/>
              </w:rPr>
              <w:t xml:space="preserve">Një raport i ulët tregon se borxhi afatshkurtër mund të shlyhet </w:t>
            </w:r>
            <w:r>
              <w:rPr>
                <w:rFonts w:ascii="Garamond" w:hAnsi="Garamond"/>
                <w:lang w:val="sq-AL"/>
              </w:rPr>
              <w:lastRenderedPageBreak/>
              <w:t xml:space="preserve">lehtësisht me anë të të ardhurave vjetore të njësisë. </w:t>
            </w:r>
          </w:p>
        </w:tc>
        <w:tc>
          <w:tcPr>
            <w:tcW w:w="1670"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center"/>
              <w:rPr>
                <w:rFonts w:ascii="Garamond" w:hAnsi="Garamond"/>
                <w:lang w:val="sq-AL"/>
              </w:rPr>
            </w:pPr>
            <m:oMath>
              <m:f>
                <m:fPr>
                  <m:ctrlPr>
                    <w:rPr>
                      <w:rFonts w:ascii="Cambria Math" w:hAnsi="Cambria Math"/>
                      <w:i/>
                      <w:sz w:val="22"/>
                      <w:szCs w:val="22"/>
                      <w:lang w:val="sq-AL"/>
                    </w:rPr>
                  </m:ctrlPr>
                </m:fPr>
                <m:num>
                  <m:r>
                    <w:rPr>
                      <w:rFonts w:ascii="Cambria Math" w:hAnsi="Cambria Math"/>
                      <w:lang w:val="sq-AL"/>
                    </w:rPr>
                    <m:t>Borxhi afatshkurtër</m:t>
                  </m:r>
                </m:num>
                <m:den>
                  <m:r>
                    <w:rPr>
                      <w:rFonts w:ascii="Cambria Math" w:hAnsi="Cambria Math"/>
                      <w:lang w:val="sq-AL"/>
                    </w:rPr>
                    <m:t>Të ardhurat e përgjithshme</m:t>
                  </m:r>
                </m:den>
              </m:f>
            </m:oMath>
            <w:r>
              <w:rPr>
                <w:rFonts w:ascii="Garamond" w:hAnsi="Garamond"/>
                <w:lang w:val="sq-AL"/>
              </w:rPr>
              <w:t>*100</w:t>
            </w:r>
          </w:p>
        </w:tc>
        <w:tc>
          <w:tcPr>
            <w:tcW w:w="291"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86"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31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r>
      <w:tr w:rsidR="00413F0B" w:rsidTr="00413F0B">
        <w:tc>
          <w:tcPr>
            <w:tcW w:w="2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9*</w:t>
            </w:r>
          </w:p>
        </w:tc>
        <w:tc>
          <w:tcPr>
            <w:tcW w:w="62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jc w:val="left"/>
              <w:rPr>
                <w:rFonts w:ascii="Garamond" w:hAnsi="Garamond"/>
                <w:lang w:val="sq-AL"/>
              </w:rPr>
            </w:pPr>
            <w:r>
              <w:rPr>
                <w:rFonts w:ascii="Garamond" w:hAnsi="Garamond"/>
                <w:lang w:val="sq-AL"/>
              </w:rPr>
              <w:t>Raporti i  detyrimeve tatimore të pa-arkëtuara në kohë ndaj të ardhurave tatimore</w:t>
            </w:r>
          </w:p>
          <w:p w:rsidR="00413F0B" w:rsidRDefault="00413F0B">
            <w:pPr>
              <w:spacing w:after="0" w:line="240" w:lineRule="auto"/>
              <w:ind w:firstLine="0"/>
              <w:rPr>
                <w:rFonts w:ascii="Garamond" w:hAnsi="Garamond"/>
                <w:lang w:val="sq-AL"/>
              </w:rPr>
            </w:pPr>
          </w:p>
        </w:tc>
        <w:tc>
          <w:tcPr>
            <w:tcW w:w="10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Përfaqëson detyrimet fiskale të papaguara në kohë për njësinë vendore.</w:t>
            </w:r>
          </w:p>
          <w:p w:rsidR="00413F0B" w:rsidRDefault="00413F0B">
            <w:pPr>
              <w:spacing w:after="0" w:line="240" w:lineRule="auto"/>
              <w:ind w:firstLine="0"/>
              <w:jc w:val="left"/>
              <w:rPr>
                <w:rFonts w:ascii="Garamond" w:hAnsi="Garamond"/>
                <w:lang w:val="sq-AL"/>
              </w:rPr>
            </w:pPr>
            <w:r>
              <w:rPr>
                <w:rFonts w:ascii="Garamond" w:hAnsi="Garamond"/>
                <w:lang w:val="sq-AL"/>
              </w:rPr>
              <w:t>Një normë e lartë e detyrimeve të akumuluara kundrejt totalit të të ardhurave të njësisë nga taksat dhe tarifat mund të tregojë procedura jo të mira; barrë e lartë fiskale; rënie të ekonomisë vendore.</w:t>
            </w:r>
          </w:p>
        </w:tc>
        <w:tc>
          <w:tcPr>
            <w:tcW w:w="1670"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center"/>
              <w:rPr>
                <w:rFonts w:ascii="Garamond" w:hAnsi="Garamond"/>
                <w:lang w:val="sq-AL"/>
              </w:rPr>
            </w:pPr>
            <m:oMath>
              <m:f>
                <m:fPr>
                  <m:ctrlPr>
                    <w:rPr>
                      <w:rFonts w:ascii="Cambria Math" w:hAnsi="Cambria Math"/>
                      <w:i/>
                      <w:sz w:val="22"/>
                      <w:szCs w:val="22"/>
                      <w:lang w:val="sq-AL"/>
                    </w:rPr>
                  </m:ctrlPr>
                </m:fPr>
                <m:num>
                  <m:r>
                    <w:rPr>
                      <w:rFonts w:ascii="Cambria Math" w:hAnsi="Cambria Math"/>
                      <w:lang w:val="sq-AL"/>
                    </w:rPr>
                    <m:t>Detyrimet tatimore të prapambetura</m:t>
                  </m:r>
                </m:num>
                <m:den>
                  <m:r>
                    <w:rPr>
                      <w:rFonts w:ascii="Cambria Math" w:hAnsi="Cambria Math"/>
                      <w:lang w:val="sq-AL"/>
                    </w:rPr>
                    <m:t>Të ardhurat nga taksat dhe tarifat</m:t>
                  </m:r>
                </m:den>
              </m:f>
            </m:oMath>
            <w:r>
              <w:rPr>
                <w:rFonts w:ascii="Garamond" w:hAnsi="Garamond"/>
                <w:lang w:val="sq-AL"/>
              </w:rPr>
              <w:t>*100</w:t>
            </w:r>
          </w:p>
        </w:tc>
        <w:tc>
          <w:tcPr>
            <w:tcW w:w="291"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86"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31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r>
      <w:tr w:rsidR="00413F0B" w:rsidTr="00413F0B">
        <w:tc>
          <w:tcPr>
            <w:tcW w:w="2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10</w:t>
            </w:r>
          </w:p>
        </w:tc>
        <w:tc>
          <w:tcPr>
            <w:tcW w:w="623"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left"/>
              <w:rPr>
                <w:rFonts w:ascii="Garamond" w:hAnsi="Garamond"/>
                <w:lang w:val="sq-AL"/>
              </w:rPr>
            </w:pPr>
            <w:r>
              <w:rPr>
                <w:rFonts w:ascii="Garamond" w:hAnsi="Garamond"/>
                <w:lang w:val="sq-AL"/>
              </w:rPr>
              <w:t>Raporti i shpenzimeve për partneritetet publike-private ndaj shpenzimeve të përgjithshme</w:t>
            </w:r>
          </w:p>
        </w:tc>
        <w:tc>
          <w:tcPr>
            <w:tcW w:w="10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Raporti i shpenzimeve që bën njësia si pjesë e të gjitha skemave PPP ku ajo është palë nuk duhet të jetë më shumë sesa 5% e shpenzimeve të përgjithshme të saj.</w:t>
            </w:r>
          </w:p>
          <w:p w:rsidR="00413F0B" w:rsidRDefault="00413F0B">
            <w:pPr>
              <w:spacing w:after="0" w:line="240" w:lineRule="auto"/>
              <w:ind w:firstLine="0"/>
              <w:jc w:val="left"/>
              <w:rPr>
                <w:rFonts w:ascii="Garamond" w:hAnsi="Garamond"/>
                <w:lang w:val="sq-AL"/>
              </w:rPr>
            </w:pPr>
            <w:r>
              <w:rPr>
                <w:rFonts w:ascii="Garamond" w:hAnsi="Garamond"/>
                <w:lang w:val="sq-AL"/>
              </w:rPr>
              <w:t>Raporte më të larta tregojnë se njësia është në kundërshtim me parashikimet ligjore numër 9936/2008 “Për menaxhimin e sistemit buxhetor në RSH”, i ndryshuar.</w:t>
            </w:r>
          </w:p>
        </w:tc>
        <w:tc>
          <w:tcPr>
            <w:tcW w:w="1670"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center"/>
              <w:rPr>
                <w:rFonts w:ascii="Garamond" w:hAnsi="Garamond"/>
                <w:lang w:val="sq-AL"/>
              </w:rPr>
            </w:pPr>
            <m:oMath>
              <m:f>
                <m:fPr>
                  <m:ctrlPr>
                    <w:rPr>
                      <w:rFonts w:ascii="Cambria Math" w:hAnsi="Cambria Math"/>
                      <w:i/>
                      <w:sz w:val="22"/>
                      <w:szCs w:val="22"/>
                      <w:lang w:val="sq-AL"/>
                    </w:rPr>
                  </m:ctrlPr>
                </m:fPr>
                <m:num>
                  <m:r>
                    <w:rPr>
                      <w:rFonts w:ascii="Cambria Math" w:hAnsi="Cambria Math"/>
                      <w:lang w:val="sq-AL"/>
                    </w:rPr>
                    <m:t>Shpenzimet e njësisë për PPP</m:t>
                  </m:r>
                </m:num>
                <m:den>
                  <m:r>
                    <w:rPr>
                      <w:rFonts w:ascii="Cambria Math" w:hAnsi="Cambria Math"/>
                      <w:lang w:val="sq-AL"/>
                    </w:rPr>
                    <m:t>Shpenzimet e përgjithshem të njësisë</m:t>
                  </m:r>
                </m:den>
              </m:f>
            </m:oMath>
            <w:r>
              <w:rPr>
                <w:rFonts w:ascii="Garamond" w:hAnsi="Garamond"/>
                <w:lang w:val="sq-AL"/>
              </w:rPr>
              <w:t>*100</w:t>
            </w:r>
          </w:p>
        </w:tc>
        <w:tc>
          <w:tcPr>
            <w:tcW w:w="291"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86"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31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r>
      <w:tr w:rsidR="00413F0B" w:rsidTr="00413F0B">
        <w:trPr>
          <w:trHeight w:val="530"/>
        </w:trPr>
        <w:tc>
          <w:tcPr>
            <w:tcW w:w="2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11*</w:t>
            </w:r>
          </w:p>
        </w:tc>
        <w:tc>
          <w:tcPr>
            <w:tcW w:w="62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jc w:val="left"/>
              <w:rPr>
                <w:rFonts w:ascii="Garamond" w:hAnsi="Garamond"/>
                <w:lang w:val="sq-AL"/>
              </w:rPr>
            </w:pPr>
            <w:r>
              <w:rPr>
                <w:rFonts w:ascii="Garamond" w:hAnsi="Garamond"/>
                <w:lang w:val="sq-AL"/>
              </w:rPr>
              <w:t>Raporti i shpenzimeve për politikat e kujdesit shoqëror ndaj shpenzimeve të përgjithshme</w:t>
            </w:r>
          </w:p>
          <w:p w:rsidR="00413F0B" w:rsidRDefault="00413F0B">
            <w:pPr>
              <w:spacing w:after="0" w:line="240" w:lineRule="auto"/>
              <w:ind w:firstLine="0"/>
              <w:rPr>
                <w:rFonts w:ascii="Garamond" w:hAnsi="Garamond"/>
                <w:lang w:val="sq-AL"/>
              </w:rPr>
            </w:pPr>
          </w:p>
        </w:tc>
        <w:tc>
          <w:tcPr>
            <w:tcW w:w="10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left"/>
              <w:rPr>
                <w:rFonts w:ascii="Garamond" w:hAnsi="Garamond"/>
                <w:lang w:val="sq-AL"/>
              </w:rPr>
            </w:pPr>
            <w:r>
              <w:rPr>
                <w:rFonts w:ascii="Garamond" w:hAnsi="Garamond"/>
                <w:lang w:val="sq-AL"/>
              </w:rPr>
              <w:t>Një raport i lartë tregon ndërmarrjen e politikave të reja ose masa në fushën e shërbimeve sociale ose rritje të numrit të përfituesve të këtyre politikave/masave.</w:t>
            </w:r>
          </w:p>
        </w:tc>
        <w:tc>
          <w:tcPr>
            <w:tcW w:w="1670"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center"/>
              <w:rPr>
                <w:rFonts w:ascii="Garamond" w:hAnsi="Garamond"/>
                <w:lang w:val="sq-AL"/>
              </w:rPr>
            </w:pPr>
            <m:oMath>
              <m:f>
                <m:fPr>
                  <m:ctrlPr>
                    <w:rPr>
                      <w:rFonts w:ascii="Cambria Math" w:hAnsi="Cambria Math"/>
                      <w:i/>
                      <w:sz w:val="22"/>
                      <w:szCs w:val="22"/>
                      <w:lang w:val="sq-AL"/>
                    </w:rPr>
                  </m:ctrlPr>
                </m:fPr>
                <m:num>
                  <m:r>
                    <w:rPr>
                      <w:rFonts w:ascii="Cambria Math" w:hAnsi="Cambria Math"/>
                      <w:lang w:val="sq-AL"/>
                    </w:rPr>
                    <m:t>Shpenzimet për shërbimet sociale</m:t>
                  </m:r>
                </m:num>
                <m:den>
                  <m:r>
                    <w:rPr>
                      <w:rFonts w:ascii="Cambria Math" w:hAnsi="Cambria Math"/>
                      <w:lang w:val="sq-AL"/>
                    </w:rPr>
                    <m:t>Shpenzimet e përgjithshme</m:t>
                  </m:r>
                </m:den>
              </m:f>
            </m:oMath>
            <w:r>
              <w:rPr>
                <w:rFonts w:ascii="Garamond" w:hAnsi="Garamond"/>
                <w:lang w:val="sq-AL"/>
              </w:rPr>
              <w:t>*100</w:t>
            </w:r>
          </w:p>
        </w:tc>
        <w:tc>
          <w:tcPr>
            <w:tcW w:w="291"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86"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31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r>
      <w:tr w:rsidR="00413F0B" w:rsidTr="00413F0B">
        <w:tc>
          <w:tcPr>
            <w:tcW w:w="2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w:r>
              <w:rPr>
                <w:rFonts w:ascii="Garamond" w:hAnsi="Garamond"/>
                <w:lang w:val="sq-AL"/>
              </w:rPr>
              <w:t>12</w:t>
            </w:r>
          </w:p>
        </w:tc>
        <w:tc>
          <w:tcPr>
            <w:tcW w:w="623"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left"/>
              <w:rPr>
                <w:rFonts w:ascii="Garamond" w:hAnsi="Garamond"/>
                <w:lang w:val="sq-AL"/>
              </w:rPr>
            </w:pPr>
            <w:r>
              <w:rPr>
                <w:rFonts w:ascii="Garamond" w:hAnsi="Garamond"/>
                <w:lang w:val="sq-AL"/>
              </w:rPr>
              <w:t>Raporti i shpenzimeve për politikat që mbështesin barazinë gjinore ndaj shpenzimeve të përgjithshme</w:t>
            </w:r>
          </w:p>
        </w:tc>
        <w:tc>
          <w:tcPr>
            <w:tcW w:w="1018"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jc w:val="left"/>
              <w:rPr>
                <w:rFonts w:ascii="Garamond" w:hAnsi="Garamond"/>
                <w:lang w:val="sq-AL"/>
              </w:rPr>
            </w:pPr>
            <w:r>
              <w:rPr>
                <w:rFonts w:ascii="Garamond" w:hAnsi="Garamond"/>
                <w:lang w:val="sq-AL"/>
              </w:rPr>
              <w:t>Njësia përdor fonde për politika që mbështesin çështjet gjinore dhe një raport në rritje përgjatë viteve tregon angazhimin në rritje të njësisë në këtë fushë.</w:t>
            </w:r>
          </w:p>
        </w:tc>
        <w:tc>
          <w:tcPr>
            <w:tcW w:w="1670" w:type="pct"/>
            <w:tcBorders>
              <w:top w:val="single" w:sz="4" w:space="0" w:color="auto"/>
              <w:left w:val="single" w:sz="4" w:space="0" w:color="auto"/>
              <w:bottom w:val="single" w:sz="4" w:space="0" w:color="auto"/>
              <w:right w:val="single" w:sz="4" w:space="0" w:color="auto"/>
            </w:tcBorders>
            <w:hideMark/>
          </w:tcPr>
          <w:p w:rsidR="00413F0B" w:rsidRDefault="00413F0B">
            <w:pPr>
              <w:spacing w:after="0" w:line="240" w:lineRule="auto"/>
              <w:ind w:firstLine="0"/>
              <w:rPr>
                <w:rFonts w:ascii="Garamond" w:hAnsi="Garamond"/>
                <w:lang w:val="sq-AL"/>
              </w:rPr>
            </w:pPr>
            <m:oMath>
              <m:f>
                <m:fPr>
                  <m:ctrlPr>
                    <w:rPr>
                      <w:rFonts w:ascii="Cambria Math" w:hAnsi="Cambria Math"/>
                      <w:i/>
                      <w:sz w:val="22"/>
                      <w:szCs w:val="22"/>
                      <w:lang w:val="sq-AL"/>
                    </w:rPr>
                  </m:ctrlPr>
                </m:fPr>
                <m:num>
                  <m:r>
                    <w:rPr>
                      <w:rFonts w:ascii="Cambria Math" w:hAnsi="Cambria Math"/>
                      <w:lang w:val="sq-AL"/>
                    </w:rPr>
                    <m:t>Shpenzimet për çështjet e barazisë gjinore</m:t>
                  </m:r>
                </m:num>
                <m:den>
                  <m:r>
                    <w:rPr>
                      <w:rFonts w:ascii="Cambria Math" w:hAnsi="Cambria Math"/>
                      <w:lang w:val="sq-AL"/>
                    </w:rPr>
                    <m:t>Shpenzimet e përgjthshme</m:t>
                  </m:r>
                </m:den>
              </m:f>
            </m:oMath>
            <w:r>
              <w:rPr>
                <w:rFonts w:ascii="Garamond" w:hAnsi="Garamond"/>
                <w:lang w:val="sq-AL"/>
              </w:rPr>
              <w:t>*100</w:t>
            </w:r>
          </w:p>
        </w:tc>
        <w:tc>
          <w:tcPr>
            <w:tcW w:w="291"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86"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290"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c>
          <w:tcPr>
            <w:tcW w:w="313" w:type="pct"/>
            <w:tcBorders>
              <w:top w:val="single" w:sz="4" w:space="0" w:color="auto"/>
              <w:left w:val="single" w:sz="4" w:space="0" w:color="auto"/>
              <w:bottom w:val="single" w:sz="4" w:space="0" w:color="auto"/>
              <w:right w:val="single" w:sz="4" w:space="0" w:color="auto"/>
            </w:tcBorders>
          </w:tcPr>
          <w:p w:rsidR="00413F0B" w:rsidRDefault="00413F0B">
            <w:pPr>
              <w:spacing w:after="0" w:line="240" w:lineRule="auto"/>
              <w:ind w:firstLine="0"/>
              <w:rPr>
                <w:rFonts w:ascii="Garamond" w:hAnsi="Garamond"/>
                <w:lang w:val="sq-AL"/>
              </w:rPr>
            </w:pPr>
          </w:p>
        </w:tc>
      </w:tr>
    </w:tbl>
    <w:tbl>
      <w:tblPr>
        <w:tblW w:w="12368" w:type="dxa"/>
        <w:tblInd w:w="93" w:type="dxa"/>
        <w:tblLook w:val="04A0" w:firstRow="1" w:lastRow="0" w:firstColumn="1" w:lastColumn="0" w:noHBand="0" w:noVBand="1"/>
      </w:tblPr>
      <w:tblGrid>
        <w:gridCol w:w="1208"/>
        <w:gridCol w:w="1073"/>
        <w:gridCol w:w="1100"/>
        <w:gridCol w:w="931"/>
        <w:gridCol w:w="1455"/>
        <w:gridCol w:w="1455"/>
        <w:gridCol w:w="1613"/>
        <w:gridCol w:w="1613"/>
        <w:gridCol w:w="960"/>
        <w:gridCol w:w="960"/>
      </w:tblGrid>
      <w:tr w:rsidR="00413F0B" w:rsidTr="00413F0B">
        <w:trPr>
          <w:trHeight w:val="139"/>
        </w:trPr>
        <w:tc>
          <w:tcPr>
            <w:tcW w:w="12368" w:type="dxa"/>
            <w:gridSpan w:val="10"/>
            <w:noWrap/>
            <w:vAlign w:val="center"/>
          </w:tcPr>
          <w:p w:rsidR="00413F0B" w:rsidRDefault="00413F0B">
            <w:pPr>
              <w:spacing w:after="0" w:line="240" w:lineRule="auto"/>
              <w:ind w:firstLine="0"/>
              <w:jc w:val="center"/>
              <w:rPr>
                <w:rFonts w:ascii="Garamond" w:eastAsia="Times New Roman" w:hAnsi="Garamond"/>
                <w:bCs/>
                <w:sz w:val="24"/>
                <w:szCs w:val="24"/>
                <w:lang w:val="sq-AL" w:eastAsia="sq-AL"/>
              </w:rPr>
            </w:pPr>
          </w:p>
          <w:p w:rsidR="00413F0B" w:rsidRDefault="00413F0B">
            <w:pPr>
              <w:spacing w:after="0" w:line="240" w:lineRule="auto"/>
              <w:ind w:firstLine="0"/>
              <w:jc w:val="center"/>
              <w:rPr>
                <w:rFonts w:ascii="Garamond" w:eastAsia="Times New Roman" w:hAnsi="Garamond"/>
                <w:bCs/>
                <w:sz w:val="24"/>
                <w:szCs w:val="24"/>
                <w:lang w:val="sq-AL" w:eastAsia="sq-AL"/>
              </w:rPr>
            </w:pPr>
          </w:p>
          <w:p w:rsidR="00413F0B" w:rsidRDefault="00413F0B">
            <w:pPr>
              <w:spacing w:after="0" w:line="240" w:lineRule="auto"/>
              <w:ind w:firstLine="0"/>
              <w:jc w:val="center"/>
              <w:rPr>
                <w:rFonts w:ascii="Garamond" w:eastAsia="Times New Roman" w:hAnsi="Garamond"/>
                <w:bCs/>
                <w:sz w:val="24"/>
                <w:szCs w:val="24"/>
                <w:lang w:val="sq-AL" w:eastAsia="sq-AL"/>
              </w:rPr>
            </w:pPr>
          </w:p>
          <w:p w:rsidR="00413F0B" w:rsidRDefault="00413F0B">
            <w:pPr>
              <w:spacing w:after="0" w:line="240" w:lineRule="auto"/>
              <w:ind w:firstLine="0"/>
              <w:jc w:val="center"/>
              <w:rPr>
                <w:rFonts w:ascii="Garamond" w:eastAsia="Times New Roman" w:hAnsi="Garamond"/>
                <w:bCs/>
                <w:sz w:val="24"/>
                <w:szCs w:val="24"/>
                <w:lang w:val="sq-AL" w:eastAsia="sq-AL"/>
              </w:rPr>
            </w:pPr>
          </w:p>
          <w:p w:rsidR="00413F0B" w:rsidRDefault="00413F0B">
            <w:pPr>
              <w:spacing w:after="0" w:line="240" w:lineRule="auto"/>
              <w:ind w:firstLine="0"/>
              <w:jc w:val="center"/>
              <w:rPr>
                <w:rFonts w:ascii="Garamond" w:eastAsia="Times New Roman" w:hAnsi="Garamond"/>
                <w:bCs/>
                <w:sz w:val="24"/>
                <w:szCs w:val="24"/>
                <w:lang w:val="sq-AL" w:eastAsia="sq-AL"/>
              </w:rPr>
            </w:pPr>
          </w:p>
          <w:p w:rsidR="00413F0B" w:rsidRDefault="00413F0B">
            <w:pPr>
              <w:spacing w:after="0" w:line="240" w:lineRule="auto"/>
              <w:ind w:firstLine="0"/>
              <w:jc w:val="center"/>
              <w:rPr>
                <w:rFonts w:ascii="Garamond" w:eastAsia="Times New Roman" w:hAnsi="Garamond"/>
                <w:bCs/>
                <w:sz w:val="24"/>
                <w:szCs w:val="24"/>
                <w:lang w:val="sq-AL" w:eastAsia="sq-AL"/>
              </w:rPr>
            </w:pPr>
            <w:r>
              <w:rPr>
                <w:rFonts w:ascii="Garamond" w:eastAsia="Times New Roman" w:hAnsi="Garamond"/>
                <w:bCs/>
                <w:sz w:val="24"/>
                <w:szCs w:val="24"/>
                <w:lang w:val="sq-AL" w:eastAsia="sq-AL"/>
              </w:rPr>
              <w:lastRenderedPageBreak/>
              <w:t>ANEKSI NR. 1</w:t>
            </w:r>
          </w:p>
          <w:p w:rsidR="00413F0B" w:rsidRDefault="00413F0B">
            <w:pPr>
              <w:spacing w:after="0" w:line="240" w:lineRule="auto"/>
              <w:ind w:firstLine="0"/>
              <w:jc w:val="center"/>
              <w:rPr>
                <w:rFonts w:ascii="Garamond" w:eastAsia="Times New Roman" w:hAnsi="Garamond"/>
                <w:bCs/>
                <w:sz w:val="24"/>
                <w:szCs w:val="24"/>
                <w:lang w:val="sq-AL" w:eastAsia="sq-AL"/>
              </w:rPr>
            </w:pPr>
            <w:r>
              <w:rPr>
                <w:rFonts w:ascii="Garamond" w:eastAsia="Times New Roman" w:hAnsi="Garamond"/>
                <w:bCs/>
                <w:sz w:val="24"/>
                <w:szCs w:val="24"/>
                <w:lang w:val="sq-AL" w:eastAsia="sq-AL"/>
              </w:rPr>
              <w:t xml:space="preserve">RAPORTI I SHPENZIMEVE SIPAS PROGRAMEVE  </w:t>
            </w:r>
          </w:p>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bCs/>
                <w:sz w:val="24"/>
                <w:szCs w:val="24"/>
                <w:lang w:val="sq-AL" w:eastAsia="sq-AL"/>
              </w:rPr>
              <w:t xml:space="preserve">                                                                                                                                                       </w:t>
            </w:r>
            <w:r>
              <w:rPr>
                <w:rFonts w:ascii="Garamond" w:eastAsia="Times New Roman" w:hAnsi="Garamond"/>
                <w:bCs/>
                <w:sz w:val="16"/>
                <w:szCs w:val="16"/>
                <w:lang w:val="sq-AL" w:eastAsia="sq-AL"/>
              </w:rPr>
              <w:t>në 000/lekë</w:t>
            </w:r>
          </w:p>
        </w:tc>
      </w:tr>
      <w:tr w:rsidR="00413F0B" w:rsidTr="00413F0B">
        <w:trPr>
          <w:trHeight w:val="139"/>
        </w:trPr>
        <w:tc>
          <w:tcPr>
            <w:tcW w:w="1208" w:type="dxa"/>
            <w:tcBorders>
              <w:top w:val="single" w:sz="8" w:space="0" w:color="auto"/>
              <w:left w:val="single" w:sz="8" w:space="0" w:color="auto"/>
              <w:bottom w:val="nil"/>
              <w:right w:val="nil"/>
            </w:tcBorders>
            <w:noWrap/>
            <w:vAlign w:val="bottom"/>
            <w:hideMark/>
          </w:tcPr>
          <w:p w:rsidR="00413F0B" w:rsidRDefault="00413F0B">
            <w:pPr>
              <w:spacing w:after="0" w:line="240" w:lineRule="auto"/>
              <w:ind w:firstLine="0"/>
              <w:jc w:val="left"/>
              <w:rPr>
                <w:rFonts w:ascii="Garamond" w:eastAsia="Times New Roman" w:hAnsi="Garamond"/>
                <w:sz w:val="16"/>
                <w:szCs w:val="16"/>
                <w:lang w:val="sq-AL" w:eastAsia="sq-AL"/>
              </w:rPr>
            </w:pPr>
            <w:r>
              <w:rPr>
                <w:rFonts w:ascii="Garamond" w:eastAsia="Times New Roman" w:hAnsi="Garamond"/>
                <w:sz w:val="16"/>
                <w:szCs w:val="16"/>
                <w:lang w:val="sq-AL" w:eastAsia="sq-AL"/>
              </w:rPr>
              <w:lastRenderedPageBreak/>
              <w:t> </w:t>
            </w:r>
          </w:p>
        </w:tc>
        <w:tc>
          <w:tcPr>
            <w:tcW w:w="1073" w:type="dxa"/>
            <w:tcBorders>
              <w:top w:val="single" w:sz="8" w:space="0" w:color="auto"/>
              <w:left w:val="nil"/>
              <w:bottom w:val="nil"/>
              <w:right w:val="nil"/>
            </w:tcBorders>
            <w:noWrap/>
            <w:vAlign w:val="bottom"/>
            <w:hideMark/>
          </w:tcPr>
          <w:p w:rsidR="00413F0B" w:rsidRDefault="00413F0B">
            <w:pPr>
              <w:spacing w:after="0" w:line="240" w:lineRule="auto"/>
              <w:ind w:firstLine="0"/>
              <w:jc w:val="left"/>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1100" w:type="dxa"/>
            <w:tcBorders>
              <w:top w:val="single" w:sz="8" w:space="0" w:color="auto"/>
              <w:left w:val="nil"/>
              <w:bottom w:val="nil"/>
              <w:right w:val="nil"/>
            </w:tcBorders>
            <w:noWrap/>
            <w:vAlign w:val="bottom"/>
            <w:hideMark/>
          </w:tcPr>
          <w:p w:rsidR="00413F0B" w:rsidRDefault="00413F0B">
            <w:pPr>
              <w:spacing w:after="0" w:line="240" w:lineRule="auto"/>
              <w:ind w:firstLine="0"/>
              <w:jc w:val="left"/>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931" w:type="dxa"/>
            <w:tcBorders>
              <w:top w:val="single" w:sz="8" w:space="0" w:color="auto"/>
              <w:left w:val="nil"/>
              <w:bottom w:val="nil"/>
              <w:right w:val="nil"/>
            </w:tcBorders>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1455" w:type="dxa"/>
            <w:tcBorders>
              <w:top w:val="single" w:sz="8" w:space="0" w:color="auto"/>
              <w:left w:val="nil"/>
              <w:bottom w:val="nil"/>
              <w:right w:val="nil"/>
            </w:tcBorders>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1455" w:type="dxa"/>
            <w:tcBorders>
              <w:top w:val="single" w:sz="8" w:space="0" w:color="auto"/>
              <w:left w:val="nil"/>
              <w:bottom w:val="nil"/>
              <w:right w:val="nil"/>
            </w:tcBorders>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1613" w:type="dxa"/>
            <w:tcBorders>
              <w:top w:val="single" w:sz="8" w:space="0" w:color="auto"/>
              <w:left w:val="nil"/>
              <w:bottom w:val="nil"/>
              <w:right w:val="nil"/>
            </w:tcBorders>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1613" w:type="dxa"/>
            <w:tcBorders>
              <w:top w:val="single" w:sz="8" w:space="0" w:color="auto"/>
              <w:left w:val="nil"/>
              <w:bottom w:val="nil"/>
              <w:right w:val="nil"/>
            </w:tcBorders>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960" w:type="dxa"/>
            <w:tcBorders>
              <w:top w:val="single" w:sz="8" w:space="0" w:color="auto"/>
              <w:left w:val="nil"/>
              <w:bottom w:val="nil"/>
              <w:right w:val="single" w:sz="8" w:space="0" w:color="auto"/>
            </w:tcBorders>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960" w:type="dxa"/>
            <w:noWrap/>
            <w:vAlign w:val="bottom"/>
            <w:hideMark/>
          </w:tcPr>
          <w:p w:rsidR="00413F0B" w:rsidRDefault="00413F0B">
            <w:pPr>
              <w:rPr>
                <w:rFonts w:ascii="Garamond" w:eastAsia="Times New Roman" w:hAnsi="Garamond"/>
                <w:sz w:val="16"/>
                <w:szCs w:val="16"/>
                <w:lang w:val="sq-AL" w:eastAsia="sq-AL"/>
              </w:rPr>
            </w:pPr>
          </w:p>
        </w:tc>
      </w:tr>
      <w:tr w:rsidR="00413F0B" w:rsidTr="00413F0B">
        <w:trPr>
          <w:trHeight w:val="139"/>
        </w:trPr>
        <w:tc>
          <w:tcPr>
            <w:tcW w:w="1208" w:type="dxa"/>
            <w:tcBorders>
              <w:top w:val="single" w:sz="4" w:space="0" w:color="auto"/>
              <w:left w:val="single" w:sz="8" w:space="0" w:color="auto"/>
              <w:bottom w:val="single" w:sz="4" w:space="0" w:color="auto"/>
              <w:right w:val="single" w:sz="4" w:space="0" w:color="auto"/>
            </w:tcBorders>
            <w:noWrap/>
            <w:vAlign w:val="bottom"/>
            <w:hideMark/>
          </w:tcPr>
          <w:p w:rsidR="00413F0B" w:rsidRDefault="00413F0B">
            <w:pPr>
              <w:spacing w:after="0" w:line="240" w:lineRule="auto"/>
              <w:ind w:firstLine="0"/>
              <w:jc w:val="left"/>
              <w:rPr>
                <w:rFonts w:ascii="Garamond" w:eastAsia="Times New Roman" w:hAnsi="Garamond"/>
                <w:b/>
                <w:bCs/>
                <w:sz w:val="16"/>
                <w:szCs w:val="16"/>
                <w:lang w:val="sq-AL" w:eastAsia="sq-AL"/>
              </w:rPr>
            </w:pPr>
            <w:r>
              <w:rPr>
                <w:rFonts w:ascii="Garamond" w:eastAsia="Times New Roman" w:hAnsi="Garamond"/>
                <w:b/>
                <w:bCs/>
                <w:sz w:val="16"/>
                <w:szCs w:val="16"/>
                <w:lang w:val="sq-AL" w:eastAsia="sq-AL"/>
              </w:rPr>
              <w:t>Emri i grupit</w:t>
            </w:r>
          </w:p>
        </w:tc>
        <w:tc>
          <w:tcPr>
            <w:tcW w:w="6014" w:type="dxa"/>
            <w:gridSpan w:val="5"/>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left"/>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1613" w:type="dxa"/>
            <w:tcBorders>
              <w:top w:val="single" w:sz="4" w:space="0" w:color="auto"/>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Kodi i grupit</w:t>
            </w:r>
          </w:p>
        </w:tc>
        <w:tc>
          <w:tcPr>
            <w:tcW w:w="2573" w:type="dxa"/>
            <w:gridSpan w:val="2"/>
            <w:tcBorders>
              <w:top w:val="single" w:sz="4" w:space="0" w:color="auto"/>
              <w:left w:val="nil"/>
              <w:bottom w:val="single" w:sz="4" w:space="0" w:color="auto"/>
              <w:right w:val="single" w:sz="8"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 </w:t>
            </w:r>
          </w:p>
        </w:tc>
        <w:tc>
          <w:tcPr>
            <w:tcW w:w="960" w:type="dxa"/>
            <w:noWrap/>
            <w:vAlign w:val="bottom"/>
            <w:hideMark/>
          </w:tcPr>
          <w:p w:rsidR="00413F0B" w:rsidRDefault="00413F0B">
            <w:pPr>
              <w:rPr>
                <w:rFonts w:ascii="Garamond" w:eastAsia="Times New Roman" w:hAnsi="Garamond"/>
                <w:b/>
                <w:bCs/>
                <w:sz w:val="16"/>
                <w:szCs w:val="16"/>
                <w:lang w:val="sq-AL" w:eastAsia="sq-AL"/>
              </w:rPr>
            </w:pPr>
          </w:p>
        </w:tc>
      </w:tr>
      <w:tr w:rsidR="00413F0B" w:rsidTr="00413F0B">
        <w:trPr>
          <w:trHeight w:val="139"/>
        </w:trPr>
        <w:tc>
          <w:tcPr>
            <w:tcW w:w="1208" w:type="dxa"/>
            <w:tcBorders>
              <w:top w:val="nil"/>
              <w:left w:val="single" w:sz="8" w:space="0" w:color="auto"/>
              <w:bottom w:val="nil"/>
              <w:right w:val="nil"/>
            </w:tcBorders>
            <w:noWrap/>
            <w:vAlign w:val="bottom"/>
            <w:hideMark/>
          </w:tcPr>
          <w:p w:rsidR="00413F0B" w:rsidRDefault="00413F0B">
            <w:pPr>
              <w:spacing w:after="0" w:line="240" w:lineRule="auto"/>
              <w:ind w:firstLine="0"/>
              <w:jc w:val="left"/>
              <w:rPr>
                <w:rFonts w:ascii="Garamond" w:eastAsia="Times New Roman" w:hAnsi="Garamond"/>
                <w:b/>
                <w:bCs/>
                <w:sz w:val="16"/>
                <w:szCs w:val="16"/>
                <w:lang w:val="sq-AL" w:eastAsia="sq-AL"/>
              </w:rPr>
            </w:pPr>
            <w:r>
              <w:rPr>
                <w:rFonts w:ascii="Garamond" w:eastAsia="Times New Roman" w:hAnsi="Garamond"/>
                <w:b/>
                <w:bCs/>
                <w:sz w:val="16"/>
                <w:szCs w:val="16"/>
                <w:lang w:val="sq-AL" w:eastAsia="sq-AL"/>
              </w:rPr>
              <w:t> </w:t>
            </w:r>
          </w:p>
        </w:tc>
        <w:tc>
          <w:tcPr>
            <w:tcW w:w="1073" w:type="dxa"/>
            <w:noWrap/>
            <w:vAlign w:val="bottom"/>
            <w:hideMark/>
          </w:tcPr>
          <w:p w:rsidR="00413F0B" w:rsidRDefault="00413F0B">
            <w:pPr>
              <w:rPr>
                <w:rFonts w:ascii="Garamond" w:eastAsia="Times New Roman" w:hAnsi="Garamond"/>
                <w:b/>
                <w:bCs/>
                <w:sz w:val="16"/>
                <w:szCs w:val="16"/>
                <w:lang w:val="sq-AL" w:eastAsia="sq-AL"/>
              </w:rPr>
            </w:pPr>
          </w:p>
        </w:tc>
        <w:tc>
          <w:tcPr>
            <w:tcW w:w="110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31"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455"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455"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61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61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0" w:type="dxa"/>
            <w:tcBorders>
              <w:top w:val="nil"/>
              <w:left w:val="nil"/>
              <w:bottom w:val="nil"/>
              <w:right w:val="single" w:sz="8" w:space="0" w:color="auto"/>
            </w:tcBorders>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960" w:type="dxa"/>
            <w:noWrap/>
            <w:vAlign w:val="bottom"/>
            <w:hideMark/>
          </w:tcPr>
          <w:p w:rsidR="00413F0B" w:rsidRDefault="00413F0B">
            <w:pPr>
              <w:rPr>
                <w:rFonts w:ascii="Garamond" w:eastAsia="Times New Roman" w:hAnsi="Garamond"/>
                <w:sz w:val="16"/>
                <w:szCs w:val="16"/>
                <w:lang w:val="sq-AL" w:eastAsia="sq-AL"/>
              </w:rPr>
            </w:pPr>
          </w:p>
        </w:tc>
      </w:tr>
      <w:tr w:rsidR="00413F0B" w:rsidTr="00413F0B">
        <w:trPr>
          <w:trHeight w:val="139"/>
        </w:trPr>
        <w:tc>
          <w:tcPr>
            <w:tcW w:w="2281" w:type="dxa"/>
            <w:gridSpan w:val="2"/>
            <w:vMerge w:val="restart"/>
            <w:tcBorders>
              <w:top w:val="single" w:sz="4" w:space="0" w:color="auto"/>
              <w:left w:val="single" w:sz="8" w:space="0" w:color="auto"/>
              <w:bottom w:val="single" w:sz="4" w:space="0" w:color="000000"/>
              <w:right w:val="single" w:sz="4" w:space="0" w:color="000000"/>
            </w:tcBorders>
            <w:noWrap/>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Programet</w:t>
            </w:r>
          </w:p>
        </w:tc>
        <w:tc>
          <w:tcPr>
            <w:tcW w:w="9127" w:type="dxa"/>
            <w:gridSpan w:val="7"/>
            <w:tcBorders>
              <w:top w:val="single" w:sz="4" w:space="0" w:color="auto"/>
              <w:left w:val="nil"/>
              <w:bottom w:val="single" w:sz="4" w:space="0" w:color="auto"/>
              <w:right w:val="single" w:sz="8" w:space="0" w:color="000000"/>
            </w:tcBorders>
            <w:noWrap/>
            <w:vAlign w:val="bottom"/>
            <w:hideMark/>
          </w:tcPr>
          <w:p w:rsidR="00413F0B" w:rsidRDefault="00413F0B">
            <w:pPr>
              <w:spacing w:after="0" w:line="240" w:lineRule="auto"/>
              <w:ind w:firstLine="0"/>
              <w:jc w:val="center"/>
              <w:rPr>
                <w:rFonts w:ascii="Garamond" w:eastAsia="Times New Roman" w:hAnsi="Garamond"/>
                <w:b/>
                <w:bCs/>
                <w:color w:val="C00000"/>
                <w:sz w:val="16"/>
                <w:szCs w:val="16"/>
                <w:lang w:val="sq-AL" w:eastAsia="sq-AL"/>
              </w:rPr>
            </w:pPr>
            <w:r>
              <w:rPr>
                <w:rFonts w:ascii="Garamond" w:eastAsia="Times New Roman" w:hAnsi="Garamond"/>
                <w:b/>
                <w:bCs/>
                <w:color w:val="C00000"/>
                <w:sz w:val="16"/>
                <w:szCs w:val="16"/>
                <w:lang w:val="sq-AL" w:eastAsia="sq-AL"/>
              </w:rPr>
              <w:t>Shpenzimet e njësisë së vetëqeverisjes vendore</w:t>
            </w:r>
          </w:p>
        </w:tc>
        <w:tc>
          <w:tcPr>
            <w:tcW w:w="960" w:type="dxa"/>
            <w:noWrap/>
            <w:vAlign w:val="bottom"/>
            <w:hideMark/>
          </w:tcPr>
          <w:p w:rsidR="00413F0B" w:rsidRDefault="00413F0B">
            <w:pPr>
              <w:rPr>
                <w:rFonts w:ascii="Garamond" w:eastAsia="Times New Roman" w:hAnsi="Garamond"/>
                <w:b/>
                <w:bCs/>
                <w:color w:val="C00000"/>
                <w:sz w:val="16"/>
                <w:szCs w:val="16"/>
                <w:lang w:val="sq-AL" w:eastAsia="sq-AL"/>
              </w:rPr>
            </w:pPr>
          </w:p>
        </w:tc>
      </w:tr>
      <w:tr w:rsidR="00413F0B" w:rsidTr="00413F0B">
        <w:trPr>
          <w:trHeight w:val="139"/>
        </w:trPr>
        <w:tc>
          <w:tcPr>
            <w:tcW w:w="0" w:type="auto"/>
            <w:gridSpan w:val="2"/>
            <w:vMerge/>
            <w:tcBorders>
              <w:top w:val="single" w:sz="4" w:space="0" w:color="auto"/>
              <w:left w:val="single" w:sz="8" w:space="0" w:color="auto"/>
              <w:bottom w:val="single" w:sz="4" w:space="0" w:color="000000"/>
              <w:right w:val="single" w:sz="4" w:space="0" w:color="000000"/>
            </w:tcBorders>
            <w:vAlign w:val="center"/>
            <w:hideMark/>
          </w:tcPr>
          <w:p w:rsidR="00413F0B" w:rsidRDefault="00413F0B">
            <w:pPr>
              <w:spacing w:after="0"/>
              <w:ind w:firstLine="0"/>
              <w:jc w:val="left"/>
              <w:rPr>
                <w:rFonts w:ascii="Garamond" w:eastAsia="Times New Roman" w:hAnsi="Garamond"/>
                <w:b/>
                <w:bCs/>
                <w:sz w:val="16"/>
                <w:szCs w:val="16"/>
                <w:lang w:val="sq-AL" w:eastAsia="sq-AL"/>
              </w:rPr>
            </w:pPr>
          </w:p>
        </w:tc>
        <w:tc>
          <w:tcPr>
            <w:tcW w:w="1100" w:type="dxa"/>
            <w:tcBorders>
              <w:top w:val="nil"/>
              <w:left w:val="nil"/>
              <w:bottom w:val="nil"/>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color w:val="C00000"/>
                <w:sz w:val="16"/>
                <w:szCs w:val="16"/>
                <w:lang w:val="sq-AL" w:eastAsia="sq-AL"/>
              </w:rPr>
            </w:pPr>
            <w:r>
              <w:rPr>
                <w:rFonts w:ascii="Garamond" w:eastAsia="Times New Roman" w:hAnsi="Garamond"/>
                <w:b/>
                <w:bCs/>
                <w:color w:val="C00000"/>
                <w:sz w:val="16"/>
                <w:szCs w:val="16"/>
                <w:lang w:val="sq-AL" w:eastAsia="sq-AL"/>
              </w:rPr>
              <w:t>(1)</w:t>
            </w:r>
          </w:p>
        </w:tc>
        <w:tc>
          <w:tcPr>
            <w:tcW w:w="931" w:type="dxa"/>
            <w:tcBorders>
              <w:top w:val="nil"/>
              <w:left w:val="nil"/>
              <w:bottom w:val="nil"/>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color w:val="C00000"/>
                <w:sz w:val="16"/>
                <w:szCs w:val="16"/>
                <w:lang w:val="sq-AL" w:eastAsia="sq-AL"/>
              </w:rPr>
            </w:pPr>
            <w:r>
              <w:rPr>
                <w:rFonts w:ascii="Garamond" w:eastAsia="Times New Roman" w:hAnsi="Garamond"/>
                <w:b/>
                <w:bCs/>
                <w:color w:val="C00000"/>
                <w:sz w:val="16"/>
                <w:szCs w:val="16"/>
                <w:lang w:val="sq-AL" w:eastAsia="sq-AL"/>
              </w:rPr>
              <w:t>(2)</w:t>
            </w:r>
          </w:p>
        </w:tc>
        <w:tc>
          <w:tcPr>
            <w:tcW w:w="1455" w:type="dxa"/>
            <w:tcBorders>
              <w:top w:val="nil"/>
              <w:left w:val="nil"/>
              <w:bottom w:val="nil"/>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color w:val="C00000"/>
                <w:sz w:val="16"/>
                <w:szCs w:val="16"/>
                <w:lang w:val="sq-AL" w:eastAsia="sq-AL"/>
              </w:rPr>
            </w:pPr>
            <w:r>
              <w:rPr>
                <w:rFonts w:ascii="Garamond" w:eastAsia="Times New Roman" w:hAnsi="Garamond"/>
                <w:b/>
                <w:bCs/>
                <w:color w:val="C00000"/>
                <w:sz w:val="16"/>
                <w:szCs w:val="16"/>
                <w:lang w:val="sq-AL" w:eastAsia="sq-AL"/>
              </w:rPr>
              <w:t>(3)</w:t>
            </w:r>
          </w:p>
        </w:tc>
        <w:tc>
          <w:tcPr>
            <w:tcW w:w="1455" w:type="dxa"/>
            <w:tcBorders>
              <w:top w:val="nil"/>
              <w:left w:val="nil"/>
              <w:bottom w:val="nil"/>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color w:val="C00000"/>
                <w:sz w:val="16"/>
                <w:szCs w:val="16"/>
                <w:lang w:val="sq-AL" w:eastAsia="sq-AL"/>
              </w:rPr>
            </w:pPr>
            <w:r>
              <w:rPr>
                <w:rFonts w:ascii="Garamond" w:eastAsia="Times New Roman" w:hAnsi="Garamond"/>
                <w:b/>
                <w:bCs/>
                <w:color w:val="C00000"/>
                <w:sz w:val="16"/>
                <w:szCs w:val="16"/>
                <w:lang w:val="sq-AL" w:eastAsia="sq-AL"/>
              </w:rPr>
              <w:t>(4)</w:t>
            </w:r>
          </w:p>
        </w:tc>
        <w:tc>
          <w:tcPr>
            <w:tcW w:w="1613" w:type="dxa"/>
            <w:tcBorders>
              <w:top w:val="nil"/>
              <w:left w:val="nil"/>
              <w:bottom w:val="nil"/>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color w:val="C00000"/>
                <w:sz w:val="16"/>
                <w:szCs w:val="16"/>
                <w:lang w:val="sq-AL" w:eastAsia="sq-AL"/>
              </w:rPr>
            </w:pPr>
            <w:r>
              <w:rPr>
                <w:rFonts w:ascii="Garamond" w:eastAsia="Times New Roman" w:hAnsi="Garamond"/>
                <w:b/>
                <w:bCs/>
                <w:color w:val="C00000"/>
                <w:sz w:val="16"/>
                <w:szCs w:val="16"/>
                <w:lang w:val="sq-AL" w:eastAsia="sq-AL"/>
              </w:rPr>
              <w:t>(5)</w:t>
            </w:r>
          </w:p>
        </w:tc>
        <w:tc>
          <w:tcPr>
            <w:tcW w:w="1613" w:type="dxa"/>
            <w:tcBorders>
              <w:top w:val="nil"/>
              <w:left w:val="nil"/>
              <w:bottom w:val="nil"/>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color w:val="C00000"/>
                <w:sz w:val="16"/>
                <w:szCs w:val="16"/>
                <w:lang w:val="sq-AL" w:eastAsia="sq-AL"/>
              </w:rPr>
            </w:pPr>
            <w:r>
              <w:rPr>
                <w:rFonts w:ascii="Garamond" w:eastAsia="Times New Roman" w:hAnsi="Garamond"/>
                <w:b/>
                <w:bCs/>
                <w:color w:val="C00000"/>
                <w:sz w:val="16"/>
                <w:szCs w:val="16"/>
                <w:lang w:val="sq-AL" w:eastAsia="sq-AL"/>
              </w:rPr>
              <w:t>(6)</w:t>
            </w:r>
          </w:p>
        </w:tc>
        <w:tc>
          <w:tcPr>
            <w:tcW w:w="960" w:type="dxa"/>
            <w:tcBorders>
              <w:top w:val="nil"/>
              <w:left w:val="nil"/>
              <w:bottom w:val="nil"/>
              <w:right w:val="single" w:sz="8" w:space="0" w:color="auto"/>
            </w:tcBorders>
            <w:noWrap/>
            <w:vAlign w:val="center"/>
            <w:hideMark/>
          </w:tcPr>
          <w:p w:rsidR="00413F0B" w:rsidRDefault="00413F0B">
            <w:pPr>
              <w:spacing w:after="0" w:line="240" w:lineRule="auto"/>
              <w:ind w:firstLine="0"/>
              <w:jc w:val="center"/>
              <w:rPr>
                <w:rFonts w:ascii="Garamond" w:eastAsia="Times New Roman" w:hAnsi="Garamond"/>
                <w:b/>
                <w:bCs/>
                <w:color w:val="C00000"/>
                <w:sz w:val="16"/>
                <w:szCs w:val="16"/>
                <w:lang w:val="sq-AL" w:eastAsia="sq-AL"/>
              </w:rPr>
            </w:pPr>
            <w:r>
              <w:rPr>
                <w:rFonts w:ascii="Garamond" w:eastAsia="Times New Roman" w:hAnsi="Garamond"/>
                <w:b/>
                <w:bCs/>
                <w:color w:val="C00000"/>
                <w:sz w:val="16"/>
                <w:szCs w:val="16"/>
                <w:lang w:val="sq-AL" w:eastAsia="sq-AL"/>
              </w:rPr>
              <w:t>(7)=(6)-(5)</w:t>
            </w:r>
          </w:p>
        </w:tc>
        <w:tc>
          <w:tcPr>
            <w:tcW w:w="960" w:type="dxa"/>
            <w:noWrap/>
            <w:vAlign w:val="bottom"/>
            <w:hideMark/>
          </w:tcPr>
          <w:p w:rsidR="00413F0B" w:rsidRDefault="00413F0B">
            <w:pPr>
              <w:rPr>
                <w:rFonts w:ascii="Garamond" w:eastAsia="Times New Roman" w:hAnsi="Garamond"/>
                <w:b/>
                <w:bCs/>
                <w:color w:val="C00000"/>
                <w:sz w:val="16"/>
                <w:szCs w:val="16"/>
                <w:lang w:val="sq-AL" w:eastAsia="sq-AL"/>
              </w:rPr>
            </w:pPr>
          </w:p>
        </w:tc>
      </w:tr>
      <w:tr w:rsidR="00413F0B" w:rsidTr="00413F0B">
        <w:trPr>
          <w:trHeight w:val="139"/>
        </w:trPr>
        <w:tc>
          <w:tcPr>
            <w:tcW w:w="0" w:type="auto"/>
            <w:gridSpan w:val="2"/>
            <w:vMerge/>
            <w:tcBorders>
              <w:top w:val="single" w:sz="4" w:space="0" w:color="auto"/>
              <w:left w:val="single" w:sz="8" w:space="0" w:color="auto"/>
              <w:bottom w:val="single" w:sz="4" w:space="0" w:color="000000"/>
              <w:right w:val="single" w:sz="4" w:space="0" w:color="000000"/>
            </w:tcBorders>
            <w:vAlign w:val="center"/>
            <w:hideMark/>
          </w:tcPr>
          <w:p w:rsidR="00413F0B" w:rsidRDefault="00413F0B">
            <w:pPr>
              <w:spacing w:after="0"/>
              <w:ind w:firstLine="0"/>
              <w:jc w:val="left"/>
              <w:rPr>
                <w:rFonts w:ascii="Garamond" w:eastAsia="Times New Roman" w:hAnsi="Garamond"/>
                <w:b/>
                <w:bCs/>
                <w:sz w:val="16"/>
                <w:szCs w:val="16"/>
                <w:lang w:val="sq-AL" w:eastAsia="sq-AL"/>
              </w:rPr>
            </w:pPr>
          </w:p>
        </w:tc>
        <w:tc>
          <w:tcPr>
            <w:tcW w:w="1100" w:type="dxa"/>
            <w:tcBorders>
              <w:top w:val="nil"/>
              <w:left w:val="nil"/>
              <w:bottom w:val="nil"/>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Fakti</w:t>
            </w:r>
          </w:p>
        </w:tc>
        <w:tc>
          <w:tcPr>
            <w:tcW w:w="931" w:type="dxa"/>
            <w:tcBorders>
              <w:top w:val="nil"/>
              <w:left w:val="nil"/>
              <w:bottom w:val="nil"/>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PBA</w:t>
            </w:r>
          </w:p>
        </w:tc>
        <w:tc>
          <w:tcPr>
            <w:tcW w:w="1455" w:type="dxa"/>
            <w:tcBorders>
              <w:top w:val="nil"/>
              <w:left w:val="nil"/>
              <w:bottom w:val="nil"/>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Buxheti vjetor</w:t>
            </w:r>
          </w:p>
        </w:tc>
        <w:tc>
          <w:tcPr>
            <w:tcW w:w="1455" w:type="dxa"/>
            <w:tcBorders>
              <w:top w:val="nil"/>
              <w:left w:val="nil"/>
              <w:bottom w:val="nil"/>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Buxheti vjetor</w:t>
            </w:r>
          </w:p>
        </w:tc>
        <w:tc>
          <w:tcPr>
            <w:tcW w:w="1613" w:type="dxa"/>
            <w:tcBorders>
              <w:top w:val="nil"/>
              <w:left w:val="nil"/>
              <w:bottom w:val="nil"/>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Buxheti vjetor</w:t>
            </w:r>
          </w:p>
        </w:tc>
        <w:tc>
          <w:tcPr>
            <w:tcW w:w="1613" w:type="dxa"/>
            <w:tcBorders>
              <w:top w:val="nil"/>
              <w:left w:val="nil"/>
              <w:bottom w:val="nil"/>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Fakti</w:t>
            </w:r>
          </w:p>
        </w:tc>
        <w:tc>
          <w:tcPr>
            <w:tcW w:w="960" w:type="dxa"/>
            <w:vMerge w:val="restart"/>
            <w:tcBorders>
              <w:top w:val="nil"/>
              <w:left w:val="single" w:sz="4" w:space="0" w:color="auto"/>
              <w:bottom w:val="single" w:sz="4" w:space="0" w:color="000000"/>
              <w:right w:val="single" w:sz="8" w:space="0" w:color="auto"/>
            </w:tcBorders>
            <w:noWrap/>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Diferenca</w:t>
            </w:r>
          </w:p>
        </w:tc>
        <w:tc>
          <w:tcPr>
            <w:tcW w:w="960" w:type="dxa"/>
            <w:noWrap/>
            <w:vAlign w:val="bottom"/>
            <w:hideMark/>
          </w:tcPr>
          <w:p w:rsidR="00413F0B" w:rsidRDefault="00413F0B">
            <w:pPr>
              <w:rPr>
                <w:rFonts w:ascii="Garamond" w:eastAsia="Times New Roman" w:hAnsi="Garamond"/>
                <w:b/>
                <w:bCs/>
                <w:sz w:val="16"/>
                <w:szCs w:val="16"/>
                <w:lang w:val="sq-AL" w:eastAsia="sq-AL"/>
              </w:rPr>
            </w:pPr>
          </w:p>
        </w:tc>
      </w:tr>
      <w:tr w:rsidR="00413F0B" w:rsidTr="00413F0B">
        <w:trPr>
          <w:trHeight w:val="139"/>
        </w:trPr>
        <w:tc>
          <w:tcPr>
            <w:tcW w:w="1208" w:type="dxa"/>
            <w:tcBorders>
              <w:top w:val="nil"/>
              <w:left w:val="single" w:sz="8" w:space="0" w:color="auto"/>
              <w:bottom w:val="nil"/>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Titulli</w:t>
            </w:r>
          </w:p>
        </w:tc>
        <w:tc>
          <w:tcPr>
            <w:tcW w:w="1073" w:type="dxa"/>
            <w:noWrap/>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Emërtimi</w:t>
            </w:r>
          </w:p>
        </w:tc>
        <w:tc>
          <w:tcPr>
            <w:tcW w:w="1100" w:type="dxa"/>
            <w:tcBorders>
              <w:top w:val="nil"/>
              <w:left w:val="single" w:sz="4" w:space="0" w:color="auto"/>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i</w:t>
            </w:r>
            <w:r>
              <w:rPr>
                <w:rFonts w:ascii="Garamond" w:eastAsia="Times New Roman" w:hAnsi="Garamond"/>
                <w:b/>
                <w:bCs/>
                <w:sz w:val="16"/>
                <w:szCs w:val="16"/>
                <w:lang w:val="sq-AL" w:eastAsia="sq-AL"/>
              </w:rPr>
              <w:br/>
              <w:t>vitit paraardhës</w:t>
            </w:r>
            <w:r>
              <w:rPr>
                <w:rFonts w:ascii="Garamond" w:eastAsia="Times New Roman" w:hAnsi="Garamond"/>
                <w:b/>
                <w:bCs/>
                <w:sz w:val="16"/>
                <w:szCs w:val="16"/>
                <w:lang w:val="sq-AL" w:eastAsia="sq-AL"/>
              </w:rPr>
              <w:br/>
              <w:t>Viti ______</w:t>
            </w:r>
          </w:p>
        </w:tc>
        <w:tc>
          <w:tcPr>
            <w:tcW w:w="931" w:type="dxa"/>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Viti ______</w:t>
            </w:r>
          </w:p>
        </w:tc>
        <w:tc>
          <w:tcPr>
            <w:tcW w:w="1455" w:type="dxa"/>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Plan Fillestar Viti ________</w:t>
            </w:r>
          </w:p>
        </w:tc>
        <w:tc>
          <w:tcPr>
            <w:tcW w:w="1455" w:type="dxa"/>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Plan i rishikuar Viti_______</w:t>
            </w:r>
          </w:p>
        </w:tc>
        <w:tc>
          <w:tcPr>
            <w:tcW w:w="1613" w:type="dxa"/>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 xml:space="preserve"> Plani i Periudhës/progresiv</w:t>
            </w:r>
          </w:p>
        </w:tc>
        <w:tc>
          <w:tcPr>
            <w:tcW w:w="1613" w:type="dxa"/>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i</w:t>
            </w:r>
            <w:r>
              <w:rPr>
                <w:rFonts w:ascii="Garamond" w:eastAsia="Times New Roman" w:hAnsi="Garamond"/>
                <w:b/>
                <w:bCs/>
                <w:sz w:val="16"/>
                <w:szCs w:val="16"/>
                <w:lang w:val="sq-AL" w:eastAsia="sq-AL"/>
              </w:rPr>
              <w:br/>
              <w:t>Periudhës/progresiv</w:t>
            </w:r>
          </w:p>
        </w:tc>
        <w:tc>
          <w:tcPr>
            <w:tcW w:w="0" w:type="auto"/>
            <w:vMerge/>
            <w:tcBorders>
              <w:top w:val="nil"/>
              <w:left w:val="single" w:sz="4" w:space="0" w:color="auto"/>
              <w:bottom w:val="single" w:sz="4" w:space="0" w:color="000000"/>
              <w:right w:val="single" w:sz="8" w:space="0" w:color="auto"/>
            </w:tcBorders>
            <w:vAlign w:val="center"/>
            <w:hideMark/>
          </w:tcPr>
          <w:p w:rsidR="00413F0B" w:rsidRDefault="00413F0B">
            <w:pPr>
              <w:spacing w:after="0"/>
              <w:ind w:firstLine="0"/>
              <w:jc w:val="left"/>
              <w:rPr>
                <w:rFonts w:ascii="Garamond" w:eastAsia="Times New Roman" w:hAnsi="Garamond"/>
                <w:b/>
                <w:bCs/>
                <w:sz w:val="16"/>
                <w:szCs w:val="16"/>
                <w:lang w:val="sq-AL" w:eastAsia="sq-AL"/>
              </w:rPr>
            </w:pPr>
          </w:p>
        </w:tc>
        <w:tc>
          <w:tcPr>
            <w:tcW w:w="960" w:type="dxa"/>
            <w:noWrap/>
            <w:vAlign w:val="bottom"/>
            <w:hideMark/>
          </w:tcPr>
          <w:p w:rsidR="00413F0B" w:rsidRDefault="00413F0B">
            <w:pPr>
              <w:rPr>
                <w:rFonts w:ascii="Garamond" w:eastAsia="Times New Roman" w:hAnsi="Garamond"/>
                <w:b/>
                <w:bCs/>
                <w:sz w:val="16"/>
                <w:szCs w:val="16"/>
                <w:lang w:val="sq-AL" w:eastAsia="sq-AL"/>
              </w:rPr>
            </w:pPr>
          </w:p>
        </w:tc>
      </w:tr>
      <w:tr w:rsidR="00413F0B" w:rsidTr="00413F0B">
        <w:trPr>
          <w:trHeight w:val="139"/>
        </w:trPr>
        <w:tc>
          <w:tcPr>
            <w:tcW w:w="1208" w:type="dxa"/>
            <w:tcBorders>
              <w:top w:val="single" w:sz="4" w:space="0" w:color="auto"/>
              <w:left w:val="single" w:sz="8" w:space="0" w:color="auto"/>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0001</w:t>
            </w:r>
          </w:p>
        </w:tc>
        <w:tc>
          <w:tcPr>
            <w:tcW w:w="1073" w:type="dxa"/>
            <w:tcBorders>
              <w:top w:val="single" w:sz="4" w:space="0" w:color="auto"/>
              <w:left w:val="nil"/>
              <w:bottom w:val="single" w:sz="4" w:space="0" w:color="auto"/>
              <w:right w:val="nil"/>
            </w:tcBorders>
            <w:shd w:val="clear" w:color="auto" w:fill="FFFFCC"/>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Programi 1</w:t>
            </w:r>
          </w:p>
        </w:tc>
        <w:tc>
          <w:tcPr>
            <w:tcW w:w="1100" w:type="dxa"/>
            <w:tcBorders>
              <w:top w:val="single" w:sz="4" w:space="0" w:color="auto"/>
              <w:left w:val="single" w:sz="4" w:space="0" w:color="auto"/>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31"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455"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455"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613"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613"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60" w:type="dxa"/>
            <w:tcBorders>
              <w:top w:val="nil"/>
              <w:left w:val="nil"/>
              <w:bottom w:val="nil"/>
              <w:right w:val="single" w:sz="8" w:space="0" w:color="auto"/>
            </w:tcBorders>
            <w:shd w:val="clear" w:color="auto" w:fill="D9D9D9"/>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60" w:type="dxa"/>
            <w:noWrap/>
            <w:vAlign w:val="bottom"/>
            <w:hideMark/>
          </w:tcPr>
          <w:p w:rsidR="00413F0B" w:rsidRDefault="00413F0B">
            <w:pPr>
              <w:rPr>
                <w:rFonts w:ascii="Garamond" w:eastAsia="Times New Roman" w:hAnsi="Garamond"/>
                <w:sz w:val="16"/>
                <w:szCs w:val="16"/>
                <w:lang w:val="sq-AL" w:eastAsia="sq-AL"/>
              </w:rPr>
            </w:pPr>
          </w:p>
        </w:tc>
      </w:tr>
      <w:tr w:rsidR="00413F0B" w:rsidTr="00413F0B">
        <w:trPr>
          <w:trHeight w:val="139"/>
        </w:trPr>
        <w:tc>
          <w:tcPr>
            <w:tcW w:w="1208" w:type="dxa"/>
            <w:tcBorders>
              <w:top w:val="single" w:sz="4" w:space="0" w:color="auto"/>
              <w:left w:val="single" w:sz="8" w:space="0" w:color="auto"/>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0002</w:t>
            </w:r>
          </w:p>
        </w:tc>
        <w:tc>
          <w:tcPr>
            <w:tcW w:w="1073" w:type="dxa"/>
            <w:tcBorders>
              <w:top w:val="nil"/>
              <w:left w:val="nil"/>
              <w:bottom w:val="single" w:sz="4" w:space="0" w:color="auto"/>
              <w:right w:val="nil"/>
            </w:tcBorders>
            <w:shd w:val="clear" w:color="auto" w:fill="FFFFCC"/>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Programi 2</w:t>
            </w:r>
          </w:p>
        </w:tc>
        <w:tc>
          <w:tcPr>
            <w:tcW w:w="1100" w:type="dxa"/>
            <w:tcBorders>
              <w:top w:val="single" w:sz="4" w:space="0" w:color="auto"/>
              <w:left w:val="single" w:sz="4" w:space="0" w:color="auto"/>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31"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455"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455"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613"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613"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60" w:type="dxa"/>
            <w:tcBorders>
              <w:top w:val="single" w:sz="4" w:space="0" w:color="auto"/>
              <w:left w:val="nil"/>
              <w:bottom w:val="nil"/>
              <w:right w:val="single" w:sz="8" w:space="0" w:color="auto"/>
            </w:tcBorders>
            <w:shd w:val="clear" w:color="auto" w:fill="D9D9D9"/>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60" w:type="dxa"/>
            <w:noWrap/>
            <w:vAlign w:val="bottom"/>
            <w:hideMark/>
          </w:tcPr>
          <w:p w:rsidR="00413F0B" w:rsidRDefault="00413F0B">
            <w:pPr>
              <w:rPr>
                <w:rFonts w:ascii="Garamond" w:eastAsia="Times New Roman" w:hAnsi="Garamond"/>
                <w:sz w:val="16"/>
                <w:szCs w:val="16"/>
                <w:lang w:val="sq-AL" w:eastAsia="sq-AL"/>
              </w:rPr>
            </w:pPr>
          </w:p>
        </w:tc>
      </w:tr>
      <w:tr w:rsidR="00413F0B" w:rsidTr="00413F0B">
        <w:trPr>
          <w:trHeight w:val="139"/>
        </w:trPr>
        <w:tc>
          <w:tcPr>
            <w:tcW w:w="1208" w:type="dxa"/>
            <w:tcBorders>
              <w:top w:val="single" w:sz="4" w:space="0" w:color="auto"/>
              <w:left w:val="single" w:sz="8" w:space="0" w:color="auto"/>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0003</w:t>
            </w:r>
          </w:p>
        </w:tc>
        <w:tc>
          <w:tcPr>
            <w:tcW w:w="1073" w:type="dxa"/>
            <w:tcBorders>
              <w:top w:val="nil"/>
              <w:left w:val="nil"/>
              <w:bottom w:val="single" w:sz="4" w:space="0" w:color="auto"/>
              <w:right w:val="nil"/>
            </w:tcBorders>
            <w:shd w:val="clear" w:color="auto" w:fill="FFFFCC"/>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Programi 3</w:t>
            </w:r>
          </w:p>
        </w:tc>
        <w:tc>
          <w:tcPr>
            <w:tcW w:w="1100" w:type="dxa"/>
            <w:tcBorders>
              <w:top w:val="single" w:sz="4" w:space="0" w:color="auto"/>
              <w:left w:val="single" w:sz="4" w:space="0" w:color="auto"/>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31"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455"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455"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613"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613"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60" w:type="dxa"/>
            <w:tcBorders>
              <w:top w:val="single" w:sz="4" w:space="0" w:color="auto"/>
              <w:left w:val="nil"/>
              <w:bottom w:val="nil"/>
              <w:right w:val="single" w:sz="8" w:space="0" w:color="auto"/>
            </w:tcBorders>
            <w:shd w:val="clear" w:color="auto" w:fill="D9D9D9"/>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60" w:type="dxa"/>
            <w:noWrap/>
            <w:vAlign w:val="bottom"/>
            <w:hideMark/>
          </w:tcPr>
          <w:p w:rsidR="00413F0B" w:rsidRDefault="00413F0B">
            <w:pPr>
              <w:rPr>
                <w:rFonts w:ascii="Garamond" w:eastAsia="Times New Roman" w:hAnsi="Garamond"/>
                <w:sz w:val="16"/>
                <w:szCs w:val="16"/>
                <w:lang w:val="sq-AL" w:eastAsia="sq-AL"/>
              </w:rPr>
            </w:pPr>
          </w:p>
        </w:tc>
      </w:tr>
      <w:tr w:rsidR="00413F0B" w:rsidTr="00413F0B">
        <w:trPr>
          <w:trHeight w:val="139"/>
        </w:trPr>
        <w:tc>
          <w:tcPr>
            <w:tcW w:w="1208" w:type="dxa"/>
            <w:tcBorders>
              <w:top w:val="single" w:sz="4" w:space="0" w:color="auto"/>
              <w:left w:val="single" w:sz="8" w:space="0" w:color="auto"/>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0004</w:t>
            </w:r>
          </w:p>
        </w:tc>
        <w:tc>
          <w:tcPr>
            <w:tcW w:w="1073" w:type="dxa"/>
            <w:tcBorders>
              <w:top w:val="nil"/>
              <w:left w:val="nil"/>
              <w:bottom w:val="single" w:sz="4" w:space="0" w:color="auto"/>
              <w:right w:val="nil"/>
            </w:tcBorders>
            <w:shd w:val="clear" w:color="auto" w:fill="FFFFCC"/>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Programi 4</w:t>
            </w:r>
          </w:p>
        </w:tc>
        <w:tc>
          <w:tcPr>
            <w:tcW w:w="1100" w:type="dxa"/>
            <w:tcBorders>
              <w:top w:val="single" w:sz="4" w:space="0" w:color="auto"/>
              <w:left w:val="single" w:sz="4" w:space="0" w:color="auto"/>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31"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455"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455"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613"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613"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60" w:type="dxa"/>
            <w:tcBorders>
              <w:top w:val="single" w:sz="4" w:space="0" w:color="auto"/>
              <w:left w:val="nil"/>
              <w:bottom w:val="nil"/>
              <w:right w:val="single" w:sz="8" w:space="0" w:color="auto"/>
            </w:tcBorders>
            <w:shd w:val="clear" w:color="auto" w:fill="D9D9D9"/>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60" w:type="dxa"/>
            <w:noWrap/>
            <w:vAlign w:val="bottom"/>
            <w:hideMark/>
          </w:tcPr>
          <w:p w:rsidR="00413F0B" w:rsidRDefault="00413F0B">
            <w:pPr>
              <w:rPr>
                <w:rFonts w:ascii="Garamond" w:eastAsia="Times New Roman" w:hAnsi="Garamond"/>
                <w:sz w:val="16"/>
                <w:szCs w:val="16"/>
                <w:lang w:val="sq-AL" w:eastAsia="sq-AL"/>
              </w:rPr>
            </w:pPr>
          </w:p>
        </w:tc>
      </w:tr>
      <w:tr w:rsidR="00413F0B" w:rsidTr="00413F0B">
        <w:trPr>
          <w:trHeight w:val="139"/>
        </w:trPr>
        <w:tc>
          <w:tcPr>
            <w:tcW w:w="1208" w:type="dxa"/>
            <w:tcBorders>
              <w:top w:val="single" w:sz="4" w:space="0" w:color="auto"/>
              <w:left w:val="single" w:sz="8" w:space="0" w:color="auto"/>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0005</w:t>
            </w:r>
          </w:p>
        </w:tc>
        <w:tc>
          <w:tcPr>
            <w:tcW w:w="1073" w:type="dxa"/>
            <w:tcBorders>
              <w:top w:val="nil"/>
              <w:left w:val="nil"/>
              <w:bottom w:val="single" w:sz="4" w:space="0" w:color="auto"/>
              <w:right w:val="nil"/>
            </w:tcBorders>
            <w:shd w:val="clear" w:color="auto" w:fill="FFFFCC"/>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Programi 5</w:t>
            </w:r>
          </w:p>
        </w:tc>
        <w:tc>
          <w:tcPr>
            <w:tcW w:w="1100" w:type="dxa"/>
            <w:tcBorders>
              <w:top w:val="single" w:sz="4" w:space="0" w:color="auto"/>
              <w:left w:val="single" w:sz="4" w:space="0" w:color="auto"/>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31"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455"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455"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613"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1613"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60" w:type="dxa"/>
            <w:tcBorders>
              <w:top w:val="single" w:sz="4" w:space="0" w:color="auto"/>
              <w:left w:val="nil"/>
              <w:bottom w:val="nil"/>
              <w:right w:val="single" w:sz="8" w:space="0" w:color="auto"/>
            </w:tcBorders>
            <w:shd w:val="clear" w:color="auto" w:fill="D9D9D9"/>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0.0</w:t>
            </w:r>
          </w:p>
        </w:tc>
        <w:tc>
          <w:tcPr>
            <w:tcW w:w="960" w:type="dxa"/>
            <w:noWrap/>
            <w:vAlign w:val="bottom"/>
            <w:hideMark/>
          </w:tcPr>
          <w:p w:rsidR="00413F0B" w:rsidRDefault="00413F0B">
            <w:pPr>
              <w:rPr>
                <w:rFonts w:ascii="Garamond" w:eastAsia="Times New Roman" w:hAnsi="Garamond"/>
                <w:sz w:val="16"/>
                <w:szCs w:val="16"/>
                <w:lang w:val="sq-AL" w:eastAsia="sq-AL"/>
              </w:rPr>
            </w:pPr>
          </w:p>
        </w:tc>
      </w:tr>
      <w:tr w:rsidR="00413F0B" w:rsidTr="00413F0B">
        <w:trPr>
          <w:trHeight w:val="139"/>
        </w:trPr>
        <w:tc>
          <w:tcPr>
            <w:tcW w:w="1208" w:type="dxa"/>
            <w:tcBorders>
              <w:top w:val="single" w:sz="4" w:space="0" w:color="auto"/>
              <w:left w:val="single" w:sz="8" w:space="0" w:color="auto"/>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w:t>
            </w:r>
          </w:p>
        </w:tc>
        <w:tc>
          <w:tcPr>
            <w:tcW w:w="1073" w:type="dxa"/>
            <w:tcBorders>
              <w:top w:val="nil"/>
              <w:left w:val="nil"/>
              <w:bottom w:val="single" w:sz="4" w:space="0" w:color="auto"/>
              <w:right w:val="nil"/>
            </w:tcBorders>
            <w:shd w:val="clear" w:color="auto" w:fill="FFFFCC"/>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w:t>
            </w:r>
          </w:p>
        </w:tc>
        <w:tc>
          <w:tcPr>
            <w:tcW w:w="1100" w:type="dxa"/>
            <w:tcBorders>
              <w:top w:val="single" w:sz="4" w:space="0" w:color="auto"/>
              <w:left w:val="single" w:sz="4" w:space="0" w:color="auto"/>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931"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1455"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1455"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1613"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1613" w:type="dxa"/>
            <w:tcBorders>
              <w:top w:val="single" w:sz="4" w:space="0" w:color="auto"/>
              <w:left w:val="nil"/>
              <w:bottom w:val="nil"/>
              <w:right w:val="single" w:sz="4" w:space="0" w:color="auto"/>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960" w:type="dxa"/>
            <w:tcBorders>
              <w:top w:val="single" w:sz="4" w:space="0" w:color="auto"/>
              <w:left w:val="nil"/>
              <w:bottom w:val="nil"/>
              <w:right w:val="single" w:sz="8" w:space="0" w:color="auto"/>
            </w:tcBorders>
            <w:shd w:val="clear" w:color="auto" w:fill="D9D9D9"/>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960" w:type="dxa"/>
            <w:noWrap/>
            <w:vAlign w:val="bottom"/>
            <w:hideMark/>
          </w:tcPr>
          <w:p w:rsidR="00413F0B" w:rsidRDefault="00413F0B">
            <w:pPr>
              <w:rPr>
                <w:rFonts w:ascii="Garamond" w:eastAsia="Times New Roman" w:hAnsi="Garamond"/>
                <w:sz w:val="16"/>
                <w:szCs w:val="16"/>
                <w:lang w:val="sq-AL" w:eastAsia="sq-AL"/>
              </w:rPr>
            </w:pPr>
          </w:p>
        </w:tc>
      </w:tr>
      <w:tr w:rsidR="00413F0B" w:rsidTr="00413F0B">
        <w:trPr>
          <w:trHeight w:val="139"/>
        </w:trPr>
        <w:tc>
          <w:tcPr>
            <w:tcW w:w="2281" w:type="dxa"/>
            <w:gridSpan w:val="2"/>
            <w:tcBorders>
              <w:top w:val="single" w:sz="8" w:space="0" w:color="auto"/>
              <w:left w:val="single" w:sz="8" w:space="0" w:color="auto"/>
              <w:bottom w:val="single" w:sz="8" w:space="0" w:color="auto"/>
              <w:right w:val="nil"/>
            </w:tcBorders>
            <w:noWrap/>
            <w:vAlign w:val="bottom"/>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Totali i shpenzimeve të njësisë</w:t>
            </w:r>
          </w:p>
        </w:tc>
        <w:tc>
          <w:tcPr>
            <w:tcW w:w="1100" w:type="dxa"/>
            <w:tcBorders>
              <w:top w:val="single" w:sz="8" w:space="0" w:color="auto"/>
              <w:left w:val="single" w:sz="4" w:space="0" w:color="auto"/>
              <w:bottom w:val="single" w:sz="8" w:space="0" w:color="auto"/>
              <w:right w:val="single" w:sz="4" w:space="0" w:color="auto"/>
            </w:tcBorders>
            <w:shd w:val="clear" w:color="auto" w:fill="D9D9D9"/>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0.0</w:t>
            </w:r>
          </w:p>
        </w:tc>
        <w:tc>
          <w:tcPr>
            <w:tcW w:w="931" w:type="dxa"/>
            <w:tcBorders>
              <w:top w:val="single" w:sz="8" w:space="0" w:color="auto"/>
              <w:left w:val="nil"/>
              <w:bottom w:val="single" w:sz="8" w:space="0" w:color="auto"/>
              <w:right w:val="single" w:sz="4" w:space="0" w:color="auto"/>
            </w:tcBorders>
            <w:shd w:val="clear" w:color="auto" w:fill="D9D9D9"/>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0.0</w:t>
            </w:r>
          </w:p>
        </w:tc>
        <w:tc>
          <w:tcPr>
            <w:tcW w:w="1455" w:type="dxa"/>
            <w:tcBorders>
              <w:top w:val="single" w:sz="8" w:space="0" w:color="auto"/>
              <w:left w:val="nil"/>
              <w:bottom w:val="single" w:sz="8" w:space="0" w:color="auto"/>
              <w:right w:val="single" w:sz="4" w:space="0" w:color="auto"/>
            </w:tcBorders>
            <w:shd w:val="clear" w:color="auto" w:fill="D9D9D9"/>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0.0</w:t>
            </w:r>
          </w:p>
        </w:tc>
        <w:tc>
          <w:tcPr>
            <w:tcW w:w="1455" w:type="dxa"/>
            <w:tcBorders>
              <w:top w:val="single" w:sz="8" w:space="0" w:color="auto"/>
              <w:left w:val="nil"/>
              <w:bottom w:val="single" w:sz="8" w:space="0" w:color="auto"/>
              <w:right w:val="single" w:sz="4" w:space="0" w:color="auto"/>
            </w:tcBorders>
            <w:shd w:val="clear" w:color="auto" w:fill="D9D9D9"/>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0.0</w:t>
            </w:r>
          </w:p>
        </w:tc>
        <w:tc>
          <w:tcPr>
            <w:tcW w:w="1613" w:type="dxa"/>
            <w:tcBorders>
              <w:top w:val="single" w:sz="8" w:space="0" w:color="auto"/>
              <w:left w:val="nil"/>
              <w:bottom w:val="single" w:sz="8" w:space="0" w:color="auto"/>
              <w:right w:val="single" w:sz="4" w:space="0" w:color="auto"/>
            </w:tcBorders>
            <w:shd w:val="clear" w:color="auto" w:fill="D9D9D9"/>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0.0</w:t>
            </w:r>
          </w:p>
        </w:tc>
        <w:tc>
          <w:tcPr>
            <w:tcW w:w="1613" w:type="dxa"/>
            <w:tcBorders>
              <w:top w:val="single" w:sz="8" w:space="0" w:color="auto"/>
              <w:left w:val="nil"/>
              <w:bottom w:val="single" w:sz="8" w:space="0" w:color="auto"/>
              <w:right w:val="single" w:sz="4" w:space="0" w:color="auto"/>
            </w:tcBorders>
            <w:shd w:val="clear" w:color="auto" w:fill="D9D9D9"/>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0.0</w:t>
            </w:r>
          </w:p>
        </w:tc>
        <w:tc>
          <w:tcPr>
            <w:tcW w:w="960" w:type="dxa"/>
            <w:tcBorders>
              <w:top w:val="single" w:sz="8" w:space="0" w:color="auto"/>
              <w:left w:val="nil"/>
              <w:bottom w:val="single" w:sz="8" w:space="0" w:color="auto"/>
              <w:right w:val="single" w:sz="8" w:space="0" w:color="auto"/>
            </w:tcBorders>
            <w:shd w:val="clear" w:color="auto" w:fill="D9D9D9"/>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rFonts w:ascii="Garamond" w:eastAsia="Times New Roman" w:hAnsi="Garamond"/>
                <w:b/>
                <w:bCs/>
                <w:sz w:val="16"/>
                <w:szCs w:val="16"/>
                <w:lang w:val="sq-AL" w:eastAsia="sq-AL"/>
              </w:rPr>
              <w:t>0.0</w:t>
            </w:r>
          </w:p>
        </w:tc>
        <w:tc>
          <w:tcPr>
            <w:tcW w:w="960" w:type="dxa"/>
            <w:noWrap/>
            <w:vAlign w:val="bottom"/>
            <w:hideMark/>
          </w:tcPr>
          <w:p w:rsidR="00413F0B" w:rsidRDefault="00413F0B">
            <w:pPr>
              <w:rPr>
                <w:rFonts w:ascii="Garamond" w:eastAsia="Times New Roman" w:hAnsi="Garamond"/>
                <w:b/>
                <w:bCs/>
                <w:sz w:val="16"/>
                <w:szCs w:val="16"/>
                <w:lang w:val="sq-AL" w:eastAsia="sq-AL"/>
              </w:rPr>
            </w:pPr>
          </w:p>
        </w:tc>
      </w:tr>
      <w:tr w:rsidR="00413F0B" w:rsidTr="00413F0B">
        <w:trPr>
          <w:trHeight w:val="139"/>
        </w:trPr>
        <w:tc>
          <w:tcPr>
            <w:tcW w:w="2281" w:type="dxa"/>
            <w:gridSpan w:val="2"/>
            <w:tcBorders>
              <w:top w:val="single" w:sz="8" w:space="0" w:color="auto"/>
              <w:left w:val="single" w:sz="8" w:space="0" w:color="auto"/>
              <w:bottom w:val="single" w:sz="8" w:space="0" w:color="auto"/>
              <w:right w:val="single" w:sz="8" w:space="0" w:color="000000"/>
            </w:tcBorders>
            <w:noWrap/>
            <w:vAlign w:val="bottom"/>
            <w:hideMark/>
          </w:tcPr>
          <w:p w:rsidR="00413F0B" w:rsidRDefault="00413F0B">
            <w:pPr>
              <w:spacing w:after="0" w:line="240" w:lineRule="auto"/>
              <w:ind w:firstLine="0"/>
              <w:jc w:val="center"/>
              <w:rPr>
                <w:rFonts w:ascii="Garamond" w:eastAsia="Times New Roman" w:hAnsi="Garamond"/>
                <w:b/>
                <w:bCs/>
                <w:color w:val="C00000"/>
                <w:sz w:val="16"/>
                <w:szCs w:val="16"/>
                <w:lang w:val="sq-AL" w:eastAsia="sq-AL"/>
              </w:rPr>
            </w:pPr>
            <w:r>
              <w:rPr>
                <w:rFonts w:ascii="Garamond" w:eastAsia="Times New Roman" w:hAnsi="Garamond"/>
                <w:b/>
                <w:bCs/>
                <w:color w:val="C00000"/>
                <w:sz w:val="16"/>
                <w:szCs w:val="16"/>
                <w:lang w:val="sq-AL" w:eastAsia="sq-AL"/>
              </w:rPr>
              <w:t xml:space="preserve">Totali </w:t>
            </w:r>
          </w:p>
        </w:tc>
        <w:tc>
          <w:tcPr>
            <w:tcW w:w="1100" w:type="dxa"/>
            <w:tcBorders>
              <w:top w:val="nil"/>
              <w:left w:val="nil"/>
              <w:bottom w:val="single" w:sz="8" w:space="0" w:color="auto"/>
              <w:right w:val="single" w:sz="4" w:space="0" w:color="auto"/>
            </w:tcBorders>
            <w:shd w:val="clear" w:color="auto" w:fill="D9D9D9"/>
            <w:noWrap/>
            <w:vAlign w:val="bottom"/>
            <w:hideMark/>
          </w:tcPr>
          <w:p w:rsidR="00413F0B" w:rsidRDefault="00413F0B">
            <w:pPr>
              <w:spacing w:after="0" w:line="240" w:lineRule="auto"/>
              <w:ind w:firstLine="0"/>
              <w:jc w:val="center"/>
              <w:rPr>
                <w:rFonts w:ascii="Garamond" w:eastAsia="Times New Roman" w:hAnsi="Garamond"/>
                <w:color w:val="C00000"/>
                <w:sz w:val="16"/>
                <w:szCs w:val="16"/>
                <w:lang w:val="sq-AL" w:eastAsia="sq-AL"/>
              </w:rPr>
            </w:pPr>
            <w:r>
              <w:rPr>
                <w:rFonts w:ascii="Garamond" w:eastAsia="Times New Roman" w:hAnsi="Garamond"/>
                <w:color w:val="C00000"/>
                <w:sz w:val="16"/>
                <w:szCs w:val="16"/>
                <w:lang w:val="sq-AL" w:eastAsia="sq-AL"/>
              </w:rPr>
              <w:t>0.0</w:t>
            </w:r>
          </w:p>
        </w:tc>
        <w:tc>
          <w:tcPr>
            <w:tcW w:w="931" w:type="dxa"/>
            <w:tcBorders>
              <w:top w:val="nil"/>
              <w:left w:val="single" w:sz="8" w:space="0" w:color="auto"/>
              <w:bottom w:val="single" w:sz="8" w:space="0" w:color="auto"/>
              <w:right w:val="single" w:sz="4" w:space="0" w:color="auto"/>
            </w:tcBorders>
            <w:shd w:val="clear" w:color="auto" w:fill="D9D9D9"/>
            <w:noWrap/>
            <w:vAlign w:val="bottom"/>
            <w:hideMark/>
          </w:tcPr>
          <w:p w:rsidR="00413F0B" w:rsidRDefault="00413F0B">
            <w:pPr>
              <w:spacing w:after="0" w:line="240" w:lineRule="auto"/>
              <w:ind w:firstLine="0"/>
              <w:jc w:val="center"/>
              <w:rPr>
                <w:rFonts w:ascii="Garamond" w:eastAsia="Times New Roman" w:hAnsi="Garamond"/>
                <w:color w:val="C00000"/>
                <w:sz w:val="16"/>
                <w:szCs w:val="16"/>
                <w:lang w:val="sq-AL" w:eastAsia="sq-AL"/>
              </w:rPr>
            </w:pPr>
            <w:r>
              <w:rPr>
                <w:rFonts w:ascii="Garamond" w:eastAsia="Times New Roman" w:hAnsi="Garamond"/>
                <w:color w:val="C00000"/>
                <w:sz w:val="16"/>
                <w:szCs w:val="16"/>
                <w:lang w:val="sq-AL" w:eastAsia="sq-AL"/>
              </w:rPr>
              <w:t>0.0</w:t>
            </w:r>
          </w:p>
        </w:tc>
        <w:tc>
          <w:tcPr>
            <w:tcW w:w="1455" w:type="dxa"/>
            <w:tcBorders>
              <w:top w:val="nil"/>
              <w:left w:val="single" w:sz="8" w:space="0" w:color="auto"/>
              <w:bottom w:val="single" w:sz="8" w:space="0" w:color="auto"/>
              <w:right w:val="single" w:sz="4" w:space="0" w:color="auto"/>
            </w:tcBorders>
            <w:shd w:val="clear" w:color="auto" w:fill="D9D9D9"/>
            <w:noWrap/>
            <w:vAlign w:val="bottom"/>
            <w:hideMark/>
          </w:tcPr>
          <w:p w:rsidR="00413F0B" w:rsidRDefault="00413F0B">
            <w:pPr>
              <w:spacing w:after="0" w:line="240" w:lineRule="auto"/>
              <w:ind w:firstLine="0"/>
              <w:jc w:val="center"/>
              <w:rPr>
                <w:rFonts w:ascii="Garamond" w:eastAsia="Times New Roman" w:hAnsi="Garamond"/>
                <w:color w:val="C00000"/>
                <w:sz w:val="16"/>
                <w:szCs w:val="16"/>
                <w:lang w:val="sq-AL" w:eastAsia="sq-AL"/>
              </w:rPr>
            </w:pPr>
            <w:r>
              <w:rPr>
                <w:rFonts w:ascii="Garamond" w:eastAsia="Times New Roman" w:hAnsi="Garamond"/>
                <w:color w:val="C00000"/>
                <w:sz w:val="16"/>
                <w:szCs w:val="16"/>
                <w:lang w:val="sq-AL" w:eastAsia="sq-AL"/>
              </w:rPr>
              <w:t>0.0</w:t>
            </w:r>
          </w:p>
        </w:tc>
        <w:tc>
          <w:tcPr>
            <w:tcW w:w="1455" w:type="dxa"/>
            <w:tcBorders>
              <w:top w:val="nil"/>
              <w:left w:val="single" w:sz="8" w:space="0" w:color="auto"/>
              <w:bottom w:val="single" w:sz="8" w:space="0" w:color="auto"/>
              <w:right w:val="single" w:sz="4" w:space="0" w:color="auto"/>
            </w:tcBorders>
            <w:shd w:val="clear" w:color="auto" w:fill="D9D9D9"/>
            <w:noWrap/>
            <w:vAlign w:val="bottom"/>
            <w:hideMark/>
          </w:tcPr>
          <w:p w:rsidR="00413F0B" w:rsidRDefault="00413F0B">
            <w:pPr>
              <w:spacing w:after="0" w:line="240" w:lineRule="auto"/>
              <w:ind w:firstLine="0"/>
              <w:jc w:val="center"/>
              <w:rPr>
                <w:rFonts w:ascii="Garamond" w:eastAsia="Times New Roman" w:hAnsi="Garamond"/>
                <w:color w:val="C00000"/>
                <w:sz w:val="16"/>
                <w:szCs w:val="16"/>
                <w:lang w:val="sq-AL" w:eastAsia="sq-AL"/>
              </w:rPr>
            </w:pPr>
            <w:r>
              <w:rPr>
                <w:rFonts w:ascii="Garamond" w:eastAsia="Times New Roman" w:hAnsi="Garamond"/>
                <w:color w:val="C00000"/>
                <w:sz w:val="16"/>
                <w:szCs w:val="16"/>
                <w:lang w:val="sq-AL" w:eastAsia="sq-AL"/>
              </w:rPr>
              <w:t>0.0</w:t>
            </w:r>
          </w:p>
        </w:tc>
        <w:tc>
          <w:tcPr>
            <w:tcW w:w="1613" w:type="dxa"/>
            <w:tcBorders>
              <w:top w:val="nil"/>
              <w:left w:val="single" w:sz="8" w:space="0" w:color="auto"/>
              <w:bottom w:val="single" w:sz="8" w:space="0" w:color="auto"/>
              <w:right w:val="single" w:sz="4" w:space="0" w:color="auto"/>
            </w:tcBorders>
            <w:shd w:val="clear" w:color="auto" w:fill="D9D9D9"/>
            <w:noWrap/>
            <w:vAlign w:val="bottom"/>
            <w:hideMark/>
          </w:tcPr>
          <w:p w:rsidR="00413F0B" w:rsidRDefault="00413F0B">
            <w:pPr>
              <w:spacing w:after="0" w:line="240" w:lineRule="auto"/>
              <w:ind w:firstLine="0"/>
              <w:jc w:val="center"/>
              <w:rPr>
                <w:rFonts w:ascii="Garamond" w:eastAsia="Times New Roman" w:hAnsi="Garamond"/>
                <w:color w:val="C00000"/>
                <w:sz w:val="16"/>
                <w:szCs w:val="16"/>
                <w:lang w:val="sq-AL" w:eastAsia="sq-AL"/>
              </w:rPr>
            </w:pPr>
            <w:r>
              <w:rPr>
                <w:rFonts w:ascii="Garamond" w:eastAsia="Times New Roman" w:hAnsi="Garamond"/>
                <w:color w:val="C00000"/>
                <w:sz w:val="16"/>
                <w:szCs w:val="16"/>
                <w:lang w:val="sq-AL" w:eastAsia="sq-AL"/>
              </w:rPr>
              <w:t>0.0</w:t>
            </w:r>
          </w:p>
        </w:tc>
        <w:tc>
          <w:tcPr>
            <w:tcW w:w="1613" w:type="dxa"/>
            <w:tcBorders>
              <w:top w:val="nil"/>
              <w:left w:val="single" w:sz="8" w:space="0" w:color="auto"/>
              <w:bottom w:val="single" w:sz="8" w:space="0" w:color="auto"/>
              <w:right w:val="single" w:sz="4" w:space="0" w:color="auto"/>
            </w:tcBorders>
            <w:shd w:val="clear" w:color="auto" w:fill="D9D9D9"/>
            <w:noWrap/>
            <w:vAlign w:val="bottom"/>
            <w:hideMark/>
          </w:tcPr>
          <w:p w:rsidR="00413F0B" w:rsidRDefault="00413F0B">
            <w:pPr>
              <w:spacing w:after="0" w:line="240" w:lineRule="auto"/>
              <w:ind w:firstLine="0"/>
              <w:jc w:val="center"/>
              <w:rPr>
                <w:rFonts w:ascii="Garamond" w:eastAsia="Times New Roman" w:hAnsi="Garamond"/>
                <w:color w:val="C00000"/>
                <w:sz w:val="16"/>
                <w:szCs w:val="16"/>
                <w:lang w:val="sq-AL" w:eastAsia="sq-AL"/>
              </w:rPr>
            </w:pPr>
            <w:r>
              <w:rPr>
                <w:rFonts w:ascii="Garamond" w:eastAsia="Times New Roman" w:hAnsi="Garamond"/>
                <w:color w:val="C00000"/>
                <w:sz w:val="16"/>
                <w:szCs w:val="16"/>
                <w:lang w:val="sq-AL" w:eastAsia="sq-AL"/>
              </w:rPr>
              <w:t>0.0</w:t>
            </w:r>
          </w:p>
        </w:tc>
        <w:tc>
          <w:tcPr>
            <w:tcW w:w="960" w:type="dxa"/>
            <w:tcBorders>
              <w:top w:val="nil"/>
              <w:left w:val="nil"/>
              <w:bottom w:val="single" w:sz="8" w:space="0" w:color="auto"/>
              <w:right w:val="single" w:sz="8" w:space="0" w:color="auto"/>
            </w:tcBorders>
            <w:shd w:val="clear" w:color="auto" w:fill="D9D9D9"/>
            <w:noWrap/>
            <w:vAlign w:val="bottom"/>
            <w:hideMark/>
          </w:tcPr>
          <w:p w:rsidR="00413F0B" w:rsidRDefault="00413F0B">
            <w:pPr>
              <w:spacing w:after="0" w:line="240" w:lineRule="auto"/>
              <w:ind w:firstLine="0"/>
              <w:jc w:val="center"/>
              <w:rPr>
                <w:rFonts w:ascii="Garamond" w:eastAsia="Times New Roman" w:hAnsi="Garamond"/>
                <w:color w:val="C00000"/>
                <w:sz w:val="16"/>
                <w:szCs w:val="16"/>
                <w:lang w:val="sq-AL" w:eastAsia="sq-AL"/>
              </w:rPr>
            </w:pPr>
            <w:r>
              <w:rPr>
                <w:rFonts w:ascii="Garamond" w:eastAsia="Times New Roman" w:hAnsi="Garamond"/>
                <w:color w:val="C00000"/>
                <w:sz w:val="16"/>
                <w:szCs w:val="16"/>
                <w:lang w:val="sq-AL" w:eastAsia="sq-AL"/>
              </w:rPr>
              <w:t> </w:t>
            </w:r>
          </w:p>
        </w:tc>
        <w:tc>
          <w:tcPr>
            <w:tcW w:w="960" w:type="dxa"/>
            <w:noWrap/>
            <w:vAlign w:val="bottom"/>
            <w:hideMark/>
          </w:tcPr>
          <w:p w:rsidR="00413F0B" w:rsidRDefault="00413F0B">
            <w:pPr>
              <w:rPr>
                <w:rFonts w:ascii="Garamond" w:eastAsia="Times New Roman" w:hAnsi="Garamond"/>
                <w:color w:val="C00000"/>
                <w:sz w:val="16"/>
                <w:szCs w:val="16"/>
                <w:lang w:val="sq-AL" w:eastAsia="sq-AL"/>
              </w:rPr>
            </w:pPr>
          </w:p>
        </w:tc>
      </w:tr>
      <w:tr w:rsidR="00413F0B" w:rsidTr="00413F0B">
        <w:trPr>
          <w:trHeight w:val="139"/>
        </w:trPr>
        <w:tc>
          <w:tcPr>
            <w:tcW w:w="1208"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07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10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31"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455"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455"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61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61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1208"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07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10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31"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455"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455"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61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61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1208"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07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10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31"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455"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455"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61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61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1208" w:type="dxa"/>
            <w:tcBorders>
              <w:top w:val="nil"/>
              <w:left w:val="nil"/>
              <w:bottom w:val="nil"/>
              <w:right w:val="single" w:sz="4" w:space="0" w:color="auto"/>
            </w:tcBorders>
            <w:vAlign w:val="center"/>
            <w:hideMark/>
          </w:tcPr>
          <w:p w:rsidR="00413F0B" w:rsidRDefault="00413F0B">
            <w:pPr>
              <w:spacing w:after="0" w:line="240" w:lineRule="auto"/>
              <w:ind w:firstLine="0"/>
              <w:jc w:val="left"/>
              <w:rPr>
                <w:rFonts w:ascii="Garamond" w:eastAsia="Times New Roman" w:hAnsi="Garamond"/>
                <w:b/>
                <w:bCs/>
                <w:sz w:val="16"/>
                <w:szCs w:val="16"/>
                <w:lang w:val="sq-AL" w:eastAsia="sq-AL"/>
              </w:rPr>
            </w:pPr>
            <w:r>
              <w:rPr>
                <w:rFonts w:ascii="Garamond" w:eastAsia="Times New Roman" w:hAnsi="Garamond"/>
                <w:b/>
                <w:bCs/>
                <w:sz w:val="16"/>
                <w:szCs w:val="16"/>
                <w:lang w:val="sq-AL" w:eastAsia="sq-AL"/>
              </w:rPr>
              <w:t> </w:t>
            </w:r>
          </w:p>
        </w:tc>
        <w:tc>
          <w:tcPr>
            <w:tcW w:w="2173" w:type="dxa"/>
            <w:gridSpan w:val="2"/>
            <w:vMerge w:val="restart"/>
            <w:tcBorders>
              <w:top w:val="single" w:sz="4" w:space="0" w:color="auto"/>
              <w:left w:val="single" w:sz="4" w:space="0" w:color="auto"/>
              <w:bottom w:val="nil"/>
              <w:right w:val="single" w:sz="4" w:space="0" w:color="000000"/>
            </w:tcBorders>
            <w:vAlign w:val="center"/>
            <w:hideMark/>
          </w:tcPr>
          <w:p w:rsidR="00413F0B" w:rsidRDefault="00413F0B">
            <w:pPr>
              <w:spacing w:after="0" w:line="240" w:lineRule="auto"/>
              <w:ind w:firstLine="0"/>
              <w:jc w:val="center"/>
              <w:rPr>
                <w:rFonts w:ascii="Garamond" w:eastAsia="Times New Roman" w:hAnsi="Garamond"/>
                <w:b/>
                <w:bCs/>
                <w:sz w:val="16"/>
                <w:szCs w:val="16"/>
                <w:lang w:val="sq-AL" w:eastAsia="sq-AL"/>
              </w:rPr>
            </w:pPr>
            <w:r>
              <w:rPr>
                <w:noProof/>
              </w:rPr>
              <mc:AlternateContent>
                <mc:Choice Requires="wps">
                  <w:drawing>
                    <wp:anchor distT="0" distB="0" distL="114300" distR="114300" simplePos="0" relativeHeight="251658240" behindDoc="0" locked="0" layoutInCell="1" allowOverlap="1">
                      <wp:simplePos x="0" y="0"/>
                      <wp:positionH relativeFrom="column">
                        <wp:posOffset>-66675</wp:posOffset>
                      </wp:positionH>
                      <wp:positionV relativeFrom="paragraph">
                        <wp:posOffset>342900</wp:posOffset>
                      </wp:positionV>
                      <wp:extent cx="1383665" cy="8255"/>
                      <wp:effectExtent l="0" t="0" r="26035" b="29845"/>
                      <wp:wrapNone/>
                      <wp:docPr id="1" name="Straight Connector 1"/>
                      <wp:cNvGraphicFramePr/>
                      <a:graphic xmlns:a="http://schemas.openxmlformats.org/drawingml/2006/main">
                        <a:graphicData uri="http://schemas.microsoft.com/office/word/2010/wordprocessingShape">
                          <wps:wsp>
                            <wps:cNvCnPr/>
                            <wps:spPr>
                              <a:xfrm>
                                <a:off x="0" y="0"/>
                                <a:ext cx="138303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4D9C976"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27pt" to="103.7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" strokecolor="#5b9bd5 [3204]" strokeweight=".5pt">
                      <v:stroke joinstyle="miter"/>
                    </v:line>
                  </w:pict>
                </mc:Fallback>
              </mc:AlternateContent>
            </w:r>
            <w:r>
              <w:rPr>
                <w:rFonts w:ascii="Garamond" w:eastAsia="Times New Roman" w:hAnsi="Garamond"/>
                <w:b/>
                <w:bCs/>
                <w:sz w:val="16"/>
                <w:szCs w:val="16"/>
                <w:lang w:val="sq-AL" w:eastAsia="sq-AL"/>
              </w:rPr>
              <w:t>Kryetari i Njësisë së Vetëqeverisjes Vendore</w:t>
            </w:r>
          </w:p>
        </w:tc>
        <w:tc>
          <w:tcPr>
            <w:tcW w:w="931" w:type="dxa"/>
            <w:tcBorders>
              <w:top w:val="single" w:sz="4" w:space="0" w:color="auto"/>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Emri</w:t>
            </w:r>
          </w:p>
        </w:tc>
        <w:tc>
          <w:tcPr>
            <w:tcW w:w="2910" w:type="dxa"/>
            <w:gridSpan w:val="2"/>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1613" w:type="dxa"/>
            <w:noWrap/>
            <w:vAlign w:val="bottom"/>
            <w:hideMark/>
          </w:tcPr>
          <w:p w:rsidR="00413F0B" w:rsidRDefault="00413F0B">
            <w:pPr>
              <w:rPr>
                <w:rFonts w:ascii="Garamond" w:eastAsia="Times New Roman" w:hAnsi="Garamond"/>
                <w:sz w:val="16"/>
                <w:szCs w:val="16"/>
                <w:lang w:val="sq-AL" w:eastAsia="sq-AL"/>
              </w:rPr>
            </w:pPr>
          </w:p>
        </w:tc>
        <w:tc>
          <w:tcPr>
            <w:tcW w:w="161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1208" w:type="dxa"/>
            <w:tcBorders>
              <w:top w:val="nil"/>
              <w:left w:val="nil"/>
              <w:bottom w:val="nil"/>
              <w:right w:val="single" w:sz="4" w:space="0" w:color="auto"/>
            </w:tcBorders>
            <w:vAlign w:val="center"/>
            <w:hideMark/>
          </w:tcPr>
          <w:p w:rsidR="00413F0B" w:rsidRDefault="00413F0B">
            <w:pPr>
              <w:spacing w:after="0" w:line="240" w:lineRule="auto"/>
              <w:ind w:firstLine="0"/>
              <w:jc w:val="left"/>
              <w:rPr>
                <w:rFonts w:ascii="Garamond" w:eastAsia="Times New Roman" w:hAnsi="Garamond"/>
                <w:b/>
                <w:bCs/>
                <w:sz w:val="16"/>
                <w:szCs w:val="16"/>
                <w:lang w:val="sq-AL" w:eastAsia="sq-AL"/>
              </w:rPr>
            </w:pPr>
            <w:r>
              <w:rPr>
                <w:rFonts w:ascii="Garamond" w:eastAsia="Times New Roman" w:hAnsi="Garamond"/>
                <w:b/>
                <w:bCs/>
                <w:sz w:val="16"/>
                <w:szCs w:val="16"/>
                <w:lang w:val="sq-AL" w:eastAsia="sq-AL"/>
              </w:rPr>
              <w:t> </w:t>
            </w:r>
          </w:p>
        </w:tc>
        <w:tc>
          <w:tcPr>
            <w:tcW w:w="0" w:type="auto"/>
            <w:gridSpan w:val="2"/>
            <w:vMerge/>
            <w:tcBorders>
              <w:top w:val="nil"/>
              <w:left w:val="nil"/>
              <w:bottom w:val="nil"/>
              <w:right w:val="single" w:sz="4" w:space="0" w:color="auto"/>
            </w:tcBorders>
            <w:vAlign w:val="center"/>
            <w:hideMark/>
          </w:tcPr>
          <w:p w:rsidR="00413F0B" w:rsidRDefault="00413F0B">
            <w:pPr>
              <w:spacing w:after="0"/>
              <w:ind w:firstLine="0"/>
              <w:jc w:val="left"/>
              <w:rPr>
                <w:rFonts w:ascii="Garamond" w:eastAsia="Times New Roman" w:hAnsi="Garamond"/>
                <w:b/>
                <w:bCs/>
                <w:sz w:val="16"/>
                <w:szCs w:val="16"/>
                <w:lang w:val="sq-AL" w:eastAsia="sq-AL"/>
              </w:rPr>
            </w:pPr>
          </w:p>
        </w:tc>
        <w:tc>
          <w:tcPr>
            <w:tcW w:w="931" w:type="dxa"/>
            <w:tcBorders>
              <w:top w:val="nil"/>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Firma</w:t>
            </w:r>
          </w:p>
        </w:tc>
        <w:tc>
          <w:tcPr>
            <w:tcW w:w="2910" w:type="dxa"/>
            <w:gridSpan w:val="2"/>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1613" w:type="dxa"/>
            <w:noWrap/>
            <w:vAlign w:val="bottom"/>
            <w:hideMark/>
          </w:tcPr>
          <w:p w:rsidR="00413F0B" w:rsidRDefault="00413F0B">
            <w:pPr>
              <w:rPr>
                <w:rFonts w:ascii="Garamond" w:eastAsia="Times New Roman" w:hAnsi="Garamond"/>
                <w:sz w:val="16"/>
                <w:szCs w:val="16"/>
                <w:lang w:val="sq-AL" w:eastAsia="sq-AL"/>
              </w:rPr>
            </w:pPr>
          </w:p>
        </w:tc>
        <w:tc>
          <w:tcPr>
            <w:tcW w:w="161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1208" w:type="dxa"/>
            <w:tcBorders>
              <w:top w:val="nil"/>
              <w:left w:val="nil"/>
              <w:bottom w:val="nil"/>
              <w:right w:val="single" w:sz="4" w:space="0" w:color="auto"/>
            </w:tcBorders>
            <w:vAlign w:val="center"/>
            <w:hideMark/>
          </w:tcPr>
          <w:p w:rsidR="00413F0B" w:rsidRDefault="00413F0B">
            <w:pPr>
              <w:spacing w:after="0" w:line="240" w:lineRule="auto"/>
              <w:ind w:firstLine="0"/>
              <w:jc w:val="left"/>
              <w:rPr>
                <w:rFonts w:ascii="Garamond" w:eastAsia="Times New Roman" w:hAnsi="Garamond"/>
                <w:b/>
                <w:bCs/>
                <w:sz w:val="16"/>
                <w:szCs w:val="16"/>
                <w:lang w:val="sq-AL" w:eastAsia="sq-AL"/>
              </w:rPr>
            </w:pPr>
            <w:r>
              <w:rPr>
                <w:rFonts w:ascii="Garamond" w:eastAsia="Times New Roman" w:hAnsi="Garamond"/>
                <w:b/>
                <w:bCs/>
                <w:sz w:val="16"/>
                <w:szCs w:val="16"/>
                <w:lang w:val="sq-AL" w:eastAsia="sq-AL"/>
              </w:rPr>
              <w:t> </w:t>
            </w:r>
          </w:p>
        </w:tc>
        <w:tc>
          <w:tcPr>
            <w:tcW w:w="0" w:type="auto"/>
            <w:gridSpan w:val="2"/>
            <w:vMerge/>
            <w:tcBorders>
              <w:top w:val="nil"/>
              <w:left w:val="nil"/>
              <w:bottom w:val="nil"/>
              <w:right w:val="single" w:sz="4" w:space="0" w:color="auto"/>
            </w:tcBorders>
            <w:vAlign w:val="center"/>
            <w:hideMark/>
          </w:tcPr>
          <w:p w:rsidR="00413F0B" w:rsidRDefault="00413F0B">
            <w:pPr>
              <w:spacing w:after="0"/>
              <w:ind w:firstLine="0"/>
              <w:jc w:val="left"/>
              <w:rPr>
                <w:rFonts w:ascii="Garamond" w:eastAsia="Times New Roman" w:hAnsi="Garamond"/>
                <w:b/>
                <w:bCs/>
                <w:sz w:val="16"/>
                <w:szCs w:val="16"/>
                <w:lang w:val="sq-AL" w:eastAsia="sq-AL"/>
              </w:rPr>
            </w:pPr>
          </w:p>
        </w:tc>
        <w:tc>
          <w:tcPr>
            <w:tcW w:w="931" w:type="dxa"/>
            <w:tcBorders>
              <w:top w:val="nil"/>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Data</w:t>
            </w:r>
          </w:p>
        </w:tc>
        <w:tc>
          <w:tcPr>
            <w:tcW w:w="2910" w:type="dxa"/>
            <w:gridSpan w:val="2"/>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w:t>
            </w:r>
          </w:p>
        </w:tc>
        <w:tc>
          <w:tcPr>
            <w:tcW w:w="1613" w:type="dxa"/>
            <w:noWrap/>
            <w:vAlign w:val="bottom"/>
            <w:hideMark/>
          </w:tcPr>
          <w:p w:rsidR="00413F0B" w:rsidRDefault="00413F0B">
            <w:pPr>
              <w:rPr>
                <w:rFonts w:ascii="Garamond" w:eastAsia="Times New Roman" w:hAnsi="Garamond"/>
                <w:sz w:val="16"/>
                <w:szCs w:val="16"/>
                <w:lang w:val="sq-AL" w:eastAsia="sq-AL"/>
              </w:rPr>
            </w:pPr>
          </w:p>
        </w:tc>
        <w:tc>
          <w:tcPr>
            <w:tcW w:w="1613"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0" w:type="dxa"/>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bl>
    <w:p w:rsidR="00413F0B" w:rsidRDefault="00413F0B" w:rsidP="00413F0B">
      <w:pPr>
        <w:ind w:firstLine="0"/>
        <w:rPr>
          <w:rFonts w:ascii="Times New Roman" w:hAnsi="Times New Roman"/>
          <w:sz w:val="16"/>
          <w:szCs w:val="16"/>
          <w:lang w:val="sq-AL"/>
        </w:rPr>
      </w:pPr>
    </w:p>
    <w:p w:rsidR="00413F0B" w:rsidRDefault="00413F0B" w:rsidP="00413F0B">
      <w:pPr>
        <w:ind w:firstLine="0"/>
        <w:rPr>
          <w:rFonts w:ascii="Times New Roman" w:hAnsi="Times New Roman"/>
          <w:sz w:val="24"/>
          <w:szCs w:val="24"/>
          <w:lang w:val="sq-AL"/>
        </w:rPr>
      </w:pPr>
    </w:p>
    <w:p w:rsidR="00413F0B" w:rsidRDefault="00413F0B" w:rsidP="00413F0B">
      <w:pPr>
        <w:ind w:firstLine="0"/>
        <w:rPr>
          <w:rFonts w:ascii="Times New Roman" w:hAnsi="Times New Roman"/>
          <w:sz w:val="24"/>
          <w:szCs w:val="24"/>
          <w:lang w:val="sq-AL"/>
        </w:rPr>
      </w:pPr>
    </w:p>
    <w:p w:rsidR="00413F0B" w:rsidRDefault="00413F0B" w:rsidP="00413F0B">
      <w:pPr>
        <w:ind w:firstLine="0"/>
        <w:rPr>
          <w:rFonts w:ascii="Times New Roman" w:hAnsi="Times New Roman"/>
          <w:sz w:val="24"/>
          <w:szCs w:val="24"/>
          <w:lang w:val="sq-AL"/>
        </w:rPr>
      </w:pPr>
    </w:p>
    <w:p w:rsidR="00413F0B" w:rsidRDefault="00413F0B" w:rsidP="00413F0B">
      <w:pPr>
        <w:ind w:firstLine="0"/>
        <w:rPr>
          <w:rFonts w:ascii="Times New Roman" w:hAnsi="Times New Roman"/>
          <w:sz w:val="24"/>
          <w:szCs w:val="24"/>
          <w:lang w:val="sq-AL"/>
        </w:rPr>
      </w:pPr>
    </w:p>
    <w:p w:rsidR="00413F0B" w:rsidRDefault="00413F0B" w:rsidP="00413F0B">
      <w:pPr>
        <w:ind w:firstLine="0"/>
        <w:rPr>
          <w:rFonts w:ascii="Times New Roman" w:hAnsi="Times New Roman"/>
          <w:sz w:val="24"/>
          <w:szCs w:val="24"/>
          <w:lang w:val="sq-AL"/>
        </w:rPr>
      </w:pPr>
    </w:p>
    <w:p w:rsidR="00413F0B" w:rsidRDefault="00413F0B" w:rsidP="00413F0B">
      <w:pPr>
        <w:ind w:firstLine="0"/>
        <w:rPr>
          <w:rFonts w:ascii="Times New Roman" w:hAnsi="Times New Roman"/>
          <w:sz w:val="24"/>
          <w:szCs w:val="24"/>
          <w:lang w:val="sq-AL"/>
        </w:rPr>
      </w:pPr>
    </w:p>
    <w:p w:rsidR="00413F0B" w:rsidRDefault="00413F0B" w:rsidP="00413F0B">
      <w:pPr>
        <w:ind w:firstLine="0"/>
        <w:rPr>
          <w:rFonts w:ascii="Times New Roman" w:hAnsi="Times New Roman"/>
          <w:sz w:val="24"/>
          <w:szCs w:val="24"/>
          <w:lang w:val="sq-AL"/>
        </w:rPr>
      </w:pPr>
    </w:p>
    <w:tbl>
      <w:tblPr>
        <w:tblW w:w="5000" w:type="pct"/>
        <w:tblLook w:val="04A0" w:firstRow="1" w:lastRow="0" w:firstColumn="1" w:lastColumn="0" w:noHBand="0" w:noVBand="1"/>
      </w:tblPr>
      <w:tblGrid>
        <w:gridCol w:w="1287"/>
        <w:gridCol w:w="3791"/>
        <w:gridCol w:w="1441"/>
        <w:gridCol w:w="1570"/>
        <w:gridCol w:w="1570"/>
        <w:gridCol w:w="1442"/>
        <w:gridCol w:w="1603"/>
        <w:gridCol w:w="1603"/>
        <w:gridCol w:w="1093"/>
      </w:tblGrid>
      <w:tr w:rsidR="00413F0B" w:rsidTr="00413F0B">
        <w:trPr>
          <w:trHeight w:val="139"/>
        </w:trPr>
        <w:tc>
          <w:tcPr>
            <w:tcW w:w="5000" w:type="pct"/>
            <w:gridSpan w:val="9"/>
            <w:noWrap/>
            <w:vAlign w:val="center"/>
            <w:hideMark/>
          </w:tcPr>
          <w:p w:rsidR="00413F0B" w:rsidRDefault="00413F0B">
            <w:pPr>
              <w:spacing w:after="0" w:line="240" w:lineRule="auto"/>
              <w:ind w:firstLine="0"/>
              <w:jc w:val="center"/>
              <w:rPr>
                <w:rFonts w:ascii="Garamond" w:eastAsia="Times New Roman" w:hAnsi="Garamond"/>
                <w:bCs/>
                <w:sz w:val="24"/>
                <w:szCs w:val="24"/>
                <w:lang w:val="sq-AL" w:eastAsia="sq-AL"/>
              </w:rPr>
            </w:pPr>
            <w:r>
              <w:rPr>
                <w:rFonts w:ascii="Garamond" w:eastAsia="Times New Roman" w:hAnsi="Garamond"/>
                <w:bCs/>
                <w:sz w:val="24"/>
                <w:szCs w:val="24"/>
                <w:lang w:val="sq-AL" w:eastAsia="sq-AL"/>
              </w:rPr>
              <w:lastRenderedPageBreak/>
              <w:t>ANEKSI 2</w:t>
            </w:r>
          </w:p>
          <w:p w:rsidR="00413F0B" w:rsidRDefault="00413F0B">
            <w:pPr>
              <w:spacing w:after="0" w:line="240" w:lineRule="auto"/>
              <w:ind w:firstLine="0"/>
              <w:jc w:val="center"/>
              <w:rPr>
                <w:rFonts w:ascii="Garamond" w:eastAsia="Times New Roman" w:hAnsi="Garamond"/>
                <w:sz w:val="24"/>
                <w:szCs w:val="24"/>
                <w:lang w:val="sq-AL" w:eastAsia="sq-AL"/>
              </w:rPr>
            </w:pPr>
            <w:r>
              <w:rPr>
                <w:rFonts w:ascii="Garamond" w:eastAsia="Times New Roman" w:hAnsi="Garamond"/>
                <w:bCs/>
                <w:sz w:val="24"/>
                <w:szCs w:val="24"/>
                <w:lang w:val="sq-AL" w:eastAsia="sq-AL"/>
              </w:rPr>
              <w:t>RAPORTI I SHPENZIMEVE TË PROGRAMEVE SIPAS ARTIKUJVE</w:t>
            </w:r>
          </w:p>
        </w:tc>
      </w:tr>
      <w:tr w:rsidR="00413F0B" w:rsidTr="00413F0B">
        <w:trPr>
          <w:trHeight w:val="139"/>
        </w:trPr>
        <w:tc>
          <w:tcPr>
            <w:tcW w:w="419" w:type="pct"/>
            <w:tcBorders>
              <w:top w:val="nil"/>
              <w:left w:val="nil"/>
              <w:bottom w:val="single" w:sz="8"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69" w:type="pct"/>
            <w:tcBorders>
              <w:top w:val="nil"/>
              <w:left w:val="nil"/>
              <w:bottom w:val="single" w:sz="8" w:space="0" w:color="auto"/>
              <w:right w:val="nil"/>
            </w:tcBorders>
            <w:vAlign w:val="center"/>
            <w:hideMark/>
          </w:tcPr>
          <w:p w:rsidR="00413F0B" w:rsidRDefault="00413F0B">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nil"/>
              <w:left w:val="nil"/>
              <w:bottom w:val="single" w:sz="8"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511" w:type="pct"/>
            <w:tcBorders>
              <w:top w:val="nil"/>
              <w:left w:val="nil"/>
              <w:bottom w:val="single" w:sz="8"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469" w:type="pct"/>
            <w:tcBorders>
              <w:top w:val="nil"/>
              <w:left w:val="nil"/>
              <w:bottom w:val="single" w:sz="8" w:space="0" w:color="auto"/>
              <w:right w:val="nil"/>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nil"/>
              <w:left w:val="nil"/>
              <w:bottom w:val="single" w:sz="8"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517" w:type="pct"/>
            <w:tcBorders>
              <w:top w:val="nil"/>
              <w:left w:val="nil"/>
              <w:bottom w:val="single" w:sz="8" w:space="0" w:color="auto"/>
              <w:right w:val="nil"/>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tcBorders>
              <w:top w:val="nil"/>
              <w:left w:val="nil"/>
              <w:bottom w:val="single" w:sz="8"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ne 000/lekë</w:t>
            </w:r>
          </w:p>
        </w:tc>
      </w:tr>
      <w:tr w:rsidR="00413F0B" w:rsidTr="00413F0B">
        <w:trPr>
          <w:trHeight w:val="139"/>
        </w:trPr>
        <w:tc>
          <w:tcPr>
            <w:tcW w:w="419" w:type="pct"/>
            <w:tcBorders>
              <w:top w:val="nil"/>
              <w:left w:val="single" w:sz="8" w:space="0" w:color="auto"/>
              <w:bottom w:val="single" w:sz="8"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1232" w:type="pct"/>
            <w:vAlign w:val="center"/>
            <w:hideMark/>
          </w:tcPr>
          <w:p w:rsidR="00413F0B" w:rsidRDefault="00413F0B">
            <w:pPr>
              <w:rPr>
                <w:rFonts w:ascii="Garamond" w:eastAsia="Times New Roman" w:hAnsi="Garamond"/>
                <w:b/>
                <w:bCs/>
                <w:color w:val="000000"/>
                <w:sz w:val="16"/>
                <w:szCs w:val="16"/>
                <w:lang w:val="sq-AL" w:eastAsia="sq-AL"/>
              </w:rPr>
            </w:pPr>
          </w:p>
        </w:tc>
        <w:tc>
          <w:tcPr>
            <w:tcW w:w="469" w:type="pct"/>
            <w:tcBorders>
              <w:top w:val="single" w:sz="8" w:space="0" w:color="auto"/>
              <w:left w:val="nil"/>
              <w:bottom w:val="nil"/>
              <w:right w:val="nil"/>
            </w:tcBorders>
            <w:vAlign w:val="center"/>
            <w:hideMark/>
          </w:tcPr>
          <w:p w:rsidR="00413F0B" w:rsidRDefault="00413F0B">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nil"/>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511" w:type="pct"/>
            <w:tcBorders>
              <w:top w:val="single" w:sz="8" w:space="0" w:color="auto"/>
              <w:left w:val="nil"/>
              <w:bottom w:val="nil"/>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469" w:type="pct"/>
            <w:tcBorders>
              <w:top w:val="single" w:sz="8" w:space="0" w:color="auto"/>
              <w:left w:val="nil"/>
              <w:bottom w:val="nil"/>
              <w:right w:val="nil"/>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nil"/>
              <w:right w:val="nil"/>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tcBorders>
              <w:top w:val="single" w:sz="8" w:space="0" w:color="auto"/>
              <w:left w:val="nil"/>
              <w:bottom w:val="single" w:sz="8" w:space="0" w:color="auto"/>
              <w:right w:val="nil"/>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Bashkia</w:t>
            </w:r>
          </w:p>
        </w:tc>
        <w:tc>
          <w:tcPr>
            <w:tcW w:w="1232" w:type="pct"/>
            <w:tcBorders>
              <w:top w:val="single" w:sz="8" w:space="0" w:color="auto"/>
              <w:left w:val="nil"/>
              <w:bottom w:val="single" w:sz="8"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w:t>
            </w:r>
          </w:p>
        </w:tc>
        <w:tc>
          <w:tcPr>
            <w:tcW w:w="469" w:type="pct"/>
            <w:vAlign w:val="center"/>
            <w:hideMark/>
          </w:tcPr>
          <w:p w:rsidR="00413F0B" w:rsidRDefault="00413F0B">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vAlign w:val="center"/>
            <w:hideMark/>
          </w:tcPr>
          <w:p w:rsidR="00413F0B" w:rsidRDefault="00413F0B">
            <w:pPr>
              <w:rPr>
                <w:rFonts w:ascii="Garamond" w:eastAsia="Times New Roman" w:hAnsi="Garamond"/>
                <w:color w:val="000000"/>
                <w:sz w:val="16"/>
                <w:szCs w:val="16"/>
                <w:lang w:val="sq-AL" w:eastAsia="sq-AL"/>
              </w:rPr>
            </w:pPr>
          </w:p>
        </w:tc>
        <w:tc>
          <w:tcPr>
            <w:tcW w:w="511"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69"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516" w:type="pct"/>
            <w:tcBorders>
              <w:top w:val="nil"/>
              <w:left w:val="nil"/>
              <w:bottom w:val="nil"/>
              <w:right w:val="single" w:sz="8" w:space="0" w:color="000000"/>
            </w:tcBorders>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517" w:type="pct"/>
            <w:tcBorders>
              <w:top w:val="single" w:sz="8" w:space="0" w:color="auto"/>
              <w:left w:val="nil"/>
              <w:bottom w:val="single" w:sz="8" w:space="0" w:color="auto"/>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Kodi i grupit / Njësisë vendore</w:t>
            </w:r>
          </w:p>
        </w:tc>
        <w:tc>
          <w:tcPr>
            <w:tcW w:w="35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Programi</w:t>
            </w:r>
          </w:p>
        </w:tc>
        <w:tc>
          <w:tcPr>
            <w:tcW w:w="1232" w:type="pct"/>
            <w:tcBorders>
              <w:top w:val="nil"/>
              <w:left w:val="nil"/>
              <w:bottom w:val="single" w:sz="8"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w:t>
            </w:r>
          </w:p>
        </w:tc>
        <w:tc>
          <w:tcPr>
            <w:tcW w:w="469" w:type="pct"/>
            <w:tcBorders>
              <w:top w:val="nil"/>
              <w:left w:val="nil"/>
              <w:bottom w:val="single" w:sz="8" w:space="0" w:color="auto"/>
              <w:right w:val="nil"/>
            </w:tcBorders>
            <w:vAlign w:val="center"/>
            <w:hideMark/>
          </w:tcPr>
          <w:p w:rsidR="00413F0B" w:rsidRDefault="00413F0B">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nil"/>
              <w:left w:val="nil"/>
              <w:bottom w:val="single" w:sz="8" w:space="0" w:color="auto"/>
              <w:right w:val="nil"/>
            </w:tcBorders>
            <w:vAlign w:val="center"/>
            <w:hideMark/>
          </w:tcPr>
          <w:p w:rsidR="00413F0B" w:rsidRDefault="00413F0B">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nil"/>
              <w:left w:val="nil"/>
              <w:bottom w:val="single" w:sz="8" w:space="0" w:color="auto"/>
              <w:right w:val="nil"/>
            </w:tcBorders>
            <w:vAlign w:val="center"/>
            <w:hideMark/>
          </w:tcPr>
          <w:p w:rsidR="00413F0B" w:rsidRDefault="00413F0B">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69" w:type="pct"/>
            <w:tcBorders>
              <w:top w:val="nil"/>
              <w:left w:val="nil"/>
              <w:bottom w:val="single" w:sz="8" w:space="0" w:color="auto"/>
              <w:right w:val="nil"/>
            </w:tcBorders>
            <w:vAlign w:val="center"/>
            <w:hideMark/>
          </w:tcPr>
          <w:p w:rsidR="00413F0B" w:rsidRDefault="00413F0B">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nil"/>
              <w:left w:val="nil"/>
              <w:bottom w:val="single" w:sz="8" w:space="0" w:color="auto"/>
              <w:right w:val="single" w:sz="8" w:space="0" w:color="000000"/>
            </w:tcBorders>
            <w:vAlign w:val="center"/>
            <w:hideMark/>
          </w:tcPr>
          <w:p w:rsidR="00413F0B" w:rsidRDefault="00413F0B">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Kodi i programit</w:t>
            </w:r>
          </w:p>
        </w:tc>
        <w:tc>
          <w:tcPr>
            <w:tcW w:w="35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w:t>
            </w:r>
          </w:p>
        </w:tc>
      </w:tr>
      <w:tr w:rsidR="00413F0B" w:rsidTr="00413F0B">
        <w:trPr>
          <w:trHeight w:val="139"/>
        </w:trPr>
        <w:tc>
          <w:tcPr>
            <w:tcW w:w="419" w:type="pct"/>
            <w:tcBorders>
              <w:top w:val="nil"/>
              <w:left w:val="single" w:sz="8" w:space="0" w:color="auto"/>
              <w:bottom w:val="nil"/>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Art.</w:t>
            </w:r>
          </w:p>
        </w:tc>
        <w:tc>
          <w:tcPr>
            <w:tcW w:w="1232" w:type="pct"/>
            <w:vMerge w:val="restart"/>
            <w:tcBorders>
              <w:top w:val="nil"/>
              <w:left w:val="single" w:sz="8" w:space="0" w:color="auto"/>
              <w:bottom w:val="single" w:sz="8" w:space="0" w:color="000000"/>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Emërtimi</w:t>
            </w:r>
          </w:p>
        </w:tc>
        <w:tc>
          <w:tcPr>
            <w:tcW w:w="469" w:type="pct"/>
            <w:tcBorders>
              <w:top w:val="single" w:sz="8" w:space="0" w:color="auto"/>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-1</w:t>
            </w:r>
          </w:p>
        </w:tc>
        <w:tc>
          <w:tcPr>
            <w:tcW w:w="511" w:type="pct"/>
            <w:tcBorders>
              <w:top w:val="single" w:sz="8" w:space="0" w:color="auto"/>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-2</w:t>
            </w:r>
          </w:p>
        </w:tc>
        <w:tc>
          <w:tcPr>
            <w:tcW w:w="511" w:type="pct"/>
            <w:tcBorders>
              <w:top w:val="single" w:sz="8" w:space="0" w:color="auto"/>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-3</w:t>
            </w:r>
          </w:p>
        </w:tc>
        <w:tc>
          <w:tcPr>
            <w:tcW w:w="469" w:type="pct"/>
            <w:tcBorders>
              <w:top w:val="single" w:sz="8" w:space="0" w:color="auto"/>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-4</w:t>
            </w:r>
          </w:p>
        </w:tc>
        <w:tc>
          <w:tcPr>
            <w:tcW w:w="516" w:type="pct"/>
            <w:tcBorders>
              <w:top w:val="single" w:sz="8" w:space="0" w:color="auto"/>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-5</w:t>
            </w:r>
          </w:p>
        </w:tc>
        <w:tc>
          <w:tcPr>
            <w:tcW w:w="517" w:type="pct"/>
            <w:tcBorders>
              <w:top w:val="single" w:sz="8" w:space="0" w:color="auto"/>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-6</w:t>
            </w:r>
          </w:p>
        </w:tc>
        <w:tc>
          <w:tcPr>
            <w:tcW w:w="357" w:type="pct"/>
            <w:tcBorders>
              <w:top w:val="single" w:sz="8" w:space="0" w:color="auto"/>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(7)=(6)-(5)</w:t>
            </w:r>
          </w:p>
        </w:tc>
      </w:tr>
      <w:tr w:rsidR="00413F0B" w:rsidTr="00413F0B">
        <w:trPr>
          <w:trHeight w:val="139"/>
        </w:trPr>
        <w:tc>
          <w:tcPr>
            <w:tcW w:w="419" w:type="pct"/>
            <w:tcBorders>
              <w:top w:val="nil"/>
              <w:left w:val="single" w:sz="8" w:space="0" w:color="auto"/>
              <w:bottom w:val="nil"/>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0" w:type="auto"/>
            <w:vMerge/>
            <w:tcBorders>
              <w:top w:val="nil"/>
              <w:left w:val="single" w:sz="8" w:space="0" w:color="auto"/>
              <w:bottom w:val="single" w:sz="8" w:space="0" w:color="000000"/>
              <w:right w:val="single" w:sz="8" w:space="0" w:color="auto"/>
            </w:tcBorders>
            <w:vAlign w:val="center"/>
            <w:hideMark/>
          </w:tcPr>
          <w:p w:rsidR="00413F0B" w:rsidRDefault="00413F0B">
            <w:pPr>
              <w:spacing w:after="0"/>
              <w:ind w:firstLine="0"/>
              <w:jc w:val="left"/>
              <w:rPr>
                <w:rFonts w:ascii="Garamond" w:eastAsia="Times New Roman" w:hAnsi="Garamond"/>
                <w:b/>
                <w:bCs/>
                <w:color w:val="000000"/>
                <w:sz w:val="16"/>
                <w:szCs w:val="16"/>
                <w:lang w:val="sq-AL" w:eastAsia="sq-AL"/>
              </w:rPr>
            </w:pPr>
          </w:p>
        </w:tc>
        <w:tc>
          <w:tcPr>
            <w:tcW w:w="469" w:type="pct"/>
            <w:tcBorders>
              <w:top w:val="nil"/>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Fakti</w:t>
            </w:r>
          </w:p>
        </w:tc>
        <w:tc>
          <w:tcPr>
            <w:tcW w:w="511" w:type="pct"/>
            <w:tcBorders>
              <w:top w:val="nil"/>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PBA</w:t>
            </w:r>
          </w:p>
        </w:tc>
        <w:tc>
          <w:tcPr>
            <w:tcW w:w="511" w:type="pct"/>
            <w:tcBorders>
              <w:top w:val="nil"/>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Buxheti vjetor</w:t>
            </w:r>
          </w:p>
        </w:tc>
        <w:tc>
          <w:tcPr>
            <w:tcW w:w="469" w:type="pct"/>
            <w:tcBorders>
              <w:top w:val="nil"/>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Buxheti vjetor</w:t>
            </w:r>
          </w:p>
        </w:tc>
        <w:tc>
          <w:tcPr>
            <w:tcW w:w="516" w:type="pct"/>
            <w:tcBorders>
              <w:top w:val="nil"/>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Buxheti vjetor</w:t>
            </w:r>
          </w:p>
        </w:tc>
        <w:tc>
          <w:tcPr>
            <w:tcW w:w="517" w:type="pct"/>
            <w:tcBorders>
              <w:top w:val="nil"/>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Fakti</w:t>
            </w:r>
          </w:p>
        </w:tc>
        <w:tc>
          <w:tcPr>
            <w:tcW w:w="357" w:type="pct"/>
            <w:tcBorders>
              <w:top w:val="nil"/>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Diferenca</w:t>
            </w:r>
          </w:p>
        </w:tc>
      </w:tr>
      <w:tr w:rsidR="00413F0B" w:rsidTr="00413F0B">
        <w:trPr>
          <w:trHeight w:val="139"/>
        </w:trPr>
        <w:tc>
          <w:tcPr>
            <w:tcW w:w="419" w:type="pct"/>
            <w:vMerge w:val="restart"/>
            <w:tcBorders>
              <w:top w:val="nil"/>
              <w:left w:val="single" w:sz="8" w:space="0" w:color="auto"/>
              <w:bottom w:val="single" w:sz="8" w:space="0" w:color="000000"/>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0" w:type="auto"/>
            <w:vMerge/>
            <w:tcBorders>
              <w:top w:val="nil"/>
              <w:left w:val="single" w:sz="8" w:space="0" w:color="auto"/>
              <w:bottom w:val="single" w:sz="8" w:space="0" w:color="000000"/>
              <w:right w:val="single" w:sz="8" w:space="0" w:color="auto"/>
            </w:tcBorders>
            <w:vAlign w:val="center"/>
            <w:hideMark/>
          </w:tcPr>
          <w:p w:rsidR="00413F0B" w:rsidRDefault="00413F0B">
            <w:pPr>
              <w:spacing w:after="0"/>
              <w:ind w:firstLine="0"/>
              <w:jc w:val="left"/>
              <w:rPr>
                <w:rFonts w:ascii="Garamond" w:eastAsia="Times New Roman" w:hAnsi="Garamond"/>
                <w:b/>
                <w:bCs/>
                <w:color w:val="000000"/>
                <w:sz w:val="16"/>
                <w:szCs w:val="16"/>
                <w:lang w:val="sq-AL" w:eastAsia="sq-AL"/>
              </w:rPr>
            </w:pPr>
          </w:p>
        </w:tc>
        <w:tc>
          <w:tcPr>
            <w:tcW w:w="469" w:type="pct"/>
            <w:tcBorders>
              <w:top w:val="nil"/>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i vitit paraardhës</w:t>
            </w:r>
          </w:p>
        </w:tc>
        <w:tc>
          <w:tcPr>
            <w:tcW w:w="511" w:type="pct"/>
            <w:vMerge w:val="restart"/>
            <w:tcBorders>
              <w:top w:val="nil"/>
              <w:left w:val="single" w:sz="8" w:space="0" w:color="auto"/>
              <w:bottom w:val="single" w:sz="8" w:space="0" w:color="000000"/>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Plan                  </w:t>
            </w:r>
          </w:p>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Viti ______</w:t>
            </w:r>
          </w:p>
        </w:tc>
        <w:tc>
          <w:tcPr>
            <w:tcW w:w="511" w:type="pct"/>
            <w:vMerge w:val="restart"/>
            <w:tcBorders>
              <w:top w:val="nil"/>
              <w:left w:val="single" w:sz="8" w:space="0" w:color="auto"/>
              <w:bottom w:val="single" w:sz="8" w:space="0" w:color="000000"/>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Plan fillestar viti ________</w:t>
            </w:r>
          </w:p>
        </w:tc>
        <w:tc>
          <w:tcPr>
            <w:tcW w:w="469" w:type="pct"/>
            <w:vMerge w:val="restart"/>
            <w:tcBorders>
              <w:top w:val="nil"/>
              <w:left w:val="single" w:sz="8" w:space="0" w:color="auto"/>
              <w:bottom w:val="single" w:sz="8" w:space="0" w:color="000000"/>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Plan i rishikuar Viti_______</w:t>
            </w:r>
          </w:p>
        </w:tc>
        <w:tc>
          <w:tcPr>
            <w:tcW w:w="516" w:type="pct"/>
            <w:vMerge w:val="restart"/>
            <w:tcBorders>
              <w:top w:val="nil"/>
              <w:left w:val="single" w:sz="8" w:space="0" w:color="auto"/>
              <w:bottom w:val="single" w:sz="8" w:space="0" w:color="000000"/>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Plani i periudhës/progresiv</w:t>
            </w:r>
          </w:p>
        </w:tc>
        <w:tc>
          <w:tcPr>
            <w:tcW w:w="517" w:type="pct"/>
            <w:tcBorders>
              <w:top w:val="nil"/>
              <w:left w:val="nil"/>
              <w:bottom w:val="nil"/>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i</w:t>
            </w:r>
          </w:p>
        </w:tc>
        <w:tc>
          <w:tcPr>
            <w:tcW w:w="357" w:type="pct"/>
            <w:vMerge w:val="restart"/>
            <w:tcBorders>
              <w:top w:val="nil"/>
              <w:left w:val="single" w:sz="8" w:space="0" w:color="auto"/>
              <w:bottom w:val="single" w:sz="8" w:space="0" w:color="000000"/>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r>
      <w:tr w:rsidR="00413F0B" w:rsidTr="00413F0B">
        <w:trPr>
          <w:trHeight w:val="139"/>
        </w:trPr>
        <w:tc>
          <w:tcPr>
            <w:tcW w:w="0" w:type="auto"/>
            <w:vMerge/>
            <w:tcBorders>
              <w:top w:val="nil"/>
              <w:left w:val="single" w:sz="8" w:space="0" w:color="auto"/>
              <w:bottom w:val="single" w:sz="8" w:space="0" w:color="000000"/>
              <w:right w:val="single" w:sz="8" w:space="0" w:color="auto"/>
            </w:tcBorders>
            <w:vAlign w:val="center"/>
            <w:hideMark/>
          </w:tcPr>
          <w:p w:rsidR="00413F0B" w:rsidRDefault="00413F0B">
            <w:pPr>
              <w:spacing w:after="0"/>
              <w:ind w:firstLine="0"/>
              <w:jc w:val="left"/>
              <w:rPr>
                <w:rFonts w:ascii="Garamond" w:eastAsia="Times New Roman" w:hAnsi="Garamond"/>
                <w:b/>
                <w:bCs/>
                <w:color w:val="000000"/>
                <w:sz w:val="16"/>
                <w:szCs w:val="16"/>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413F0B" w:rsidRDefault="00413F0B">
            <w:pPr>
              <w:spacing w:after="0"/>
              <w:ind w:firstLine="0"/>
              <w:jc w:val="left"/>
              <w:rPr>
                <w:rFonts w:ascii="Garamond" w:eastAsia="Times New Roman" w:hAnsi="Garamond"/>
                <w:b/>
                <w:bCs/>
                <w:color w:val="000000"/>
                <w:sz w:val="16"/>
                <w:szCs w:val="16"/>
                <w:lang w:val="sq-AL" w:eastAsia="sq-AL"/>
              </w:rPr>
            </w:pPr>
          </w:p>
        </w:tc>
        <w:tc>
          <w:tcPr>
            <w:tcW w:w="469" w:type="pct"/>
            <w:tcBorders>
              <w:top w:val="nil"/>
              <w:left w:val="nil"/>
              <w:bottom w:val="single" w:sz="8" w:space="0" w:color="auto"/>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Viti ______</w:t>
            </w:r>
          </w:p>
        </w:tc>
        <w:tc>
          <w:tcPr>
            <w:tcW w:w="0" w:type="auto"/>
            <w:vMerge/>
            <w:tcBorders>
              <w:top w:val="nil"/>
              <w:left w:val="single" w:sz="8" w:space="0" w:color="auto"/>
              <w:bottom w:val="single" w:sz="8" w:space="0" w:color="000000"/>
              <w:right w:val="single" w:sz="8" w:space="0" w:color="000000"/>
            </w:tcBorders>
            <w:vAlign w:val="center"/>
            <w:hideMark/>
          </w:tcPr>
          <w:p w:rsidR="00413F0B" w:rsidRDefault="00413F0B">
            <w:pPr>
              <w:spacing w:after="0"/>
              <w:ind w:firstLine="0"/>
              <w:jc w:val="left"/>
              <w:rPr>
                <w:rFonts w:ascii="Garamond" w:eastAsia="Times New Roman" w:hAnsi="Garamond"/>
                <w:b/>
                <w:bCs/>
                <w:color w:val="000000"/>
                <w:sz w:val="16"/>
                <w:szCs w:val="16"/>
                <w:lang w:val="sq-AL" w:eastAsia="sq-AL"/>
              </w:rPr>
            </w:pPr>
          </w:p>
        </w:tc>
        <w:tc>
          <w:tcPr>
            <w:tcW w:w="0" w:type="auto"/>
            <w:vMerge/>
            <w:tcBorders>
              <w:top w:val="nil"/>
              <w:left w:val="single" w:sz="8" w:space="0" w:color="auto"/>
              <w:bottom w:val="single" w:sz="8" w:space="0" w:color="000000"/>
              <w:right w:val="single" w:sz="8" w:space="0" w:color="000000"/>
            </w:tcBorders>
            <w:vAlign w:val="center"/>
            <w:hideMark/>
          </w:tcPr>
          <w:p w:rsidR="00413F0B" w:rsidRDefault="00413F0B">
            <w:pPr>
              <w:spacing w:after="0"/>
              <w:ind w:firstLine="0"/>
              <w:jc w:val="left"/>
              <w:rPr>
                <w:rFonts w:ascii="Garamond" w:eastAsia="Times New Roman" w:hAnsi="Garamond"/>
                <w:b/>
                <w:bCs/>
                <w:color w:val="000000"/>
                <w:sz w:val="16"/>
                <w:szCs w:val="16"/>
                <w:lang w:val="sq-AL" w:eastAsia="sq-AL"/>
              </w:rPr>
            </w:pPr>
          </w:p>
        </w:tc>
        <w:tc>
          <w:tcPr>
            <w:tcW w:w="0" w:type="auto"/>
            <w:vMerge/>
            <w:tcBorders>
              <w:top w:val="nil"/>
              <w:left w:val="single" w:sz="8" w:space="0" w:color="auto"/>
              <w:bottom w:val="single" w:sz="8" w:space="0" w:color="000000"/>
              <w:right w:val="single" w:sz="8" w:space="0" w:color="000000"/>
            </w:tcBorders>
            <w:vAlign w:val="center"/>
            <w:hideMark/>
          </w:tcPr>
          <w:p w:rsidR="00413F0B" w:rsidRDefault="00413F0B">
            <w:pPr>
              <w:spacing w:after="0"/>
              <w:ind w:firstLine="0"/>
              <w:jc w:val="left"/>
              <w:rPr>
                <w:rFonts w:ascii="Garamond" w:eastAsia="Times New Roman" w:hAnsi="Garamond"/>
                <w:b/>
                <w:bCs/>
                <w:color w:val="000000"/>
                <w:sz w:val="16"/>
                <w:szCs w:val="16"/>
                <w:lang w:val="sq-AL" w:eastAsia="sq-AL"/>
              </w:rPr>
            </w:pPr>
          </w:p>
        </w:tc>
        <w:tc>
          <w:tcPr>
            <w:tcW w:w="0" w:type="auto"/>
            <w:vMerge/>
            <w:tcBorders>
              <w:top w:val="nil"/>
              <w:left w:val="single" w:sz="8" w:space="0" w:color="auto"/>
              <w:bottom w:val="single" w:sz="8" w:space="0" w:color="000000"/>
              <w:right w:val="single" w:sz="8" w:space="0" w:color="000000"/>
            </w:tcBorders>
            <w:vAlign w:val="center"/>
            <w:hideMark/>
          </w:tcPr>
          <w:p w:rsidR="00413F0B" w:rsidRDefault="00413F0B">
            <w:pPr>
              <w:spacing w:after="0"/>
              <w:ind w:firstLine="0"/>
              <w:jc w:val="left"/>
              <w:rPr>
                <w:rFonts w:ascii="Garamond" w:eastAsia="Times New Roman" w:hAnsi="Garamond"/>
                <w:b/>
                <w:bCs/>
                <w:color w:val="000000"/>
                <w:sz w:val="16"/>
                <w:szCs w:val="16"/>
                <w:lang w:val="sq-AL" w:eastAsia="sq-AL"/>
              </w:rPr>
            </w:pPr>
          </w:p>
        </w:tc>
        <w:tc>
          <w:tcPr>
            <w:tcW w:w="517" w:type="pct"/>
            <w:tcBorders>
              <w:top w:val="nil"/>
              <w:left w:val="nil"/>
              <w:bottom w:val="single" w:sz="8" w:space="0" w:color="auto"/>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periudhës/progresiv</w:t>
            </w:r>
          </w:p>
        </w:tc>
        <w:tc>
          <w:tcPr>
            <w:tcW w:w="0" w:type="auto"/>
            <w:vMerge/>
            <w:tcBorders>
              <w:top w:val="nil"/>
              <w:left w:val="single" w:sz="8" w:space="0" w:color="auto"/>
              <w:bottom w:val="single" w:sz="8" w:space="0" w:color="000000"/>
              <w:right w:val="single" w:sz="8" w:space="0" w:color="000000"/>
            </w:tcBorders>
            <w:vAlign w:val="center"/>
            <w:hideMark/>
          </w:tcPr>
          <w:p w:rsidR="00413F0B" w:rsidRDefault="00413F0B">
            <w:pPr>
              <w:spacing w:after="0"/>
              <w:ind w:firstLine="0"/>
              <w:jc w:val="left"/>
              <w:rPr>
                <w:rFonts w:ascii="Garamond" w:eastAsia="Times New Roman" w:hAnsi="Garamond"/>
                <w:b/>
                <w:bCs/>
                <w:color w:val="000000"/>
                <w:sz w:val="16"/>
                <w:szCs w:val="16"/>
                <w:lang w:val="sq-AL" w:eastAsia="sq-AL"/>
              </w:rPr>
            </w:pP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600</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Paga</w:t>
            </w:r>
          </w:p>
        </w:tc>
        <w:tc>
          <w:tcPr>
            <w:tcW w:w="469" w:type="pct"/>
            <w:tcBorders>
              <w:top w:val="single" w:sz="8" w:space="0" w:color="auto"/>
              <w:left w:val="single" w:sz="8" w:space="0" w:color="auto"/>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601</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Sigurime shoqërore</w:t>
            </w:r>
          </w:p>
        </w:tc>
        <w:tc>
          <w:tcPr>
            <w:tcW w:w="469" w:type="pct"/>
            <w:tcBorders>
              <w:top w:val="single" w:sz="8" w:space="0" w:color="auto"/>
              <w:left w:val="single" w:sz="8" w:space="0" w:color="auto"/>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602</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Mallra dhe shërbime të tjera</w:t>
            </w:r>
          </w:p>
        </w:tc>
        <w:tc>
          <w:tcPr>
            <w:tcW w:w="469" w:type="pct"/>
            <w:tcBorders>
              <w:top w:val="single" w:sz="8" w:space="0" w:color="auto"/>
              <w:left w:val="single" w:sz="8" w:space="0" w:color="auto"/>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603</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Subvencione</w:t>
            </w:r>
          </w:p>
        </w:tc>
        <w:tc>
          <w:tcPr>
            <w:tcW w:w="469" w:type="pct"/>
            <w:tcBorders>
              <w:top w:val="single" w:sz="8" w:space="0" w:color="auto"/>
              <w:left w:val="single" w:sz="8" w:space="0" w:color="auto"/>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604</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Transferta korrente të brendshme</w:t>
            </w:r>
          </w:p>
        </w:tc>
        <w:tc>
          <w:tcPr>
            <w:tcW w:w="469" w:type="pct"/>
            <w:tcBorders>
              <w:top w:val="single" w:sz="8" w:space="0" w:color="auto"/>
              <w:left w:val="single" w:sz="8" w:space="0" w:color="auto"/>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605</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Transferta korrente të huaja</w:t>
            </w:r>
          </w:p>
        </w:tc>
        <w:tc>
          <w:tcPr>
            <w:tcW w:w="469" w:type="pct"/>
            <w:tcBorders>
              <w:top w:val="single" w:sz="8" w:space="0" w:color="auto"/>
              <w:left w:val="single" w:sz="8" w:space="0" w:color="auto"/>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606</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Trans për buxh. fam. &amp; individ</w:t>
            </w:r>
          </w:p>
        </w:tc>
        <w:tc>
          <w:tcPr>
            <w:tcW w:w="469" w:type="pct"/>
            <w:tcBorders>
              <w:top w:val="single" w:sz="8" w:space="0" w:color="auto"/>
              <w:left w:val="single" w:sz="8" w:space="0" w:color="auto"/>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993300"/>
                <w:sz w:val="16"/>
                <w:szCs w:val="16"/>
                <w:lang w:val="sq-AL" w:eastAsia="sq-AL"/>
              </w:rPr>
            </w:pPr>
            <w:r>
              <w:rPr>
                <w:rFonts w:ascii="Garamond" w:eastAsia="Times New Roman" w:hAnsi="Garamond"/>
                <w:b/>
                <w:bCs/>
                <w:i/>
                <w:iCs/>
                <w:color w:val="993300"/>
                <w:sz w:val="16"/>
                <w:szCs w:val="16"/>
                <w:lang w:val="sq-AL" w:eastAsia="sq-AL"/>
              </w:rPr>
              <w:t>Nëntotali</w:t>
            </w:r>
          </w:p>
        </w:tc>
        <w:tc>
          <w:tcPr>
            <w:tcW w:w="1232" w:type="pct"/>
            <w:tcBorders>
              <w:top w:val="nil"/>
              <w:left w:val="nil"/>
              <w:bottom w:val="single" w:sz="8" w:space="0" w:color="auto"/>
              <w:right w:val="nil"/>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993300"/>
                <w:sz w:val="16"/>
                <w:szCs w:val="16"/>
                <w:lang w:val="sq-AL" w:eastAsia="sq-AL"/>
              </w:rPr>
            </w:pPr>
            <w:r>
              <w:rPr>
                <w:rFonts w:ascii="Garamond" w:eastAsia="Times New Roman" w:hAnsi="Garamond"/>
                <w:b/>
                <w:bCs/>
                <w:i/>
                <w:iCs/>
                <w:color w:val="993300"/>
                <w:sz w:val="16"/>
                <w:szCs w:val="16"/>
                <w:lang w:val="sq-AL" w:eastAsia="sq-AL"/>
              </w:rPr>
              <w:t>Shpenzime korrente</w:t>
            </w:r>
          </w:p>
        </w:tc>
        <w:tc>
          <w:tcPr>
            <w:tcW w:w="469" w:type="pct"/>
            <w:tcBorders>
              <w:top w:val="single" w:sz="8" w:space="0" w:color="auto"/>
              <w:left w:val="single" w:sz="8" w:space="0" w:color="auto"/>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993300"/>
                <w:sz w:val="16"/>
                <w:szCs w:val="16"/>
                <w:lang w:val="sq-AL" w:eastAsia="sq-AL"/>
              </w:rPr>
            </w:pPr>
            <w:r>
              <w:rPr>
                <w:rFonts w:ascii="Garamond" w:eastAsia="Times New Roman" w:hAnsi="Garamond"/>
                <w:b/>
                <w:bCs/>
                <w:i/>
                <w:iCs/>
                <w:color w:val="993300"/>
                <w:sz w:val="16"/>
                <w:szCs w:val="16"/>
                <w:lang w:val="sq-AL" w:eastAsia="sq-AL"/>
              </w:rPr>
              <w:t>0</w:t>
            </w:r>
          </w:p>
        </w:tc>
        <w:tc>
          <w:tcPr>
            <w:tcW w:w="511"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993300"/>
                <w:sz w:val="16"/>
                <w:szCs w:val="16"/>
                <w:lang w:val="sq-AL" w:eastAsia="sq-AL"/>
              </w:rPr>
            </w:pPr>
            <w:r>
              <w:rPr>
                <w:rFonts w:ascii="Garamond" w:eastAsia="Times New Roman" w:hAnsi="Garamond"/>
                <w:b/>
                <w:bCs/>
                <w:i/>
                <w:iCs/>
                <w:color w:val="993300"/>
                <w:sz w:val="16"/>
                <w:szCs w:val="16"/>
                <w:lang w:val="sq-AL" w:eastAsia="sq-AL"/>
              </w:rPr>
              <w:t>0</w:t>
            </w:r>
          </w:p>
        </w:tc>
        <w:tc>
          <w:tcPr>
            <w:tcW w:w="511"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993300"/>
                <w:sz w:val="16"/>
                <w:szCs w:val="16"/>
                <w:lang w:val="sq-AL" w:eastAsia="sq-AL"/>
              </w:rPr>
            </w:pPr>
            <w:r>
              <w:rPr>
                <w:rFonts w:ascii="Garamond" w:eastAsia="Times New Roman" w:hAnsi="Garamond"/>
                <w:b/>
                <w:bCs/>
                <w:i/>
                <w:iCs/>
                <w:color w:val="993300"/>
                <w:sz w:val="16"/>
                <w:szCs w:val="16"/>
                <w:lang w:val="sq-AL" w:eastAsia="sq-AL"/>
              </w:rPr>
              <w:t>0</w:t>
            </w:r>
          </w:p>
        </w:tc>
        <w:tc>
          <w:tcPr>
            <w:tcW w:w="469"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993300"/>
                <w:sz w:val="16"/>
                <w:szCs w:val="16"/>
                <w:lang w:val="sq-AL" w:eastAsia="sq-AL"/>
              </w:rPr>
            </w:pPr>
            <w:r>
              <w:rPr>
                <w:rFonts w:ascii="Garamond" w:eastAsia="Times New Roman" w:hAnsi="Garamond"/>
                <w:b/>
                <w:bCs/>
                <w:i/>
                <w:iCs/>
                <w:color w:val="993300"/>
                <w:sz w:val="16"/>
                <w:szCs w:val="16"/>
                <w:lang w:val="sq-AL" w:eastAsia="sq-AL"/>
              </w:rPr>
              <w:t>0</w:t>
            </w:r>
          </w:p>
        </w:tc>
        <w:tc>
          <w:tcPr>
            <w:tcW w:w="516"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993300"/>
                <w:sz w:val="16"/>
                <w:szCs w:val="16"/>
                <w:lang w:val="sq-AL" w:eastAsia="sq-AL"/>
              </w:rPr>
            </w:pPr>
            <w:r>
              <w:rPr>
                <w:rFonts w:ascii="Garamond" w:eastAsia="Times New Roman" w:hAnsi="Garamond"/>
                <w:b/>
                <w:bCs/>
                <w:i/>
                <w:iCs/>
                <w:color w:val="993300"/>
                <w:sz w:val="16"/>
                <w:szCs w:val="16"/>
                <w:lang w:val="sq-AL" w:eastAsia="sq-AL"/>
              </w:rPr>
              <w:t>0</w:t>
            </w:r>
          </w:p>
        </w:tc>
        <w:tc>
          <w:tcPr>
            <w:tcW w:w="51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993300"/>
                <w:sz w:val="16"/>
                <w:szCs w:val="16"/>
                <w:lang w:val="sq-AL" w:eastAsia="sq-AL"/>
              </w:rPr>
            </w:pPr>
            <w:r>
              <w:rPr>
                <w:rFonts w:ascii="Garamond" w:eastAsia="Times New Roman" w:hAnsi="Garamond"/>
                <w:b/>
                <w:bCs/>
                <w:i/>
                <w:iCs/>
                <w:color w:val="993300"/>
                <w:sz w:val="16"/>
                <w:szCs w:val="16"/>
                <w:lang w:val="sq-AL" w:eastAsia="sq-AL"/>
              </w:rPr>
              <w:t>0</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230</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Kapitale të patrupëzuara</w:t>
            </w:r>
          </w:p>
        </w:tc>
        <w:tc>
          <w:tcPr>
            <w:tcW w:w="469" w:type="pct"/>
            <w:tcBorders>
              <w:top w:val="single" w:sz="8" w:space="0" w:color="auto"/>
              <w:left w:val="single" w:sz="8" w:space="0" w:color="auto"/>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231</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Kapitale të trupëzuara</w:t>
            </w:r>
          </w:p>
        </w:tc>
        <w:tc>
          <w:tcPr>
            <w:tcW w:w="469" w:type="pct"/>
            <w:tcBorders>
              <w:top w:val="single" w:sz="8" w:space="0" w:color="auto"/>
              <w:left w:val="single" w:sz="8" w:space="0" w:color="auto"/>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232</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Transferta kapitale</w:t>
            </w:r>
          </w:p>
        </w:tc>
        <w:tc>
          <w:tcPr>
            <w:tcW w:w="469" w:type="pct"/>
            <w:tcBorders>
              <w:top w:val="single" w:sz="8" w:space="0" w:color="auto"/>
              <w:left w:val="single" w:sz="8" w:space="0" w:color="auto"/>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Nëntotali</w:t>
            </w:r>
          </w:p>
        </w:tc>
        <w:tc>
          <w:tcPr>
            <w:tcW w:w="1232" w:type="pct"/>
            <w:tcBorders>
              <w:top w:val="nil"/>
              <w:left w:val="nil"/>
              <w:bottom w:val="single" w:sz="8" w:space="0" w:color="auto"/>
              <w:right w:val="nil"/>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Shpenzime kapitale me financim të brendshëm</w:t>
            </w:r>
          </w:p>
        </w:tc>
        <w:tc>
          <w:tcPr>
            <w:tcW w:w="469" w:type="pct"/>
            <w:tcBorders>
              <w:top w:val="single" w:sz="8" w:space="0" w:color="auto"/>
              <w:left w:val="single" w:sz="8" w:space="0" w:color="auto"/>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0</w:t>
            </w:r>
          </w:p>
        </w:tc>
        <w:tc>
          <w:tcPr>
            <w:tcW w:w="511"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0</w:t>
            </w:r>
          </w:p>
        </w:tc>
        <w:tc>
          <w:tcPr>
            <w:tcW w:w="511"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0</w:t>
            </w:r>
          </w:p>
        </w:tc>
        <w:tc>
          <w:tcPr>
            <w:tcW w:w="469"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0</w:t>
            </w:r>
          </w:p>
        </w:tc>
        <w:tc>
          <w:tcPr>
            <w:tcW w:w="516"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0</w:t>
            </w:r>
          </w:p>
        </w:tc>
        <w:tc>
          <w:tcPr>
            <w:tcW w:w="51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0</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230</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Kapitale të patrupëzuara</w:t>
            </w:r>
          </w:p>
        </w:tc>
        <w:tc>
          <w:tcPr>
            <w:tcW w:w="469" w:type="pct"/>
            <w:tcBorders>
              <w:top w:val="single" w:sz="8" w:space="0" w:color="auto"/>
              <w:left w:val="single" w:sz="8" w:space="0" w:color="auto"/>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231</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Kapitale të trupëzuara</w:t>
            </w:r>
          </w:p>
        </w:tc>
        <w:tc>
          <w:tcPr>
            <w:tcW w:w="469" w:type="pct"/>
            <w:tcBorders>
              <w:top w:val="single" w:sz="8" w:space="0" w:color="auto"/>
              <w:left w:val="single" w:sz="8" w:space="0" w:color="auto"/>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232</w:t>
            </w:r>
          </w:p>
        </w:tc>
        <w:tc>
          <w:tcPr>
            <w:tcW w:w="1232" w:type="pct"/>
            <w:tcBorders>
              <w:top w:val="nil"/>
              <w:left w:val="nil"/>
              <w:bottom w:val="single" w:sz="8" w:space="0" w:color="auto"/>
              <w:right w:val="nil"/>
            </w:tcBorders>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Transferta kapitale</w:t>
            </w:r>
          </w:p>
        </w:tc>
        <w:tc>
          <w:tcPr>
            <w:tcW w:w="469" w:type="pct"/>
            <w:tcBorders>
              <w:top w:val="single" w:sz="8" w:space="0" w:color="auto"/>
              <w:left w:val="single" w:sz="8" w:space="0" w:color="auto"/>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517"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 </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Nëntotali</w:t>
            </w:r>
          </w:p>
        </w:tc>
        <w:tc>
          <w:tcPr>
            <w:tcW w:w="1232" w:type="pct"/>
            <w:tcBorders>
              <w:top w:val="nil"/>
              <w:left w:val="nil"/>
              <w:bottom w:val="single" w:sz="8" w:space="0" w:color="auto"/>
              <w:right w:val="nil"/>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Shpenzime kapitale me financim të huaj</w:t>
            </w:r>
          </w:p>
        </w:tc>
        <w:tc>
          <w:tcPr>
            <w:tcW w:w="469" w:type="pct"/>
            <w:tcBorders>
              <w:top w:val="single" w:sz="8" w:space="0" w:color="auto"/>
              <w:left w:val="single" w:sz="8" w:space="0" w:color="auto"/>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0</w:t>
            </w:r>
          </w:p>
        </w:tc>
        <w:tc>
          <w:tcPr>
            <w:tcW w:w="511"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0</w:t>
            </w:r>
          </w:p>
        </w:tc>
        <w:tc>
          <w:tcPr>
            <w:tcW w:w="511"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0</w:t>
            </w:r>
          </w:p>
        </w:tc>
        <w:tc>
          <w:tcPr>
            <w:tcW w:w="469"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0</w:t>
            </w:r>
          </w:p>
        </w:tc>
        <w:tc>
          <w:tcPr>
            <w:tcW w:w="516"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0</w:t>
            </w:r>
          </w:p>
        </w:tc>
        <w:tc>
          <w:tcPr>
            <w:tcW w:w="51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000000"/>
                <w:sz w:val="16"/>
                <w:szCs w:val="16"/>
                <w:lang w:val="sq-AL" w:eastAsia="sq-AL"/>
              </w:rPr>
            </w:pPr>
            <w:r>
              <w:rPr>
                <w:rFonts w:ascii="Garamond" w:eastAsia="Times New Roman" w:hAnsi="Garamond"/>
                <w:b/>
                <w:bCs/>
                <w:i/>
                <w:iCs/>
                <w:color w:val="000000"/>
                <w:sz w:val="16"/>
                <w:szCs w:val="16"/>
                <w:lang w:val="sq-AL" w:eastAsia="sq-AL"/>
              </w:rPr>
              <w:t>0</w:t>
            </w:r>
          </w:p>
        </w:tc>
        <w:tc>
          <w:tcPr>
            <w:tcW w:w="357" w:type="pct"/>
            <w:tcBorders>
              <w:top w:val="single" w:sz="8" w:space="0" w:color="auto"/>
              <w:left w:val="nil"/>
              <w:bottom w:val="single" w:sz="8" w:space="0" w:color="auto"/>
              <w:right w:val="single" w:sz="8" w:space="0" w:color="000000"/>
            </w:tcBorders>
            <w:shd w:val="clear" w:color="auto" w:fill="C0C0C0"/>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shd w:val="clear" w:color="auto" w:fill="C0C0C0"/>
            <w:vAlign w:val="center"/>
            <w:hideMark/>
          </w:tcPr>
          <w:p w:rsidR="00413F0B" w:rsidRDefault="00413F0B">
            <w:pPr>
              <w:spacing w:after="0" w:line="240" w:lineRule="auto"/>
              <w:ind w:firstLine="0"/>
              <w:jc w:val="center"/>
              <w:rPr>
                <w:rFonts w:ascii="Garamond" w:eastAsia="Times New Roman" w:hAnsi="Garamond"/>
                <w:b/>
                <w:bCs/>
                <w:i/>
                <w:iCs/>
                <w:color w:val="993300"/>
                <w:sz w:val="16"/>
                <w:szCs w:val="16"/>
                <w:lang w:val="sq-AL" w:eastAsia="sq-AL"/>
              </w:rPr>
            </w:pPr>
            <w:r>
              <w:rPr>
                <w:rFonts w:ascii="Garamond" w:eastAsia="Times New Roman" w:hAnsi="Garamond"/>
                <w:b/>
                <w:bCs/>
                <w:i/>
                <w:iCs/>
                <w:color w:val="993300"/>
                <w:sz w:val="16"/>
                <w:szCs w:val="16"/>
                <w:lang w:val="sq-AL" w:eastAsia="sq-AL"/>
              </w:rPr>
              <w:t>Totali</w:t>
            </w:r>
          </w:p>
        </w:tc>
        <w:tc>
          <w:tcPr>
            <w:tcW w:w="1232" w:type="pct"/>
            <w:tcBorders>
              <w:top w:val="nil"/>
              <w:left w:val="nil"/>
              <w:bottom w:val="single" w:sz="8" w:space="0" w:color="auto"/>
              <w:right w:val="nil"/>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Shpenzime kapitale</w:t>
            </w:r>
          </w:p>
        </w:tc>
        <w:tc>
          <w:tcPr>
            <w:tcW w:w="469" w:type="pct"/>
            <w:tcBorders>
              <w:top w:val="single" w:sz="8" w:space="0" w:color="auto"/>
              <w:left w:val="single" w:sz="8" w:space="0" w:color="auto"/>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c>
          <w:tcPr>
            <w:tcW w:w="511" w:type="pct"/>
            <w:tcBorders>
              <w:top w:val="single" w:sz="8" w:space="0" w:color="auto"/>
              <w:left w:val="nil"/>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c>
          <w:tcPr>
            <w:tcW w:w="511" w:type="pct"/>
            <w:tcBorders>
              <w:top w:val="single" w:sz="8" w:space="0" w:color="auto"/>
              <w:left w:val="nil"/>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c>
          <w:tcPr>
            <w:tcW w:w="469" w:type="pct"/>
            <w:tcBorders>
              <w:top w:val="single" w:sz="8" w:space="0" w:color="auto"/>
              <w:left w:val="nil"/>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c>
          <w:tcPr>
            <w:tcW w:w="516" w:type="pct"/>
            <w:tcBorders>
              <w:top w:val="single" w:sz="8" w:space="0" w:color="auto"/>
              <w:left w:val="nil"/>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c>
          <w:tcPr>
            <w:tcW w:w="517" w:type="pct"/>
            <w:tcBorders>
              <w:top w:val="single" w:sz="8" w:space="0" w:color="auto"/>
              <w:left w:val="nil"/>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c>
          <w:tcPr>
            <w:tcW w:w="357" w:type="pct"/>
            <w:tcBorders>
              <w:top w:val="single" w:sz="8" w:space="0" w:color="auto"/>
              <w:left w:val="nil"/>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r>
      <w:tr w:rsidR="00413F0B" w:rsidTr="00413F0B">
        <w:trPr>
          <w:trHeight w:val="139"/>
        </w:trPr>
        <w:tc>
          <w:tcPr>
            <w:tcW w:w="1651" w:type="pct"/>
            <w:gridSpan w:val="2"/>
            <w:tcBorders>
              <w:top w:val="single" w:sz="8" w:space="0" w:color="auto"/>
              <w:left w:val="single" w:sz="8" w:space="0" w:color="auto"/>
              <w:bottom w:val="single" w:sz="8" w:space="0" w:color="auto"/>
              <w:right w:val="nil"/>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Totali (korrente + kapitale )</w:t>
            </w:r>
          </w:p>
        </w:tc>
        <w:tc>
          <w:tcPr>
            <w:tcW w:w="469" w:type="pct"/>
            <w:tcBorders>
              <w:top w:val="single" w:sz="8" w:space="0" w:color="auto"/>
              <w:left w:val="single" w:sz="8" w:space="0" w:color="auto"/>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c>
          <w:tcPr>
            <w:tcW w:w="511" w:type="pct"/>
            <w:tcBorders>
              <w:top w:val="single" w:sz="8" w:space="0" w:color="auto"/>
              <w:left w:val="nil"/>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c>
          <w:tcPr>
            <w:tcW w:w="511" w:type="pct"/>
            <w:tcBorders>
              <w:top w:val="single" w:sz="8" w:space="0" w:color="auto"/>
              <w:left w:val="nil"/>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c>
          <w:tcPr>
            <w:tcW w:w="469" w:type="pct"/>
            <w:tcBorders>
              <w:top w:val="single" w:sz="8" w:space="0" w:color="auto"/>
              <w:left w:val="nil"/>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c>
          <w:tcPr>
            <w:tcW w:w="516" w:type="pct"/>
            <w:tcBorders>
              <w:top w:val="single" w:sz="8" w:space="0" w:color="auto"/>
              <w:left w:val="nil"/>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c>
          <w:tcPr>
            <w:tcW w:w="517" w:type="pct"/>
            <w:tcBorders>
              <w:top w:val="single" w:sz="8" w:space="0" w:color="auto"/>
              <w:left w:val="nil"/>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c>
          <w:tcPr>
            <w:tcW w:w="357" w:type="pct"/>
            <w:tcBorders>
              <w:top w:val="single" w:sz="8" w:space="0" w:color="auto"/>
              <w:left w:val="nil"/>
              <w:bottom w:val="single" w:sz="8" w:space="0" w:color="auto"/>
              <w:right w:val="single" w:sz="8" w:space="0" w:color="000000"/>
            </w:tcBorders>
            <w:shd w:val="clear" w:color="auto" w:fill="969696"/>
            <w:vAlign w:val="center"/>
            <w:hideMark/>
          </w:tcPr>
          <w:p w:rsidR="00413F0B" w:rsidRDefault="00413F0B">
            <w:pPr>
              <w:spacing w:after="0" w:line="240" w:lineRule="auto"/>
              <w:ind w:firstLine="0"/>
              <w:jc w:val="center"/>
              <w:rPr>
                <w:rFonts w:ascii="Garamond" w:eastAsia="Times New Roman" w:hAnsi="Garamond"/>
                <w:b/>
                <w:bCs/>
                <w:color w:val="993300"/>
                <w:sz w:val="16"/>
                <w:szCs w:val="16"/>
                <w:lang w:val="sq-AL" w:eastAsia="sq-AL"/>
              </w:rPr>
            </w:pPr>
            <w:r>
              <w:rPr>
                <w:rFonts w:ascii="Garamond" w:eastAsia="Times New Roman" w:hAnsi="Garamond"/>
                <w:b/>
                <w:bCs/>
                <w:color w:val="993300"/>
                <w:sz w:val="16"/>
                <w:szCs w:val="16"/>
                <w:lang w:val="sq-AL" w:eastAsia="sq-AL"/>
              </w:rPr>
              <w:t>0</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Drejtuesi i Ekipit Menaxhues të Programit</w:t>
            </w:r>
          </w:p>
        </w:tc>
        <w:tc>
          <w:tcPr>
            <w:tcW w:w="1232" w:type="pct"/>
            <w:tcBorders>
              <w:top w:val="nil"/>
              <w:left w:val="nil"/>
              <w:bottom w:val="single" w:sz="8" w:space="0" w:color="auto"/>
              <w:right w:val="single" w:sz="8"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Emri</w:t>
            </w:r>
          </w:p>
        </w:tc>
        <w:tc>
          <w:tcPr>
            <w:tcW w:w="979" w:type="pct"/>
            <w:gridSpan w:val="2"/>
            <w:tcBorders>
              <w:top w:val="single" w:sz="8" w:space="0" w:color="auto"/>
              <w:left w:val="nil"/>
              <w:bottom w:val="single" w:sz="8" w:space="0" w:color="auto"/>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Kryetari i Njësisë Vetëqeverisjes Vendore</w:t>
            </w:r>
          </w:p>
        </w:tc>
        <w:tc>
          <w:tcPr>
            <w:tcW w:w="511" w:type="pct"/>
            <w:tcBorders>
              <w:top w:val="single" w:sz="8" w:space="0" w:color="auto"/>
              <w:left w:val="nil"/>
              <w:bottom w:val="single" w:sz="8" w:space="0" w:color="auto"/>
              <w:right w:val="single" w:sz="8" w:space="0" w:color="000000"/>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Emri</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tcBorders>
              <w:top w:val="single" w:sz="8" w:space="0" w:color="auto"/>
              <w:left w:val="nil"/>
              <w:bottom w:val="nil"/>
              <w:right w:val="nil"/>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tcBorders>
              <w:top w:val="single" w:sz="8" w:space="0" w:color="auto"/>
              <w:left w:val="nil"/>
              <w:bottom w:val="nil"/>
              <w:right w:val="nil"/>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1232" w:type="pct"/>
            <w:tcBorders>
              <w:top w:val="nil"/>
              <w:left w:val="nil"/>
              <w:bottom w:val="single" w:sz="8" w:space="0" w:color="auto"/>
              <w:right w:val="single" w:sz="8"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Firma</w:t>
            </w:r>
          </w:p>
        </w:tc>
        <w:tc>
          <w:tcPr>
            <w:tcW w:w="979" w:type="pct"/>
            <w:gridSpan w:val="2"/>
            <w:tcBorders>
              <w:top w:val="single" w:sz="8" w:space="0" w:color="auto"/>
              <w:left w:val="nil"/>
              <w:bottom w:val="single" w:sz="8" w:space="0" w:color="auto"/>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Firma</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vAlign w:val="center"/>
            <w:hideMark/>
          </w:tcPr>
          <w:p w:rsidR="00413F0B" w:rsidRDefault="00413F0B">
            <w:pPr>
              <w:rPr>
                <w:rFonts w:ascii="Garamond" w:eastAsia="Times New Roman" w:hAnsi="Garamond"/>
                <w:color w:val="000000"/>
                <w:sz w:val="16"/>
                <w:szCs w:val="16"/>
                <w:lang w:val="sq-AL" w:eastAsia="sq-AL"/>
              </w:rPr>
            </w:pPr>
          </w:p>
        </w:tc>
      </w:tr>
      <w:tr w:rsidR="00413F0B" w:rsidTr="00413F0B">
        <w:trPr>
          <w:trHeight w:val="139"/>
        </w:trPr>
        <w:tc>
          <w:tcPr>
            <w:tcW w:w="419" w:type="pct"/>
            <w:tcBorders>
              <w:top w:val="nil"/>
              <w:left w:val="single" w:sz="8"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1232" w:type="pct"/>
            <w:tcBorders>
              <w:top w:val="nil"/>
              <w:left w:val="nil"/>
              <w:bottom w:val="single" w:sz="8" w:space="0" w:color="auto"/>
              <w:right w:val="single" w:sz="8"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Data</w:t>
            </w:r>
          </w:p>
        </w:tc>
        <w:tc>
          <w:tcPr>
            <w:tcW w:w="979" w:type="pct"/>
            <w:gridSpan w:val="2"/>
            <w:tcBorders>
              <w:top w:val="single" w:sz="8" w:space="0" w:color="auto"/>
              <w:left w:val="nil"/>
              <w:bottom w:val="single" w:sz="8" w:space="0" w:color="auto"/>
              <w:right w:val="single" w:sz="8" w:space="0" w:color="000000"/>
            </w:tcBorders>
            <w:vAlign w:val="center"/>
            <w:hideMark/>
          </w:tcPr>
          <w:p w:rsidR="00413F0B" w:rsidRDefault="00413F0B">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511" w:type="pct"/>
            <w:tcBorders>
              <w:top w:val="single" w:sz="8" w:space="0" w:color="auto"/>
              <w:left w:val="nil"/>
              <w:bottom w:val="single" w:sz="8" w:space="0" w:color="auto"/>
              <w:right w:val="single" w:sz="8" w:space="0" w:color="000000"/>
            </w:tcBorders>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Data</w:t>
            </w:r>
          </w:p>
        </w:tc>
        <w:tc>
          <w:tcPr>
            <w:tcW w:w="469"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6" w:type="pct"/>
            <w:tcBorders>
              <w:top w:val="single" w:sz="8" w:space="0" w:color="auto"/>
              <w:left w:val="nil"/>
              <w:bottom w:val="single" w:sz="8" w:space="0" w:color="auto"/>
              <w:right w:val="single" w:sz="8"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517" w:type="pct"/>
            <w:vAlign w:val="center"/>
            <w:hideMark/>
          </w:tcPr>
          <w:p w:rsidR="00413F0B" w:rsidRDefault="00413F0B">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7" w:type="pct"/>
            <w:vAlign w:val="center"/>
            <w:hideMark/>
          </w:tcPr>
          <w:p w:rsidR="00413F0B" w:rsidRDefault="00413F0B">
            <w:pPr>
              <w:rPr>
                <w:rFonts w:ascii="Garamond" w:eastAsia="Times New Roman" w:hAnsi="Garamond"/>
                <w:color w:val="000000"/>
                <w:sz w:val="16"/>
                <w:szCs w:val="16"/>
                <w:lang w:val="sq-AL" w:eastAsia="sq-AL"/>
              </w:rPr>
            </w:pPr>
          </w:p>
        </w:tc>
      </w:tr>
    </w:tbl>
    <w:p w:rsidR="00413F0B" w:rsidRDefault="00413F0B" w:rsidP="00413F0B">
      <w:pPr>
        <w:ind w:firstLine="0"/>
        <w:rPr>
          <w:rFonts w:ascii="Times New Roman" w:hAnsi="Times New Roman"/>
          <w:sz w:val="24"/>
          <w:szCs w:val="24"/>
          <w:lang w:val="sq-AL"/>
        </w:rPr>
      </w:pPr>
    </w:p>
    <w:p w:rsidR="00413F0B" w:rsidRDefault="00413F0B" w:rsidP="00413F0B">
      <w:pPr>
        <w:ind w:firstLine="0"/>
        <w:rPr>
          <w:lang w:val="sq-AL"/>
        </w:rPr>
      </w:pPr>
    </w:p>
    <w:p w:rsidR="00413F0B" w:rsidRDefault="00413F0B" w:rsidP="00413F0B">
      <w:pPr>
        <w:pStyle w:val="Paragrafi"/>
        <w:rPr>
          <w:lang w:val="sq-AL"/>
        </w:rPr>
      </w:pPr>
    </w:p>
    <w:p w:rsidR="00413F0B" w:rsidRDefault="00413F0B" w:rsidP="00413F0B">
      <w:pPr>
        <w:pStyle w:val="Paragrafi"/>
        <w:ind w:firstLine="0"/>
        <w:rPr>
          <w:lang w:val="sq-AL"/>
        </w:rPr>
      </w:pPr>
    </w:p>
    <w:p w:rsidR="00413F0B" w:rsidRDefault="00413F0B" w:rsidP="00413F0B">
      <w:pPr>
        <w:pStyle w:val="Paragrafi"/>
        <w:ind w:firstLine="0"/>
        <w:rPr>
          <w:lang w:val="sq-AL"/>
        </w:rPr>
      </w:pPr>
    </w:p>
    <w:p w:rsidR="00413F0B" w:rsidRDefault="00413F0B" w:rsidP="00413F0B">
      <w:pPr>
        <w:pStyle w:val="Paragrafi"/>
        <w:ind w:firstLine="0"/>
        <w:rPr>
          <w:lang w:val="sq-AL"/>
        </w:rPr>
      </w:pPr>
    </w:p>
    <w:p w:rsidR="00413F0B" w:rsidRDefault="00413F0B" w:rsidP="00413F0B">
      <w:pPr>
        <w:pStyle w:val="Paragrafi"/>
        <w:ind w:firstLine="0"/>
        <w:rPr>
          <w:lang w:val="sq-AL"/>
        </w:rPr>
      </w:pPr>
    </w:p>
    <w:tbl>
      <w:tblPr>
        <w:tblW w:w="5000" w:type="pct"/>
        <w:tblLook w:val="04A0" w:firstRow="1" w:lastRow="0" w:firstColumn="1" w:lastColumn="0" w:noHBand="0" w:noVBand="1"/>
      </w:tblPr>
      <w:tblGrid>
        <w:gridCol w:w="878"/>
        <w:gridCol w:w="216"/>
        <w:gridCol w:w="1392"/>
        <w:gridCol w:w="1028"/>
        <w:gridCol w:w="664"/>
        <w:gridCol w:w="216"/>
        <w:gridCol w:w="843"/>
        <w:gridCol w:w="914"/>
        <w:gridCol w:w="612"/>
        <w:gridCol w:w="794"/>
        <w:gridCol w:w="216"/>
        <w:gridCol w:w="586"/>
        <w:gridCol w:w="652"/>
        <w:gridCol w:w="794"/>
        <w:gridCol w:w="652"/>
        <w:gridCol w:w="612"/>
        <w:gridCol w:w="794"/>
        <w:gridCol w:w="638"/>
        <w:gridCol w:w="694"/>
        <w:gridCol w:w="216"/>
        <w:gridCol w:w="546"/>
        <w:gridCol w:w="784"/>
        <w:gridCol w:w="659"/>
      </w:tblGrid>
      <w:tr w:rsidR="00413F0B" w:rsidTr="00413F0B">
        <w:trPr>
          <w:trHeight w:val="139"/>
        </w:trPr>
        <w:tc>
          <w:tcPr>
            <w:tcW w:w="5000" w:type="pct"/>
            <w:gridSpan w:val="23"/>
            <w:noWrap/>
            <w:vAlign w:val="bottom"/>
            <w:hideMark/>
          </w:tcPr>
          <w:p w:rsidR="00413F0B" w:rsidRDefault="00413F0B">
            <w:pPr>
              <w:spacing w:after="0" w:line="240" w:lineRule="auto"/>
              <w:ind w:firstLine="0"/>
              <w:jc w:val="center"/>
              <w:rPr>
                <w:rFonts w:ascii="Garamond" w:eastAsia="Times New Roman" w:hAnsi="Garamond"/>
                <w:bCs/>
                <w:sz w:val="24"/>
                <w:szCs w:val="24"/>
                <w:lang w:val="sq-AL" w:eastAsia="sq-AL"/>
              </w:rPr>
            </w:pPr>
            <w:r>
              <w:rPr>
                <w:rFonts w:ascii="Garamond" w:eastAsia="Times New Roman" w:hAnsi="Garamond"/>
                <w:bCs/>
                <w:sz w:val="24"/>
                <w:szCs w:val="24"/>
                <w:lang w:val="sq-AL" w:eastAsia="sq-AL"/>
              </w:rPr>
              <w:lastRenderedPageBreak/>
              <w:t>ANEKSI NR. 3</w:t>
            </w:r>
          </w:p>
          <w:p w:rsidR="00413F0B" w:rsidRDefault="00413F0B">
            <w:pPr>
              <w:spacing w:after="0" w:line="240" w:lineRule="auto"/>
              <w:ind w:firstLine="0"/>
              <w:jc w:val="center"/>
              <w:rPr>
                <w:rFonts w:ascii="Garamond" w:eastAsia="Times New Roman" w:hAnsi="Garamond"/>
                <w:bCs/>
                <w:sz w:val="24"/>
                <w:szCs w:val="24"/>
                <w:lang w:val="sq-AL" w:eastAsia="sq-AL"/>
              </w:rPr>
            </w:pPr>
            <w:r>
              <w:rPr>
                <w:rFonts w:ascii="Garamond" w:eastAsia="Times New Roman" w:hAnsi="Garamond"/>
                <w:bCs/>
                <w:sz w:val="24"/>
                <w:szCs w:val="24"/>
                <w:lang w:val="sq-AL" w:eastAsia="sq-AL"/>
              </w:rPr>
              <w:t>RAPORTI PËRMBLEDHËS I REALIZIMIT TË TREGUESVE TË PERFORMANCËS/PRODUKTEVE TË PROGRAMIT</w:t>
            </w:r>
          </w:p>
        </w:tc>
      </w:tr>
      <w:tr w:rsidR="00413F0B" w:rsidTr="00413F0B">
        <w:trPr>
          <w:trHeight w:val="30"/>
        </w:trPr>
        <w:tc>
          <w:tcPr>
            <w:tcW w:w="216" w:type="pct"/>
            <w:noWrap/>
            <w:vAlign w:val="bottom"/>
            <w:hideMark/>
          </w:tcPr>
          <w:p w:rsidR="00413F0B" w:rsidRDefault="00413F0B">
            <w:pPr>
              <w:rPr>
                <w:rFonts w:ascii="Garamond" w:eastAsia="Times New Roman" w:hAnsi="Garamond"/>
                <w:bCs/>
                <w:sz w:val="24"/>
                <w:szCs w:val="24"/>
                <w:lang w:val="sq-AL" w:eastAsia="sq-AL"/>
              </w:rPr>
            </w:pPr>
          </w:p>
        </w:tc>
        <w:tc>
          <w:tcPr>
            <w:tcW w:w="410"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2"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409"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3"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1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43"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216" w:type="pct"/>
            <w:tcBorders>
              <w:top w:val="single" w:sz="4" w:space="0" w:color="auto"/>
              <w:left w:val="single" w:sz="8" w:space="0" w:color="auto"/>
              <w:bottom w:val="single" w:sz="4" w:space="0" w:color="auto"/>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Emri i Grupit</w:t>
            </w:r>
          </w:p>
        </w:tc>
        <w:tc>
          <w:tcPr>
            <w:tcW w:w="410" w:type="pct"/>
            <w:gridSpan w:val="2"/>
            <w:tcBorders>
              <w:top w:val="single" w:sz="4" w:space="0" w:color="auto"/>
              <w:left w:val="nil"/>
              <w:bottom w:val="single" w:sz="4" w:space="0" w:color="auto"/>
              <w:right w:val="nil"/>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w:t>
            </w:r>
          </w:p>
        </w:tc>
        <w:tc>
          <w:tcPr>
            <w:tcW w:w="272" w:type="pct"/>
            <w:tcBorders>
              <w:top w:val="single" w:sz="4" w:space="0" w:color="auto"/>
              <w:left w:val="single" w:sz="4" w:space="0" w:color="auto"/>
              <w:bottom w:val="single" w:sz="4" w:space="0" w:color="auto"/>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Kodi i grupit</w:t>
            </w:r>
          </w:p>
        </w:tc>
        <w:tc>
          <w:tcPr>
            <w:tcW w:w="409" w:type="pct"/>
            <w:gridSpan w:val="2"/>
            <w:tcBorders>
              <w:top w:val="single" w:sz="4" w:space="0" w:color="auto"/>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w:t>
            </w:r>
          </w:p>
        </w:tc>
        <w:tc>
          <w:tcPr>
            <w:tcW w:w="226" w:type="pct"/>
            <w:noWrap/>
            <w:vAlign w:val="bottom"/>
            <w:hideMark/>
          </w:tcPr>
          <w:p w:rsidR="00413F0B" w:rsidRDefault="00413F0B">
            <w:pPr>
              <w:rPr>
                <w:rFonts w:ascii="Garamond" w:eastAsia="Times New Roman" w:hAnsi="Garamond"/>
                <w:b/>
                <w:bCs/>
                <w:sz w:val="13"/>
                <w:szCs w:val="13"/>
                <w:lang w:val="sq-AL" w:eastAsia="sq-AL"/>
              </w:rPr>
            </w:pPr>
          </w:p>
        </w:tc>
        <w:tc>
          <w:tcPr>
            <w:tcW w:w="3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3"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1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43"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216" w:type="pct"/>
            <w:tcBorders>
              <w:top w:val="nil"/>
              <w:left w:val="single" w:sz="8" w:space="0" w:color="auto"/>
              <w:bottom w:val="nil"/>
              <w:right w:val="nil"/>
            </w:tcBorders>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410" w:type="pct"/>
            <w:gridSpan w:val="2"/>
            <w:noWrap/>
            <w:vAlign w:val="center"/>
            <w:hideMark/>
          </w:tcPr>
          <w:p w:rsidR="00413F0B" w:rsidRDefault="00413F0B">
            <w:pPr>
              <w:rPr>
                <w:rFonts w:ascii="Garamond" w:eastAsia="Times New Roman" w:hAnsi="Garamond"/>
                <w:sz w:val="13"/>
                <w:szCs w:val="13"/>
                <w:lang w:val="sq-AL" w:eastAsia="sq-AL"/>
              </w:rPr>
            </w:pPr>
          </w:p>
        </w:tc>
        <w:tc>
          <w:tcPr>
            <w:tcW w:w="272"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09" w:type="pct"/>
            <w:gridSpan w:val="2"/>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3"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1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43"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216" w:type="pct"/>
            <w:tcBorders>
              <w:top w:val="single" w:sz="4" w:space="0" w:color="auto"/>
              <w:left w:val="single" w:sz="8" w:space="0" w:color="auto"/>
              <w:bottom w:val="single" w:sz="4" w:space="0" w:color="auto"/>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Programi</w:t>
            </w:r>
          </w:p>
        </w:tc>
        <w:tc>
          <w:tcPr>
            <w:tcW w:w="410" w:type="pct"/>
            <w:gridSpan w:val="2"/>
            <w:tcBorders>
              <w:top w:val="single" w:sz="4" w:space="0" w:color="auto"/>
              <w:left w:val="nil"/>
              <w:bottom w:val="single" w:sz="4" w:space="0" w:color="auto"/>
              <w:right w:val="nil"/>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w:t>
            </w:r>
          </w:p>
        </w:tc>
        <w:tc>
          <w:tcPr>
            <w:tcW w:w="272" w:type="pct"/>
            <w:tcBorders>
              <w:top w:val="single" w:sz="4" w:space="0" w:color="auto"/>
              <w:left w:val="single" w:sz="4" w:space="0" w:color="auto"/>
              <w:bottom w:val="single" w:sz="4" w:space="0" w:color="auto"/>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Kodi i programit</w:t>
            </w:r>
          </w:p>
        </w:tc>
        <w:tc>
          <w:tcPr>
            <w:tcW w:w="409" w:type="pct"/>
            <w:gridSpan w:val="2"/>
            <w:tcBorders>
              <w:top w:val="single" w:sz="4" w:space="0" w:color="auto"/>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w:t>
            </w:r>
          </w:p>
        </w:tc>
        <w:tc>
          <w:tcPr>
            <w:tcW w:w="226" w:type="pct"/>
            <w:noWrap/>
            <w:vAlign w:val="bottom"/>
            <w:hideMark/>
          </w:tcPr>
          <w:p w:rsidR="00413F0B" w:rsidRDefault="00413F0B">
            <w:pPr>
              <w:spacing w:after="0" w:line="240" w:lineRule="auto"/>
              <w:ind w:firstLine="0"/>
              <w:jc w:val="left"/>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w:t>
            </w:r>
          </w:p>
        </w:tc>
        <w:tc>
          <w:tcPr>
            <w:tcW w:w="363" w:type="pct"/>
            <w:noWrap/>
            <w:vAlign w:val="bottom"/>
            <w:hideMark/>
          </w:tcPr>
          <w:p w:rsidR="00413F0B" w:rsidRDefault="00413F0B">
            <w:pPr>
              <w:rPr>
                <w:rFonts w:ascii="Garamond" w:eastAsia="Times New Roman" w:hAnsi="Garamond"/>
                <w:b/>
                <w:bCs/>
                <w:sz w:val="13"/>
                <w:szCs w:val="13"/>
                <w:lang w:val="sq-AL" w:eastAsia="sq-AL"/>
              </w:rPr>
            </w:pPr>
          </w:p>
        </w:tc>
        <w:tc>
          <w:tcPr>
            <w:tcW w:w="27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3"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1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43"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626" w:type="pct"/>
            <w:gridSpan w:val="3"/>
            <w:tcBorders>
              <w:top w:val="nil"/>
              <w:left w:val="nil"/>
              <w:bottom w:val="single" w:sz="8" w:space="0" w:color="auto"/>
              <w:right w:val="nil"/>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272" w:type="pct"/>
            <w:noWrap/>
            <w:vAlign w:val="bottom"/>
            <w:hideMark/>
          </w:tcPr>
          <w:p w:rsidR="00413F0B" w:rsidRDefault="00413F0B">
            <w:pPr>
              <w:rPr>
                <w:rFonts w:ascii="Garamond" w:eastAsia="Times New Roman" w:hAnsi="Garamond"/>
                <w:b/>
                <w:bCs/>
                <w:color w:val="C00000"/>
                <w:sz w:val="13"/>
                <w:szCs w:val="13"/>
                <w:lang w:val="sq-AL" w:eastAsia="sq-AL"/>
              </w:rPr>
            </w:pPr>
          </w:p>
        </w:tc>
        <w:tc>
          <w:tcPr>
            <w:tcW w:w="409"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3"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1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43"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216" w:type="pct"/>
            <w:tcBorders>
              <w:top w:val="nil"/>
              <w:left w:val="single" w:sz="8" w:space="0" w:color="auto"/>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410" w:type="pct"/>
            <w:gridSpan w:val="2"/>
            <w:tcBorders>
              <w:top w:val="nil"/>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Në 000/lekë</w:t>
            </w:r>
          </w:p>
        </w:tc>
        <w:tc>
          <w:tcPr>
            <w:tcW w:w="272" w:type="pct"/>
            <w:tcBorders>
              <w:top w:val="single" w:sz="8" w:space="0" w:color="auto"/>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409" w:type="pct"/>
            <w:gridSpan w:val="2"/>
            <w:tcBorders>
              <w:top w:val="single" w:sz="8" w:space="0" w:color="auto"/>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226" w:type="pct"/>
            <w:tcBorders>
              <w:top w:val="single" w:sz="8" w:space="0" w:color="auto"/>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363" w:type="pct"/>
            <w:tcBorders>
              <w:top w:val="single" w:sz="8" w:space="0" w:color="auto"/>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I</w:t>
            </w:r>
          </w:p>
        </w:tc>
        <w:tc>
          <w:tcPr>
            <w:tcW w:w="275" w:type="pct"/>
            <w:tcBorders>
              <w:top w:val="single" w:sz="8" w:space="0" w:color="auto"/>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226" w:type="pct"/>
            <w:tcBorders>
              <w:top w:val="single" w:sz="8" w:space="0" w:color="auto"/>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273" w:type="pct"/>
            <w:gridSpan w:val="2"/>
            <w:tcBorders>
              <w:top w:val="single" w:sz="8" w:space="0" w:color="auto"/>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II</w:t>
            </w:r>
          </w:p>
        </w:tc>
        <w:tc>
          <w:tcPr>
            <w:tcW w:w="227" w:type="pct"/>
            <w:tcBorders>
              <w:top w:val="single" w:sz="8" w:space="0" w:color="auto"/>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227" w:type="pct"/>
            <w:tcBorders>
              <w:top w:val="single" w:sz="8" w:space="0" w:color="auto"/>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263" w:type="pct"/>
            <w:tcBorders>
              <w:top w:val="single" w:sz="8" w:space="0" w:color="auto"/>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III</w:t>
            </w:r>
          </w:p>
        </w:tc>
        <w:tc>
          <w:tcPr>
            <w:tcW w:w="237" w:type="pct"/>
            <w:tcBorders>
              <w:top w:val="single" w:sz="8" w:space="0" w:color="auto"/>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227" w:type="pct"/>
            <w:tcBorders>
              <w:top w:val="single" w:sz="8" w:space="0" w:color="auto"/>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226" w:type="pct"/>
            <w:tcBorders>
              <w:top w:val="single" w:sz="8" w:space="0" w:color="auto"/>
              <w:left w:val="nil"/>
              <w:bottom w:val="single" w:sz="8"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IV</w:t>
            </w:r>
          </w:p>
        </w:tc>
        <w:tc>
          <w:tcPr>
            <w:tcW w:w="714" w:type="pct"/>
            <w:gridSpan w:val="4"/>
            <w:tcBorders>
              <w:top w:val="single" w:sz="8" w:space="0" w:color="auto"/>
              <w:left w:val="nil"/>
              <w:bottom w:val="single" w:sz="8" w:space="0" w:color="auto"/>
              <w:right w:val="single" w:sz="8" w:space="0" w:color="000000"/>
            </w:tcBorders>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Luhatjet në koston për njësi</w:t>
            </w:r>
          </w:p>
        </w:tc>
        <w:tc>
          <w:tcPr>
            <w:tcW w:w="209" w:type="pct"/>
            <w:vMerge w:val="restart"/>
            <w:tcBorders>
              <w:top w:val="single" w:sz="8" w:space="0" w:color="auto"/>
              <w:left w:val="single" w:sz="8" w:space="0" w:color="auto"/>
              <w:bottom w:val="single" w:sz="4" w:space="0" w:color="000000"/>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Komente</w:t>
            </w:r>
          </w:p>
        </w:tc>
      </w:tr>
      <w:tr w:rsidR="00413F0B" w:rsidTr="00413F0B">
        <w:trPr>
          <w:trHeight w:val="158"/>
        </w:trPr>
        <w:tc>
          <w:tcPr>
            <w:tcW w:w="216" w:type="pct"/>
            <w:vMerge w:val="restart"/>
            <w:tcBorders>
              <w:top w:val="nil"/>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Kodi</w:t>
            </w:r>
          </w:p>
        </w:tc>
        <w:tc>
          <w:tcPr>
            <w:tcW w:w="410" w:type="pct"/>
            <w:gridSpan w:val="2"/>
            <w:vMerge w:val="restart"/>
            <w:tcBorders>
              <w:top w:val="nil"/>
              <w:left w:val="single" w:sz="4" w:space="0" w:color="auto"/>
              <w:bottom w:val="single" w:sz="4" w:space="0" w:color="auto"/>
              <w:right w:val="nil"/>
            </w:tcBorders>
            <w:vAlign w:val="center"/>
            <w:hideMark/>
          </w:tcPr>
          <w:p w:rsidR="00413F0B" w:rsidRDefault="00413F0B">
            <w:pPr>
              <w:tabs>
                <w:tab w:val="left" w:pos="523"/>
              </w:tabs>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Emërtimi i treguesit të performancës/</w:t>
            </w:r>
          </w:p>
          <w:p w:rsidR="00413F0B" w:rsidRDefault="00413F0B">
            <w:pPr>
              <w:tabs>
                <w:tab w:val="left" w:pos="523"/>
              </w:tabs>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produktit</w:t>
            </w:r>
          </w:p>
        </w:tc>
        <w:tc>
          <w:tcPr>
            <w:tcW w:w="272" w:type="pct"/>
            <w:vMerge w:val="restart"/>
            <w:tcBorders>
              <w:top w:val="nil"/>
              <w:left w:val="single" w:sz="8" w:space="0" w:color="auto"/>
              <w:bottom w:val="single" w:sz="4" w:space="0" w:color="auto"/>
              <w:right w:val="nil"/>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Njësia matëse </w:t>
            </w:r>
          </w:p>
        </w:tc>
        <w:tc>
          <w:tcPr>
            <w:tcW w:w="409" w:type="pct"/>
            <w:gridSpan w:val="2"/>
            <w:vMerge w:val="restart"/>
            <w:tcBorders>
              <w:top w:val="nil"/>
              <w:left w:val="single" w:sz="12"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Sasia faktike (sipas vitit </w:t>
            </w:r>
            <w:r>
              <w:rPr>
                <w:rFonts w:ascii="Garamond" w:eastAsia="Times New Roman" w:hAnsi="Garamond"/>
                <w:b/>
                <w:bCs/>
                <w:color w:val="993300"/>
                <w:sz w:val="13"/>
                <w:szCs w:val="13"/>
                <w:lang w:val="sq-AL" w:eastAsia="sq-AL"/>
              </w:rPr>
              <w:t>paraardhëse</w:t>
            </w:r>
            <w:r>
              <w:rPr>
                <w:rFonts w:ascii="Garamond" w:eastAsia="Times New Roman" w:hAnsi="Garamond"/>
                <w:b/>
                <w:bCs/>
                <w:sz w:val="13"/>
                <w:szCs w:val="13"/>
                <w:lang w:val="sq-AL" w:eastAsia="sq-AL"/>
              </w:rPr>
              <w:t>)</w:t>
            </w:r>
          </w:p>
        </w:tc>
        <w:tc>
          <w:tcPr>
            <w:tcW w:w="226" w:type="pct"/>
            <w:vMerge w:val="restart"/>
            <w:tcBorders>
              <w:top w:val="nil"/>
              <w:left w:val="single" w:sz="4"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Shpenzimet </w:t>
            </w:r>
            <w:r>
              <w:rPr>
                <w:rFonts w:ascii="Garamond" w:eastAsia="Times New Roman" w:hAnsi="Garamond"/>
                <w:b/>
                <w:bCs/>
                <w:sz w:val="13"/>
                <w:szCs w:val="13"/>
                <w:lang w:val="sq-AL" w:eastAsia="sq-AL"/>
              </w:rPr>
              <w:br/>
              <w:t xml:space="preserve">(sipas vitit </w:t>
            </w:r>
            <w:r>
              <w:rPr>
                <w:rFonts w:ascii="Garamond" w:eastAsia="Times New Roman" w:hAnsi="Garamond"/>
                <w:b/>
                <w:bCs/>
                <w:color w:val="993300"/>
                <w:sz w:val="13"/>
                <w:szCs w:val="13"/>
                <w:lang w:val="sq-AL" w:eastAsia="sq-AL"/>
              </w:rPr>
              <w:t>paraardhëse</w:t>
            </w:r>
            <w:r>
              <w:rPr>
                <w:rFonts w:ascii="Garamond" w:eastAsia="Times New Roman" w:hAnsi="Garamond"/>
                <w:b/>
                <w:bCs/>
                <w:sz w:val="13"/>
                <w:szCs w:val="13"/>
                <w:lang w:val="sq-AL" w:eastAsia="sq-AL"/>
              </w:rPr>
              <w:t>)</w:t>
            </w:r>
          </w:p>
        </w:tc>
        <w:tc>
          <w:tcPr>
            <w:tcW w:w="363" w:type="pct"/>
            <w:vMerge w:val="restart"/>
            <w:tcBorders>
              <w:top w:val="nil"/>
              <w:left w:val="single" w:sz="4" w:space="0" w:color="auto"/>
              <w:bottom w:val="single" w:sz="4" w:space="0" w:color="auto"/>
              <w:right w:val="single" w:sz="12"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Kosto për njësi (sipas vitit </w:t>
            </w:r>
            <w:r>
              <w:rPr>
                <w:rFonts w:ascii="Garamond" w:eastAsia="Times New Roman" w:hAnsi="Garamond"/>
                <w:b/>
                <w:bCs/>
                <w:color w:val="993300"/>
                <w:sz w:val="13"/>
                <w:szCs w:val="13"/>
                <w:lang w:val="sq-AL" w:eastAsia="sq-AL"/>
              </w:rPr>
              <w:t>paraardhës</w:t>
            </w:r>
            <w:r>
              <w:rPr>
                <w:rFonts w:ascii="Garamond" w:eastAsia="Times New Roman" w:hAnsi="Garamond"/>
                <w:b/>
                <w:bCs/>
                <w:sz w:val="13"/>
                <w:szCs w:val="13"/>
                <w:lang w:val="sq-AL" w:eastAsia="sq-AL"/>
              </w:rPr>
              <w:t>)</w:t>
            </w:r>
          </w:p>
        </w:tc>
        <w:tc>
          <w:tcPr>
            <w:tcW w:w="275" w:type="pct"/>
            <w:vMerge w:val="restart"/>
            <w:tcBorders>
              <w:top w:val="nil"/>
              <w:left w:val="single" w:sz="12"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Sasia (sipas </w:t>
            </w:r>
            <w:r>
              <w:rPr>
                <w:rFonts w:ascii="Garamond" w:eastAsia="Times New Roman" w:hAnsi="Garamond"/>
                <w:b/>
                <w:bCs/>
                <w:color w:val="993300"/>
                <w:sz w:val="13"/>
                <w:szCs w:val="13"/>
                <w:lang w:val="sq-AL" w:eastAsia="sq-AL"/>
              </w:rPr>
              <w:t>planit</w:t>
            </w:r>
            <w:r>
              <w:rPr>
                <w:rFonts w:ascii="Garamond" w:eastAsia="Times New Roman" w:hAnsi="Garamond"/>
                <w:b/>
                <w:bCs/>
                <w:sz w:val="13"/>
                <w:szCs w:val="13"/>
                <w:lang w:val="sq-AL" w:eastAsia="sq-AL"/>
              </w:rPr>
              <w:t xml:space="preserve"> të vitit korrent)</w:t>
            </w:r>
          </w:p>
        </w:tc>
        <w:tc>
          <w:tcPr>
            <w:tcW w:w="226" w:type="pct"/>
            <w:vMerge w:val="restart"/>
            <w:tcBorders>
              <w:top w:val="nil"/>
              <w:left w:val="single" w:sz="4"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Shpenzimet </w:t>
            </w:r>
            <w:r>
              <w:rPr>
                <w:rFonts w:ascii="Garamond" w:eastAsia="Times New Roman" w:hAnsi="Garamond"/>
                <w:b/>
                <w:bCs/>
                <w:sz w:val="13"/>
                <w:szCs w:val="13"/>
                <w:lang w:val="sq-AL" w:eastAsia="sq-AL"/>
              </w:rPr>
              <w:br/>
              <w:t xml:space="preserve">(sipas </w:t>
            </w:r>
            <w:r>
              <w:rPr>
                <w:rFonts w:ascii="Garamond" w:eastAsia="Times New Roman" w:hAnsi="Garamond"/>
                <w:b/>
                <w:bCs/>
                <w:color w:val="993300"/>
                <w:sz w:val="13"/>
                <w:szCs w:val="13"/>
                <w:lang w:val="sq-AL" w:eastAsia="sq-AL"/>
              </w:rPr>
              <w:t xml:space="preserve">planit </w:t>
            </w:r>
            <w:r>
              <w:rPr>
                <w:rFonts w:ascii="Garamond" w:eastAsia="Times New Roman" w:hAnsi="Garamond"/>
                <w:b/>
                <w:bCs/>
                <w:sz w:val="13"/>
                <w:szCs w:val="13"/>
                <w:lang w:val="sq-AL" w:eastAsia="sq-AL"/>
              </w:rPr>
              <w:t>të vitit korrent)</w:t>
            </w:r>
          </w:p>
        </w:tc>
        <w:tc>
          <w:tcPr>
            <w:tcW w:w="273" w:type="pct"/>
            <w:gridSpan w:val="2"/>
            <w:vMerge w:val="restart"/>
            <w:tcBorders>
              <w:top w:val="nil"/>
              <w:left w:val="single" w:sz="4" w:space="0" w:color="auto"/>
              <w:bottom w:val="single" w:sz="4" w:space="0" w:color="auto"/>
              <w:right w:val="single" w:sz="12"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Kosto për njësi </w:t>
            </w:r>
            <w:r>
              <w:rPr>
                <w:rFonts w:ascii="Garamond" w:eastAsia="Times New Roman" w:hAnsi="Garamond"/>
                <w:b/>
                <w:bCs/>
                <w:sz w:val="13"/>
                <w:szCs w:val="13"/>
                <w:lang w:val="sq-AL" w:eastAsia="sq-AL"/>
              </w:rPr>
              <w:br/>
              <w:t xml:space="preserve">(sipas </w:t>
            </w:r>
            <w:r>
              <w:rPr>
                <w:rFonts w:ascii="Garamond" w:eastAsia="Times New Roman" w:hAnsi="Garamond"/>
                <w:b/>
                <w:bCs/>
                <w:color w:val="993300"/>
                <w:sz w:val="13"/>
                <w:szCs w:val="13"/>
                <w:lang w:val="sq-AL" w:eastAsia="sq-AL"/>
              </w:rPr>
              <w:t>planit</w:t>
            </w:r>
            <w:r>
              <w:rPr>
                <w:rFonts w:ascii="Garamond" w:eastAsia="Times New Roman" w:hAnsi="Garamond"/>
                <w:b/>
                <w:bCs/>
                <w:sz w:val="13"/>
                <w:szCs w:val="13"/>
                <w:lang w:val="sq-AL" w:eastAsia="sq-AL"/>
              </w:rPr>
              <w:t xml:space="preserve"> të vitit korrent)</w:t>
            </w:r>
          </w:p>
        </w:tc>
        <w:tc>
          <w:tcPr>
            <w:tcW w:w="227" w:type="pct"/>
            <w:vMerge w:val="restart"/>
            <w:tcBorders>
              <w:top w:val="nil"/>
              <w:left w:val="single" w:sz="12"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Sasia (sipas </w:t>
            </w:r>
            <w:r>
              <w:rPr>
                <w:rFonts w:ascii="Garamond" w:eastAsia="Times New Roman" w:hAnsi="Garamond"/>
                <w:b/>
                <w:bCs/>
                <w:color w:val="993300"/>
                <w:sz w:val="13"/>
                <w:szCs w:val="13"/>
                <w:lang w:val="sq-AL" w:eastAsia="sq-AL"/>
              </w:rPr>
              <w:t>planit</w:t>
            </w:r>
            <w:r>
              <w:rPr>
                <w:rFonts w:ascii="Garamond" w:eastAsia="Times New Roman" w:hAnsi="Garamond"/>
                <w:b/>
                <w:bCs/>
                <w:sz w:val="13"/>
                <w:szCs w:val="13"/>
                <w:lang w:val="sq-AL" w:eastAsia="sq-AL"/>
              </w:rPr>
              <w:t xml:space="preserve"> </w:t>
            </w:r>
            <w:r>
              <w:rPr>
                <w:rFonts w:ascii="Garamond" w:eastAsia="Times New Roman" w:hAnsi="Garamond"/>
                <w:b/>
                <w:bCs/>
                <w:color w:val="993300"/>
                <w:sz w:val="13"/>
                <w:szCs w:val="13"/>
                <w:lang w:val="sq-AL" w:eastAsia="sq-AL"/>
              </w:rPr>
              <w:t>të rishikuar</w:t>
            </w:r>
            <w:r>
              <w:rPr>
                <w:rFonts w:ascii="Garamond" w:eastAsia="Times New Roman" w:hAnsi="Garamond"/>
                <w:b/>
                <w:bCs/>
                <w:sz w:val="13"/>
                <w:szCs w:val="13"/>
                <w:lang w:val="sq-AL" w:eastAsia="sq-AL"/>
              </w:rPr>
              <w:t xml:space="preserve"> të vitit korrent)</w:t>
            </w:r>
          </w:p>
        </w:tc>
        <w:tc>
          <w:tcPr>
            <w:tcW w:w="227" w:type="pct"/>
            <w:vMerge w:val="restart"/>
            <w:tcBorders>
              <w:top w:val="nil"/>
              <w:left w:val="single" w:sz="4"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Shpenzimet </w:t>
            </w:r>
            <w:r>
              <w:rPr>
                <w:rFonts w:ascii="Garamond" w:eastAsia="Times New Roman" w:hAnsi="Garamond"/>
                <w:b/>
                <w:bCs/>
                <w:sz w:val="13"/>
                <w:szCs w:val="13"/>
                <w:lang w:val="sq-AL" w:eastAsia="sq-AL"/>
              </w:rPr>
              <w:br/>
              <w:t xml:space="preserve">(sipas </w:t>
            </w:r>
            <w:r>
              <w:rPr>
                <w:rFonts w:ascii="Garamond" w:eastAsia="Times New Roman" w:hAnsi="Garamond"/>
                <w:b/>
                <w:bCs/>
                <w:color w:val="993300"/>
                <w:sz w:val="13"/>
                <w:szCs w:val="13"/>
                <w:lang w:val="sq-AL" w:eastAsia="sq-AL"/>
              </w:rPr>
              <w:t xml:space="preserve">planit të rishikuar </w:t>
            </w:r>
            <w:r>
              <w:rPr>
                <w:rFonts w:ascii="Garamond" w:eastAsia="Times New Roman" w:hAnsi="Garamond"/>
                <w:b/>
                <w:bCs/>
                <w:sz w:val="13"/>
                <w:szCs w:val="13"/>
                <w:lang w:val="sq-AL" w:eastAsia="sq-AL"/>
              </w:rPr>
              <w:t>të vitit korrent)</w:t>
            </w:r>
          </w:p>
        </w:tc>
        <w:tc>
          <w:tcPr>
            <w:tcW w:w="263" w:type="pct"/>
            <w:vMerge w:val="restart"/>
            <w:tcBorders>
              <w:top w:val="nil"/>
              <w:left w:val="single" w:sz="4" w:space="0" w:color="auto"/>
              <w:bottom w:val="single" w:sz="4" w:space="0" w:color="auto"/>
              <w:right w:val="single" w:sz="12"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Kosto për njësi (sipas </w:t>
            </w:r>
            <w:r>
              <w:rPr>
                <w:rFonts w:ascii="Garamond" w:eastAsia="Times New Roman" w:hAnsi="Garamond"/>
                <w:b/>
                <w:bCs/>
                <w:color w:val="993300"/>
                <w:sz w:val="13"/>
                <w:szCs w:val="13"/>
                <w:lang w:val="sq-AL" w:eastAsia="sq-AL"/>
              </w:rPr>
              <w:t>planit të rishikuar</w:t>
            </w:r>
            <w:r>
              <w:rPr>
                <w:rFonts w:ascii="Garamond" w:eastAsia="Times New Roman" w:hAnsi="Garamond"/>
                <w:b/>
                <w:bCs/>
                <w:sz w:val="13"/>
                <w:szCs w:val="13"/>
                <w:lang w:val="sq-AL" w:eastAsia="sq-AL"/>
              </w:rPr>
              <w:t xml:space="preserve"> të vitit korrent)</w:t>
            </w:r>
          </w:p>
        </w:tc>
        <w:tc>
          <w:tcPr>
            <w:tcW w:w="237" w:type="pct"/>
            <w:vMerge w:val="restart"/>
            <w:tcBorders>
              <w:top w:val="nil"/>
              <w:left w:val="single" w:sz="12"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Sasia </w:t>
            </w:r>
            <w:r>
              <w:rPr>
                <w:rFonts w:ascii="Garamond" w:eastAsia="Times New Roman" w:hAnsi="Garamond"/>
                <w:b/>
                <w:bCs/>
                <w:color w:val="993300"/>
                <w:sz w:val="13"/>
                <w:szCs w:val="13"/>
                <w:lang w:val="sq-AL" w:eastAsia="sq-AL"/>
              </w:rPr>
              <w:t>faktike</w:t>
            </w:r>
            <w:r>
              <w:rPr>
                <w:rFonts w:ascii="Garamond" w:eastAsia="Times New Roman" w:hAnsi="Garamond"/>
                <w:b/>
                <w:bCs/>
                <w:sz w:val="13"/>
                <w:szCs w:val="13"/>
                <w:lang w:val="sq-AL" w:eastAsia="sq-AL"/>
              </w:rPr>
              <w:t xml:space="preserve"> (në fund të vitit korrent)</w:t>
            </w:r>
          </w:p>
        </w:tc>
        <w:tc>
          <w:tcPr>
            <w:tcW w:w="227" w:type="pct"/>
            <w:vMerge w:val="restart"/>
            <w:tcBorders>
              <w:top w:val="nil"/>
              <w:left w:val="single" w:sz="4"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Shpenzimet </w:t>
            </w:r>
            <w:r>
              <w:rPr>
                <w:rFonts w:ascii="Garamond" w:eastAsia="Times New Roman" w:hAnsi="Garamond"/>
                <w:b/>
                <w:bCs/>
                <w:color w:val="993300"/>
                <w:sz w:val="13"/>
                <w:szCs w:val="13"/>
                <w:lang w:val="sq-AL" w:eastAsia="sq-AL"/>
              </w:rPr>
              <w:t>faktike</w:t>
            </w:r>
            <w:r>
              <w:rPr>
                <w:rFonts w:ascii="Garamond" w:eastAsia="Times New Roman" w:hAnsi="Garamond"/>
                <w:b/>
                <w:bCs/>
                <w:sz w:val="13"/>
                <w:szCs w:val="13"/>
                <w:lang w:val="sq-AL" w:eastAsia="sq-AL"/>
              </w:rPr>
              <w:t xml:space="preserve"> (në fund të vitit korrent)</w:t>
            </w:r>
          </w:p>
        </w:tc>
        <w:tc>
          <w:tcPr>
            <w:tcW w:w="226" w:type="pct"/>
            <w:vMerge w:val="restart"/>
            <w:tcBorders>
              <w:top w:val="nil"/>
              <w:left w:val="single" w:sz="4" w:space="0" w:color="auto"/>
              <w:bottom w:val="single" w:sz="4" w:space="0" w:color="auto"/>
              <w:right w:val="single" w:sz="12"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Kosto për njësi </w:t>
            </w:r>
            <w:r>
              <w:rPr>
                <w:rFonts w:ascii="Garamond" w:eastAsia="Times New Roman" w:hAnsi="Garamond"/>
                <w:b/>
                <w:bCs/>
                <w:color w:val="993300"/>
                <w:sz w:val="13"/>
                <w:szCs w:val="13"/>
                <w:lang w:val="sq-AL" w:eastAsia="sq-AL"/>
              </w:rPr>
              <w:t>faktike</w:t>
            </w:r>
            <w:r>
              <w:rPr>
                <w:rFonts w:ascii="Garamond" w:eastAsia="Times New Roman" w:hAnsi="Garamond"/>
                <w:b/>
                <w:bCs/>
                <w:sz w:val="13"/>
                <w:szCs w:val="13"/>
                <w:lang w:val="sq-AL" w:eastAsia="sq-AL"/>
              </w:rPr>
              <w:t xml:space="preserve"> (në fund të vitit korrent)</w:t>
            </w:r>
          </w:p>
        </w:tc>
        <w:tc>
          <w:tcPr>
            <w:tcW w:w="227" w:type="pct"/>
            <w:gridSpan w:val="2"/>
            <w:vMerge w:val="restart"/>
            <w:tcBorders>
              <w:top w:val="nil"/>
              <w:left w:val="single" w:sz="12" w:space="0" w:color="auto"/>
              <w:bottom w:val="single" w:sz="4" w:space="0" w:color="auto"/>
              <w:right w:val="single" w:sz="4" w:space="0" w:color="auto"/>
            </w:tcBorders>
            <w:shd w:val="clear" w:color="auto" w:fill="D9D9D9"/>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V = IV - I</w:t>
            </w:r>
          </w:p>
        </w:tc>
        <w:tc>
          <w:tcPr>
            <w:tcW w:w="229" w:type="pct"/>
            <w:vMerge w:val="restart"/>
            <w:tcBorders>
              <w:top w:val="nil"/>
              <w:left w:val="nil"/>
              <w:bottom w:val="single" w:sz="4" w:space="0" w:color="auto"/>
              <w:right w:val="single" w:sz="4" w:space="0" w:color="auto"/>
            </w:tcBorders>
            <w:shd w:val="clear" w:color="auto" w:fill="D9D9D9"/>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V = IV - II</w:t>
            </w:r>
          </w:p>
        </w:tc>
        <w:tc>
          <w:tcPr>
            <w:tcW w:w="258" w:type="pct"/>
            <w:vMerge w:val="restart"/>
            <w:tcBorders>
              <w:top w:val="nil"/>
              <w:left w:val="nil"/>
              <w:bottom w:val="single" w:sz="4" w:space="0" w:color="auto"/>
              <w:right w:val="single" w:sz="12" w:space="0" w:color="auto"/>
            </w:tcBorders>
            <w:shd w:val="clear" w:color="auto" w:fill="D9D9D9"/>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V = IV - III</w:t>
            </w:r>
          </w:p>
        </w:tc>
        <w:tc>
          <w:tcPr>
            <w:tcW w:w="0" w:type="auto"/>
            <w:vMerge/>
            <w:tcBorders>
              <w:top w:val="single" w:sz="8" w:space="0" w:color="auto"/>
              <w:left w:val="single" w:sz="8" w:space="0" w:color="auto"/>
              <w:bottom w:val="single" w:sz="4" w:space="0" w:color="000000"/>
              <w:right w:val="single" w:sz="8"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r>
      <w:tr w:rsidR="00413F0B" w:rsidTr="00413F0B">
        <w:trPr>
          <w:trHeight w:val="423"/>
        </w:trPr>
        <w:tc>
          <w:tcPr>
            <w:tcW w:w="0" w:type="auto"/>
            <w:vMerge/>
            <w:tcBorders>
              <w:top w:val="nil"/>
              <w:left w:val="single" w:sz="8"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gridSpan w:val="2"/>
            <w:vMerge/>
            <w:tcBorders>
              <w:top w:val="nil"/>
              <w:left w:val="single" w:sz="4" w:space="0" w:color="auto"/>
              <w:bottom w:val="single" w:sz="4" w:space="0" w:color="auto"/>
              <w:right w:val="nil"/>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8" w:space="0" w:color="auto"/>
              <w:bottom w:val="single" w:sz="4" w:space="0" w:color="auto"/>
              <w:right w:val="nil"/>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gridSpan w:val="2"/>
            <w:vMerge/>
            <w:tcBorders>
              <w:top w:val="nil"/>
              <w:left w:val="single" w:sz="12"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12"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12"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gridSpan w:val="2"/>
            <w:vMerge/>
            <w:tcBorders>
              <w:top w:val="nil"/>
              <w:left w:val="single" w:sz="4" w:space="0" w:color="auto"/>
              <w:bottom w:val="single" w:sz="4" w:space="0" w:color="auto"/>
              <w:right w:val="single" w:sz="12"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12"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12"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12"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12"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gridSpan w:val="2"/>
            <w:vMerge/>
            <w:tcBorders>
              <w:top w:val="nil"/>
              <w:left w:val="single" w:sz="12"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color w:val="C00000"/>
                <w:sz w:val="13"/>
                <w:szCs w:val="13"/>
                <w:lang w:val="sq-AL" w:eastAsia="sq-AL"/>
              </w:rPr>
            </w:pPr>
          </w:p>
        </w:tc>
        <w:tc>
          <w:tcPr>
            <w:tcW w:w="0" w:type="auto"/>
            <w:vMerge/>
            <w:tcBorders>
              <w:top w:val="nil"/>
              <w:left w:val="nil"/>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color w:val="C00000"/>
                <w:sz w:val="13"/>
                <w:szCs w:val="13"/>
                <w:lang w:val="sq-AL" w:eastAsia="sq-AL"/>
              </w:rPr>
            </w:pPr>
          </w:p>
        </w:tc>
        <w:tc>
          <w:tcPr>
            <w:tcW w:w="0" w:type="auto"/>
            <w:vMerge/>
            <w:tcBorders>
              <w:top w:val="nil"/>
              <w:left w:val="nil"/>
              <w:bottom w:val="single" w:sz="4" w:space="0" w:color="auto"/>
              <w:right w:val="single" w:sz="12" w:space="0" w:color="auto"/>
            </w:tcBorders>
            <w:vAlign w:val="center"/>
            <w:hideMark/>
          </w:tcPr>
          <w:p w:rsidR="00413F0B" w:rsidRDefault="00413F0B">
            <w:pPr>
              <w:spacing w:after="0"/>
              <w:ind w:firstLine="0"/>
              <w:jc w:val="left"/>
              <w:rPr>
                <w:rFonts w:ascii="Garamond" w:eastAsia="Times New Roman" w:hAnsi="Garamond"/>
                <w:b/>
                <w:bCs/>
                <w:color w:val="C00000"/>
                <w:sz w:val="13"/>
                <w:szCs w:val="13"/>
                <w:lang w:val="sq-AL" w:eastAsia="sq-AL"/>
              </w:rPr>
            </w:pPr>
          </w:p>
        </w:tc>
        <w:tc>
          <w:tcPr>
            <w:tcW w:w="0" w:type="auto"/>
            <w:vMerge/>
            <w:tcBorders>
              <w:top w:val="single" w:sz="8" w:space="0" w:color="auto"/>
              <w:left w:val="single" w:sz="8" w:space="0" w:color="auto"/>
              <w:bottom w:val="single" w:sz="4" w:space="0" w:color="000000"/>
              <w:right w:val="single" w:sz="8"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r>
      <w:tr w:rsidR="00413F0B" w:rsidTr="00413F0B">
        <w:trPr>
          <w:trHeight w:val="139"/>
        </w:trPr>
        <w:tc>
          <w:tcPr>
            <w:tcW w:w="216" w:type="pct"/>
            <w:tcBorders>
              <w:top w:val="nil"/>
              <w:left w:val="single" w:sz="8" w:space="0" w:color="auto"/>
              <w:bottom w:val="single" w:sz="4" w:space="0" w:color="auto"/>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A</w:t>
            </w:r>
          </w:p>
        </w:tc>
        <w:tc>
          <w:tcPr>
            <w:tcW w:w="410" w:type="pct"/>
            <w:gridSpan w:val="2"/>
            <w:tcBorders>
              <w:top w:val="nil"/>
              <w:left w:val="nil"/>
              <w:bottom w:val="single" w:sz="4" w:space="0" w:color="auto"/>
              <w:right w:val="nil"/>
            </w:tcBorders>
            <w:shd w:val="clear" w:color="auto" w:fill="FFFFCC"/>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Produkti ....</w:t>
            </w:r>
          </w:p>
        </w:tc>
        <w:tc>
          <w:tcPr>
            <w:tcW w:w="272" w:type="pct"/>
            <w:tcBorders>
              <w:top w:val="nil"/>
              <w:left w:val="single" w:sz="8" w:space="0" w:color="auto"/>
              <w:bottom w:val="single" w:sz="4" w:space="0" w:color="auto"/>
              <w:right w:val="nil"/>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409" w:type="pct"/>
            <w:gridSpan w:val="2"/>
            <w:tcBorders>
              <w:top w:val="nil"/>
              <w:left w:val="single" w:sz="12" w:space="0" w:color="auto"/>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6"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363" w:type="pct"/>
            <w:tcBorders>
              <w:top w:val="nil"/>
              <w:left w:val="nil"/>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75"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6"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73" w:type="pct"/>
            <w:gridSpan w:val="2"/>
            <w:tcBorders>
              <w:top w:val="nil"/>
              <w:left w:val="nil"/>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27"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63" w:type="pct"/>
            <w:tcBorders>
              <w:top w:val="nil"/>
              <w:left w:val="nil"/>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37"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6" w:type="pct"/>
            <w:tcBorders>
              <w:top w:val="nil"/>
              <w:left w:val="nil"/>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27" w:type="pct"/>
            <w:gridSpan w:val="2"/>
            <w:tcBorders>
              <w:top w:val="nil"/>
              <w:left w:val="nil"/>
              <w:bottom w:val="single" w:sz="4" w:space="0" w:color="auto"/>
              <w:right w:val="single" w:sz="4"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29" w:type="pct"/>
            <w:tcBorders>
              <w:top w:val="nil"/>
              <w:left w:val="nil"/>
              <w:bottom w:val="single" w:sz="4" w:space="0" w:color="auto"/>
              <w:right w:val="single" w:sz="8"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58" w:type="pct"/>
            <w:tcBorders>
              <w:top w:val="nil"/>
              <w:left w:val="single" w:sz="4" w:space="0" w:color="auto"/>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09" w:type="pct"/>
            <w:tcBorders>
              <w:top w:val="nil"/>
              <w:left w:val="nil"/>
              <w:bottom w:val="single" w:sz="4" w:space="0" w:color="auto"/>
              <w:right w:val="single" w:sz="8"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w:t>
            </w:r>
          </w:p>
        </w:tc>
      </w:tr>
      <w:tr w:rsidR="00413F0B" w:rsidTr="00413F0B">
        <w:trPr>
          <w:trHeight w:val="139"/>
        </w:trPr>
        <w:tc>
          <w:tcPr>
            <w:tcW w:w="216" w:type="pct"/>
            <w:tcBorders>
              <w:top w:val="nil"/>
              <w:left w:val="single" w:sz="8" w:space="0" w:color="auto"/>
              <w:bottom w:val="single" w:sz="4" w:space="0" w:color="auto"/>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B</w:t>
            </w:r>
          </w:p>
        </w:tc>
        <w:tc>
          <w:tcPr>
            <w:tcW w:w="410" w:type="pct"/>
            <w:gridSpan w:val="2"/>
            <w:tcBorders>
              <w:top w:val="nil"/>
              <w:left w:val="nil"/>
              <w:bottom w:val="single" w:sz="4" w:space="0" w:color="auto"/>
              <w:right w:val="nil"/>
            </w:tcBorders>
            <w:shd w:val="clear" w:color="auto" w:fill="FFFFCC"/>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Produkti ....</w:t>
            </w:r>
          </w:p>
        </w:tc>
        <w:tc>
          <w:tcPr>
            <w:tcW w:w="272" w:type="pct"/>
            <w:tcBorders>
              <w:top w:val="nil"/>
              <w:left w:val="single" w:sz="8" w:space="0" w:color="auto"/>
              <w:bottom w:val="single" w:sz="4" w:space="0" w:color="auto"/>
              <w:right w:val="nil"/>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409" w:type="pct"/>
            <w:gridSpan w:val="2"/>
            <w:tcBorders>
              <w:top w:val="nil"/>
              <w:left w:val="single" w:sz="12" w:space="0" w:color="auto"/>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6"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363" w:type="pct"/>
            <w:tcBorders>
              <w:top w:val="nil"/>
              <w:left w:val="nil"/>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75"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6"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73" w:type="pct"/>
            <w:gridSpan w:val="2"/>
            <w:tcBorders>
              <w:top w:val="nil"/>
              <w:left w:val="nil"/>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27"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63" w:type="pct"/>
            <w:tcBorders>
              <w:top w:val="nil"/>
              <w:left w:val="nil"/>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37"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6" w:type="pct"/>
            <w:tcBorders>
              <w:top w:val="nil"/>
              <w:left w:val="nil"/>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27" w:type="pct"/>
            <w:gridSpan w:val="2"/>
            <w:tcBorders>
              <w:top w:val="nil"/>
              <w:left w:val="nil"/>
              <w:bottom w:val="single" w:sz="4" w:space="0" w:color="auto"/>
              <w:right w:val="single" w:sz="4"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29" w:type="pct"/>
            <w:tcBorders>
              <w:top w:val="nil"/>
              <w:left w:val="nil"/>
              <w:bottom w:val="single" w:sz="4" w:space="0" w:color="auto"/>
              <w:right w:val="single" w:sz="8"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58" w:type="pct"/>
            <w:tcBorders>
              <w:top w:val="nil"/>
              <w:left w:val="single" w:sz="4" w:space="0" w:color="auto"/>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09" w:type="pct"/>
            <w:tcBorders>
              <w:top w:val="nil"/>
              <w:left w:val="nil"/>
              <w:bottom w:val="single" w:sz="4" w:space="0" w:color="auto"/>
              <w:right w:val="single" w:sz="8"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w:t>
            </w:r>
          </w:p>
        </w:tc>
      </w:tr>
      <w:tr w:rsidR="00413F0B" w:rsidTr="00413F0B">
        <w:trPr>
          <w:trHeight w:val="139"/>
        </w:trPr>
        <w:tc>
          <w:tcPr>
            <w:tcW w:w="216" w:type="pct"/>
            <w:tcBorders>
              <w:top w:val="nil"/>
              <w:left w:val="single" w:sz="8" w:space="0" w:color="auto"/>
              <w:bottom w:val="single" w:sz="4" w:space="0" w:color="auto"/>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C</w:t>
            </w:r>
          </w:p>
        </w:tc>
        <w:tc>
          <w:tcPr>
            <w:tcW w:w="410" w:type="pct"/>
            <w:gridSpan w:val="2"/>
            <w:tcBorders>
              <w:top w:val="nil"/>
              <w:left w:val="nil"/>
              <w:bottom w:val="single" w:sz="4" w:space="0" w:color="auto"/>
              <w:right w:val="nil"/>
            </w:tcBorders>
            <w:shd w:val="clear" w:color="auto" w:fill="FFFFCC"/>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Treguesi i performancës .....</w:t>
            </w:r>
          </w:p>
        </w:tc>
        <w:tc>
          <w:tcPr>
            <w:tcW w:w="272" w:type="pct"/>
            <w:tcBorders>
              <w:top w:val="nil"/>
              <w:left w:val="single" w:sz="8" w:space="0" w:color="auto"/>
              <w:bottom w:val="single" w:sz="4" w:space="0" w:color="auto"/>
              <w:right w:val="nil"/>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409" w:type="pct"/>
            <w:gridSpan w:val="2"/>
            <w:tcBorders>
              <w:top w:val="nil"/>
              <w:left w:val="single" w:sz="12" w:space="0" w:color="auto"/>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6"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363" w:type="pct"/>
            <w:tcBorders>
              <w:top w:val="nil"/>
              <w:left w:val="nil"/>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75"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6"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73" w:type="pct"/>
            <w:gridSpan w:val="2"/>
            <w:tcBorders>
              <w:top w:val="nil"/>
              <w:left w:val="nil"/>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27"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63" w:type="pct"/>
            <w:tcBorders>
              <w:top w:val="nil"/>
              <w:left w:val="nil"/>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37"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tcBorders>
              <w:top w:val="nil"/>
              <w:left w:val="nil"/>
              <w:bottom w:val="single" w:sz="4"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6" w:type="pct"/>
            <w:tcBorders>
              <w:top w:val="nil"/>
              <w:left w:val="nil"/>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27" w:type="pct"/>
            <w:gridSpan w:val="2"/>
            <w:tcBorders>
              <w:top w:val="nil"/>
              <w:left w:val="nil"/>
              <w:bottom w:val="single" w:sz="4" w:space="0" w:color="auto"/>
              <w:right w:val="single" w:sz="4"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29" w:type="pct"/>
            <w:tcBorders>
              <w:top w:val="nil"/>
              <w:left w:val="nil"/>
              <w:bottom w:val="single" w:sz="4" w:space="0" w:color="auto"/>
              <w:right w:val="single" w:sz="8"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58" w:type="pct"/>
            <w:tcBorders>
              <w:top w:val="nil"/>
              <w:left w:val="single" w:sz="4" w:space="0" w:color="auto"/>
              <w:bottom w:val="single" w:sz="4"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09" w:type="pct"/>
            <w:tcBorders>
              <w:top w:val="nil"/>
              <w:left w:val="nil"/>
              <w:bottom w:val="single" w:sz="4" w:space="0" w:color="auto"/>
              <w:right w:val="single" w:sz="8"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w:t>
            </w:r>
          </w:p>
        </w:tc>
      </w:tr>
      <w:tr w:rsidR="00413F0B" w:rsidTr="00413F0B">
        <w:trPr>
          <w:trHeight w:val="139"/>
        </w:trPr>
        <w:tc>
          <w:tcPr>
            <w:tcW w:w="216" w:type="pct"/>
            <w:tcBorders>
              <w:top w:val="nil"/>
              <w:left w:val="single" w:sz="8" w:space="0" w:color="auto"/>
              <w:bottom w:val="single" w:sz="12" w:space="0" w:color="auto"/>
              <w:right w:val="single" w:sz="4" w:space="0" w:color="auto"/>
            </w:tcBorders>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D</w:t>
            </w:r>
          </w:p>
        </w:tc>
        <w:tc>
          <w:tcPr>
            <w:tcW w:w="410" w:type="pct"/>
            <w:gridSpan w:val="2"/>
            <w:tcBorders>
              <w:top w:val="nil"/>
              <w:left w:val="nil"/>
              <w:bottom w:val="single" w:sz="12" w:space="0" w:color="auto"/>
              <w:right w:val="nil"/>
            </w:tcBorders>
            <w:shd w:val="clear" w:color="auto" w:fill="FFFFCC"/>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Produkti .....</w:t>
            </w:r>
          </w:p>
        </w:tc>
        <w:tc>
          <w:tcPr>
            <w:tcW w:w="272" w:type="pct"/>
            <w:tcBorders>
              <w:top w:val="nil"/>
              <w:left w:val="single" w:sz="8" w:space="0" w:color="auto"/>
              <w:bottom w:val="single" w:sz="12" w:space="0" w:color="auto"/>
              <w:right w:val="nil"/>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409" w:type="pct"/>
            <w:gridSpan w:val="2"/>
            <w:tcBorders>
              <w:top w:val="nil"/>
              <w:left w:val="single" w:sz="12" w:space="0" w:color="auto"/>
              <w:bottom w:val="single" w:sz="12"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6" w:type="pct"/>
            <w:tcBorders>
              <w:top w:val="nil"/>
              <w:left w:val="nil"/>
              <w:bottom w:val="single" w:sz="12"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363" w:type="pct"/>
            <w:tcBorders>
              <w:top w:val="nil"/>
              <w:left w:val="nil"/>
              <w:bottom w:val="single" w:sz="12"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75" w:type="pct"/>
            <w:tcBorders>
              <w:top w:val="nil"/>
              <w:left w:val="nil"/>
              <w:bottom w:val="single" w:sz="12"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6" w:type="pct"/>
            <w:tcBorders>
              <w:top w:val="nil"/>
              <w:left w:val="nil"/>
              <w:bottom w:val="single" w:sz="12"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73" w:type="pct"/>
            <w:gridSpan w:val="2"/>
            <w:tcBorders>
              <w:top w:val="nil"/>
              <w:left w:val="nil"/>
              <w:bottom w:val="single" w:sz="12"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27" w:type="pct"/>
            <w:tcBorders>
              <w:top w:val="nil"/>
              <w:left w:val="nil"/>
              <w:bottom w:val="single" w:sz="12"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tcBorders>
              <w:top w:val="nil"/>
              <w:left w:val="nil"/>
              <w:bottom w:val="single" w:sz="12"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63" w:type="pct"/>
            <w:tcBorders>
              <w:top w:val="nil"/>
              <w:left w:val="nil"/>
              <w:bottom w:val="single" w:sz="12"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37" w:type="pct"/>
            <w:tcBorders>
              <w:top w:val="nil"/>
              <w:left w:val="nil"/>
              <w:bottom w:val="single" w:sz="12"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tcBorders>
              <w:top w:val="nil"/>
              <w:left w:val="nil"/>
              <w:bottom w:val="single" w:sz="12" w:space="0" w:color="auto"/>
              <w:right w:val="single" w:sz="4"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6" w:type="pct"/>
            <w:tcBorders>
              <w:top w:val="nil"/>
              <w:left w:val="nil"/>
              <w:bottom w:val="single" w:sz="12"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27" w:type="pct"/>
            <w:gridSpan w:val="2"/>
            <w:tcBorders>
              <w:top w:val="nil"/>
              <w:left w:val="nil"/>
              <w:bottom w:val="single" w:sz="12" w:space="0" w:color="auto"/>
              <w:right w:val="single" w:sz="4"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29" w:type="pct"/>
            <w:tcBorders>
              <w:top w:val="nil"/>
              <w:left w:val="nil"/>
              <w:bottom w:val="single" w:sz="12" w:space="0" w:color="auto"/>
              <w:right w:val="single" w:sz="8"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58" w:type="pct"/>
            <w:tcBorders>
              <w:top w:val="nil"/>
              <w:left w:val="single" w:sz="4" w:space="0" w:color="auto"/>
              <w:bottom w:val="single" w:sz="12" w:space="0" w:color="auto"/>
              <w:right w:val="single" w:sz="12" w:space="0" w:color="auto"/>
            </w:tcBorders>
            <w:shd w:val="clear" w:color="auto" w:fill="D9D9D9"/>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#DIV/0!</w:t>
            </w:r>
          </w:p>
        </w:tc>
        <w:tc>
          <w:tcPr>
            <w:tcW w:w="209" w:type="pct"/>
            <w:tcBorders>
              <w:top w:val="nil"/>
              <w:left w:val="nil"/>
              <w:bottom w:val="single" w:sz="12" w:space="0" w:color="auto"/>
              <w:right w:val="single" w:sz="8" w:space="0" w:color="auto"/>
            </w:tcBorders>
            <w:shd w:val="clear" w:color="auto" w:fill="FFFFCC"/>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w:t>
            </w:r>
          </w:p>
        </w:tc>
      </w:tr>
      <w:tr w:rsidR="00413F0B" w:rsidTr="00413F0B">
        <w:trPr>
          <w:trHeight w:val="139"/>
        </w:trPr>
        <w:tc>
          <w:tcPr>
            <w:tcW w:w="216" w:type="pct"/>
            <w:noWrap/>
            <w:vAlign w:val="bottom"/>
            <w:hideMark/>
          </w:tcPr>
          <w:p w:rsidR="00413F0B" w:rsidRDefault="00413F0B">
            <w:pPr>
              <w:rPr>
                <w:rFonts w:ascii="Garamond" w:eastAsia="Times New Roman" w:hAnsi="Garamond"/>
                <w:sz w:val="13"/>
                <w:szCs w:val="13"/>
                <w:lang w:val="sq-AL" w:eastAsia="sq-AL"/>
              </w:rPr>
            </w:pPr>
          </w:p>
        </w:tc>
        <w:tc>
          <w:tcPr>
            <w:tcW w:w="410" w:type="pct"/>
            <w:gridSpan w:val="2"/>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272"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409"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3"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21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410"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2"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409"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3"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626" w:type="pct"/>
            <w:gridSpan w:val="3"/>
            <w:vMerge w:val="restart"/>
            <w:tcBorders>
              <w:top w:val="single" w:sz="4" w:space="0" w:color="auto"/>
              <w:left w:val="single" w:sz="4" w:space="0" w:color="auto"/>
              <w:bottom w:val="single" w:sz="4" w:space="0" w:color="000000"/>
              <w:right w:val="single" w:sz="4" w:space="0" w:color="000000"/>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Drejtuesi i Ekipit Menaxhues të Programit</w:t>
            </w:r>
          </w:p>
        </w:tc>
        <w:tc>
          <w:tcPr>
            <w:tcW w:w="272" w:type="pct"/>
            <w:tcBorders>
              <w:top w:val="single" w:sz="4" w:space="0" w:color="auto"/>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Emri</w:t>
            </w:r>
          </w:p>
        </w:tc>
        <w:tc>
          <w:tcPr>
            <w:tcW w:w="635" w:type="pct"/>
            <w:gridSpan w:val="3"/>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363" w:type="pct"/>
            <w:vMerge w:val="restart"/>
            <w:tcBorders>
              <w:top w:val="single" w:sz="4" w:space="0" w:color="auto"/>
              <w:left w:val="single" w:sz="4" w:space="0" w:color="auto"/>
              <w:bottom w:val="single" w:sz="4"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Kryetari i Njësisë së Vetëqeverisjes Vendore</w:t>
            </w:r>
          </w:p>
        </w:tc>
        <w:tc>
          <w:tcPr>
            <w:tcW w:w="275" w:type="pct"/>
            <w:tcBorders>
              <w:top w:val="single" w:sz="4" w:space="0" w:color="auto"/>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Emri</w:t>
            </w:r>
          </w:p>
        </w:tc>
        <w:tc>
          <w:tcPr>
            <w:tcW w:w="499" w:type="pct"/>
            <w:gridSpan w:val="3"/>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noWrap/>
            <w:vAlign w:val="bottom"/>
            <w:hideMark/>
          </w:tcPr>
          <w:p w:rsidR="00413F0B" w:rsidRDefault="00413F0B">
            <w:pPr>
              <w:rPr>
                <w:rFonts w:ascii="Garamond" w:eastAsia="Times New Roman" w:hAnsi="Garamond"/>
                <w:sz w:val="13"/>
                <w:szCs w:val="13"/>
                <w:lang w:val="sq-AL" w:eastAsia="sq-AL"/>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272" w:type="pct"/>
            <w:tcBorders>
              <w:top w:val="nil"/>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Firma</w:t>
            </w:r>
          </w:p>
        </w:tc>
        <w:tc>
          <w:tcPr>
            <w:tcW w:w="635" w:type="pct"/>
            <w:gridSpan w:val="3"/>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275" w:type="pct"/>
            <w:tcBorders>
              <w:top w:val="nil"/>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Firma</w:t>
            </w:r>
          </w:p>
        </w:tc>
        <w:tc>
          <w:tcPr>
            <w:tcW w:w="499" w:type="pct"/>
            <w:gridSpan w:val="3"/>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noWrap/>
            <w:vAlign w:val="bottom"/>
            <w:hideMark/>
          </w:tcPr>
          <w:p w:rsidR="00413F0B" w:rsidRDefault="00413F0B">
            <w:pPr>
              <w:rPr>
                <w:rFonts w:ascii="Garamond" w:eastAsia="Times New Roman" w:hAnsi="Garamond"/>
                <w:sz w:val="13"/>
                <w:szCs w:val="13"/>
                <w:lang w:val="sq-AL" w:eastAsia="sq-AL"/>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272" w:type="pct"/>
            <w:tcBorders>
              <w:top w:val="nil"/>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Data</w:t>
            </w:r>
          </w:p>
        </w:tc>
        <w:tc>
          <w:tcPr>
            <w:tcW w:w="635" w:type="pct"/>
            <w:gridSpan w:val="3"/>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275" w:type="pct"/>
            <w:tcBorders>
              <w:top w:val="nil"/>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Data</w:t>
            </w:r>
          </w:p>
        </w:tc>
        <w:tc>
          <w:tcPr>
            <w:tcW w:w="499" w:type="pct"/>
            <w:gridSpan w:val="3"/>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noWrap/>
            <w:vAlign w:val="bottom"/>
            <w:hideMark/>
          </w:tcPr>
          <w:p w:rsidR="00413F0B" w:rsidRDefault="00413F0B">
            <w:pPr>
              <w:rPr>
                <w:rFonts w:ascii="Garamond" w:eastAsia="Times New Roman" w:hAnsi="Garamond"/>
                <w:sz w:val="13"/>
                <w:szCs w:val="13"/>
                <w:lang w:val="sq-AL" w:eastAsia="sq-AL"/>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262"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2"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8"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4"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8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262"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2"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8"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4"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8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262"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2"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8"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4"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8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262" w:type="pct"/>
            <w:gridSpan w:val="2"/>
            <w:shd w:val="clear" w:color="auto" w:fill="C6E0B4"/>
            <w:noWrap/>
            <w:vAlign w:val="bottom"/>
            <w:hideMark/>
          </w:tcPr>
          <w:p w:rsidR="00413F0B" w:rsidRDefault="00413F0B">
            <w:pPr>
              <w:spacing w:after="0" w:line="240" w:lineRule="auto"/>
              <w:ind w:firstLine="0"/>
              <w:jc w:val="left"/>
              <w:rPr>
                <w:rFonts w:ascii="Garamond" w:eastAsia="Times New Roman" w:hAnsi="Garamond"/>
                <w:b/>
                <w:bCs/>
                <w:sz w:val="13"/>
                <w:szCs w:val="13"/>
                <w:u w:val="single"/>
                <w:lang w:val="sq-AL" w:eastAsia="sq-AL"/>
              </w:rPr>
            </w:pPr>
            <w:r>
              <w:rPr>
                <w:rFonts w:ascii="Garamond" w:eastAsia="Times New Roman" w:hAnsi="Garamond"/>
                <w:b/>
                <w:bCs/>
                <w:sz w:val="13"/>
                <w:szCs w:val="13"/>
                <w:u w:val="single"/>
                <w:lang w:val="sq-AL" w:eastAsia="sq-AL"/>
              </w:rPr>
              <w:t>Shembull:</w:t>
            </w:r>
          </w:p>
        </w:tc>
        <w:tc>
          <w:tcPr>
            <w:tcW w:w="364" w:type="pct"/>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72" w:type="pct"/>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317" w:type="pct"/>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318" w:type="pct"/>
            <w:gridSpan w:val="2"/>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363" w:type="pct"/>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75" w:type="pct"/>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314" w:type="pct"/>
            <w:gridSpan w:val="2"/>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185" w:type="pct"/>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63" w:type="pct"/>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37" w:type="pct"/>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7" w:type="pct"/>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26" w:type="pct"/>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714" w:type="pct"/>
            <w:gridSpan w:val="4"/>
            <w:tcBorders>
              <w:top w:val="nil"/>
              <w:left w:val="nil"/>
              <w:bottom w:val="single" w:sz="8" w:space="0" w:color="auto"/>
              <w:right w:val="nil"/>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Luhatjet në koston për njësi</w:t>
            </w:r>
          </w:p>
        </w:tc>
        <w:tc>
          <w:tcPr>
            <w:tcW w:w="209" w:type="pct"/>
            <w:noWrap/>
            <w:vAlign w:val="bottom"/>
            <w:hideMark/>
          </w:tcPr>
          <w:p w:rsidR="00413F0B" w:rsidRDefault="00413F0B">
            <w:pPr>
              <w:rPr>
                <w:rFonts w:ascii="Garamond" w:eastAsia="Times New Roman" w:hAnsi="Garamond"/>
                <w:b/>
                <w:bCs/>
                <w:color w:val="C00000"/>
                <w:sz w:val="13"/>
                <w:szCs w:val="13"/>
                <w:lang w:val="sq-AL" w:eastAsia="sq-AL"/>
              </w:rPr>
            </w:pPr>
          </w:p>
        </w:tc>
      </w:tr>
      <w:tr w:rsidR="00413F0B" w:rsidTr="00413F0B">
        <w:trPr>
          <w:trHeight w:val="139"/>
        </w:trPr>
        <w:tc>
          <w:tcPr>
            <w:tcW w:w="262" w:type="pct"/>
            <w:gridSpan w:val="2"/>
            <w:tcBorders>
              <w:top w:val="single" w:sz="8" w:space="0" w:color="auto"/>
              <w:left w:val="single" w:sz="8" w:space="0" w:color="auto"/>
              <w:bottom w:val="single" w:sz="8" w:space="0" w:color="auto"/>
              <w:right w:val="nil"/>
            </w:tcBorders>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364" w:type="pct"/>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 </w:t>
            </w:r>
          </w:p>
        </w:tc>
        <w:tc>
          <w:tcPr>
            <w:tcW w:w="272" w:type="pct"/>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317" w:type="pct"/>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318" w:type="pct"/>
            <w:gridSpan w:val="2"/>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363" w:type="pct"/>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I</w:t>
            </w:r>
          </w:p>
        </w:tc>
        <w:tc>
          <w:tcPr>
            <w:tcW w:w="275" w:type="pct"/>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314" w:type="pct"/>
            <w:gridSpan w:val="2"/>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185" w:type="pct"/>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II</w:t>
            </w:r>
          </w:p>
        </w:tc>
        <w:tc>
          <w:tcPr>
            <w:tcW w:w="227" w:type="pct"/>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227" w:type="pct"/>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263" w:type="pct"/>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III</w:t>
            </w:r>
          </w:p>
        </w:tc>
        <w:tc>
          <w:tcPr>
            <w:tcW w:w="237" w:type="pct"/>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227" w:type="pct"/>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w:t>
            </w:r>
          </w:p>
        </w:tc>
        <w:tc>
          <w:tcPr>
            <w:tcW w:w="226" w:type="pct"/>
            <w:tcBorders>
              <w:top w:val="single" w:sz="8" w:space="0" w:color="auto"/>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IV</w:t>
            </w:r>
          </w:p>
        </w:tc>
        <w:tc>
          <w:tcPr>
            <w:tcW w:w="213" w:type="pct"/>
            <w:tcBorders>
              <w:top w:val="nil"/>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V = IV - I</w:t>
            </w:r>
          </w:p>
        </w:tc>
        <w:tc>
          <w:tcPr>
            <w:tcW w:w="243" w:type="pct"/>
            <w:gridSpan w:val="2"/>
            <w:tcBorders>
              <w:top w:val="nil"/>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V = IV - II</w:t>
            </w:r>
          </w:p>
        </w:tc>
        <w:tc>
          <w:tcPr>
            <w:tcW w:w="258" w:type="pct"/>
            <w:tcBorders>
              <w:top w:val="nil"/>
              <w:left w:val="nil"/>
              <w:bottom w:val="single" w:sz="8" w:space="0" w:color="auto"/>
              <w:right w:val="single" w:sz="4" w:space="0" w:color="auto"/>
            </w:tcBorders>
            <w:shd w:val="clear" w:color="auto" w:fill="C6E0B4"/>
            <w:noWrap/>
            <w:vAlign w:val="bottom"/>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V = IV - III</w:t>
            </w:r>
          </w:p>
        </w:tc>
        <w:tc>
          <w:tcPr>
            <w:tcW w:w="209" w:type="pct"/>
            <w:noWrap/>
            <w:vAlign w:val="bottom"/>
            <w:hideMark/>
          </w:tcPr>
          <w:p w:rsidR="00413F0B" w:rsidRDefault="00413F0B">
            <w:pPr>
              <w:rPr>
                <w:rFonts w:ascii="Garamond" w:eastAsia="Times New Roman" w:hAnsi="Garamond"/>
                <w:b/>
                <w:bCs/>
                <w:color w:val="C00000"/>
                <w:sz w:val="13"/>
                <w:szCs w:val="13"/>
                <w:lang w:val="sq-AL" w:eastAsia="sq-AL"/>
              </w:rPr>
            </w:pPr>
          </w:p>
        </w:tc>
      </w:tr>
      <w:tr w:rsidR="00413F0B" w:rsidTr="00413F0B">
        <w:trPr>
          <w:trHeight w:val="139"/>
        </w:trPr>
        <w:tc>
          <w:tcPr>
            <w:tcW w:w="262" w:type="pct"/>
            <w:gridSpan w:val="2"/>
            <w:vMerge w:val="restart"/>
            <w:tcBorders>
              <w:top w:val="nil"/>
              <w:left w:val="single" w:sz="8"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Kodi i Produktit</w:t>
            </w:r>
          </w:p>
        </w:tc>
        <w:tc>
          <w:tcPr>
            <w:tcW w:w="364" w:type="pct"/>
            <w:vMerge w:val="restart"/>
            <w:tcBorders>
              <w:top w:val="nil"/>
              <w:left w:val="single" w:sz="4" w:space="0" w:color="auto"/>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Emërtimi i produktit</w:t>
            </w:r>
          </w:p>
        </w:tc>
        <w:tc>
          <w:tcPr>
            <w:tcW w:w="272" w:type="pct"/>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Njësia matëse </w:t>
            </w:r>
          </w:p>
        </w:tc>
        <w:tc>
          <w:tcPr>
            <w:tcW w:w="317" w:type="pct"/>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Sasia (v.2015)</w:t>
            </w:r>
          </w:p>
        </w:tc>
        <w:tc>
          <w:tcPr>
            <w:tcW w:w="318" w:type="pct"/>
            <w:gridSpan w:val="2"/>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Shpenzimet </w:t>
            </w:r>
            <w:r>
              <w:rPr>
                <w:rFonts w:ascii="Garamond" w:eastAsia="Times New Roman" w:hAnsi="Garamond"/>
                <w:b/>
                <w:bCs/>
                <w:sz w:val="13"/>
                <w:szCs w:val="13"/>
                <w:lang w:val="sq-AL" w:eastAsia="sq-AL"/>
              </w:rPr>
              <w:br/>
              <w:t>(v.2015)</w:t>
            </w:r>
          </w:p>
        </w:tc>
        <w:tc>
          <w:tcPr>
            <w:tcW w:w="363" w:type="pct"/>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Kosto për njësi (v.2015)</w:t>
            </w:r>
          </w:p>
        </w:tc>
        <w:tc>
          <w:tcPr>
            <w:tcW w:w="275" w:type="pct"/>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Sasia (v.2016)</w:t>
            </w:r>
          </w:p>
        </w:tc>
        <w:tc>
          <w:tcPr>
            <w:tcW w:w="314" w:type="pct"/>
            <w:gridSpan w:val="2"/>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Shpenzimet </w:t>
            </w:r>
            <w:r>
              <w:rPr>
                <w:rFonts w:ascii="Garamond" w:eastAsia="Times New Roman" w:hAnsi="Garamond"/>
                <w:b/>
                <w:bCs/>
                <w:sz w:val="13"/>
                <w:szCs w:val="13"/>
                <w:lang w:val="sq-AL" w:eastAsia="sq-AL"/>
              </w:rPr>
              <w:br/>
              <w:t>(v.2016)</w:t>
            </w:r>
          </w:p>
        </w:tc>
        <w:tc>
          <w:tcPr>
            <w:tcW w:w="185" w:type="pct"/>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Kosto për njësi</w:t>
            </w:r>
            <w:r>
              <w:rPr>
                <w:rFonts w:ascii="Garamond" w:eastAsia="Times New Roman" w:hAnsi="Garamond"/>
                <w:b/>
                <w:bCs/>
                <w:color w:val="C00000"/>
                <w:sz w:val="13"/>
                <w:szCs w:val="13"/>
                <w:lang w:val="sq-AL" w:eastAsia="sq-AL"/>
              </w:rPr>
              <w:br/>
              <w:t>(v.2016)</w:t>
            </w:r>
          </w:p>
        </w:tc>
        <w:tc>
          <w:tcPr>
            <w:tcW w:w="227" w:type="pct"/>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Sasia e rishikuar (v.2016)</w:t>
            </w:r>
          </w:p>
        </w:tc>
        <w:tc>
          <w:tcPr>
            <w:tcW w:w="227" w:type="pct"/>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Shpenzimet e rishikuara </w:t>
            </w:r>
            <w:r>
              <w:rPr>
                <w:rFonts w:ascii="Garamond" w:eastAsia="Times New Roman" w:hAnsi="Garamond"/>
                <w:b/>
                <w:bCs/>
                <w:sz w:val="13"/>
                <w:szCs w:val="13"/>
                <w:lang w:val="sq-AL" w:eastAsia="sq-AL"/>
              </w:rPr>
              <w:br/>
              <w:t>(v.2016)</w:t>
            </w:r>
          </w:p>
        </w:tc>
        <w:tc>
          <w:tcPr>
            <w:tcW w:w="263" w:type="pct"/>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xml:space="preserve">Kosto për njësi e rishikuar </w:t>
            </w:r>
            <w:r>
              <w:rPr>
                <w:rFonts w:ascii="Garamond" w:eastAsia="Times New Roman" w:hAnsi="Garamond"/>
                <w:b/>
                <w:bCs/>
                <w:color w:val="C00000"/>
                <w:sz w:val="13"/>
                <w:szCs w:val="13"/>
                <w:lang w:val="sq-AL" w:eastAsia="sq-AL"/>
              </w:rPr>
              <w:br/>
              <w:t>(v.2016)</w:t>
            </w:r>
          </w:p>
        </w:tc>
        <w:tc>
          <w:tcPr>
            <w:tcW w:w="237" w:type="pct"/>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Sasia  (faktike 2016)</w:t>
            </w:r>
          </w:p>
        </w:tc>
        <w:tc>
          <w:tcPr>
            <w:tcW w:w="227" w:type="pct"/>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Shpenzimet (faktike 2016)</w:t>
            </w:r>
          </w:p>
        </w:tc>
        <w:tc>
          <w:tcPr>
            <w:tcW w:w="226" w:type="pct"/>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Kosto për njësi (faktike 2016)</w:t>
            </w:r>
          </w:p>
        </w:tc>
        <w:tc>
          <w:tcPr>
            <w:tcW w:w="213" w:type="pct"/>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xml:space="preserve">Diferenca </w:t>
            </w:r>
          </w:p>
        </w:tc>
        <w:tc>
          <w:tcPr>
            <w:tcW w:w="243" w:type="pct"/>
            <w:gridSpan w:val="2"/>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xml:space="preserve">Diferenca </w:t>
            </w:r>
          </w:p>
        </w:tc>
        <w:tc>
          <w:tcPr>
            <w:tcW w:w="258" w:type="pct"/>
            <w:vMerge w:val="restart"/>
            <w:tcBorders>
              <w:top w:val="nil"/>
              <w:left w:val="single" w:sz="4" w:space="0" w:color="auto"/>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 xml:space="preserve">Diferenca </w:t>
            </w:r>
          </w:p>
        </w:tc>
        <w:tc>
          <w:tcPr>
            <w:tcW w:w="209" w:type="pct"/>
            <w:noWrap/>
            <w:vAlign w:val="center"/>
            <w:hideMark/>
          </w:tcPr>
          <w:p w:rsidR="00413F0B" w:rsidRDefault="00413F0B">
            <w:pPr>
              <w:rPr>
                <w:rFonts w:ascii="Garamond" w:eastAsia="Times New Roman" w:hAnsi="Garamond"/>
                <w:b/>
                <w:bCs/>
                <w:color w:val="C00000"/>
                <w:sz w:val="13"/>
                <w:szCs w:val="13"/>
                <w:lang w:val="sq-AL" w:eastAsia="sq-AL"/>
              </w:rPr>
            </w:pPr>
          </w:p>
        </w:tc>
      </w:tr>
      <w:tr w:rsidR="00413F0B" w:rsidTr="00413F0B">
        <w:trPr>
          <w:trHeight w:val="139"/>
        </w:trPr>
        <w:tc>
          <w:tcPr>
            <w:tcW w:w="0" w:type="auto"/>
            <w:gridSpan w:val="2"/>
            <w:vMerge/>
            <w:tcBorders>
              <w:top w:val="nil"/>
              <w:left w:val="single" w:sz="8"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gridSpan w:val="2"/>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color w:val="C00000"/>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gridSpan w:val="2"/>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color w:val="C00000"/>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color w:val="C00000"/>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color w:val="C00000"/>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color w:val="C00000"/>
                <w:sz w:val="13"/>
                <w:szCs w:val="13"/>
                <w:lang w:val="sq-AL" w:eastAsia="sq-AL"/>
              </w:rPr>
            </w:pPr>
          </w:p>
        </w:tc>
        <w:tc>
          <w:tcPr>
            <w:tcW w:w="0" w:type="auto"/>
            <w:gridSpan w:val="2"/>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color w:val="C00000"/>
                <w:sz w:val="13"/>
                <w:szCs w:val="13"/>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413F0B" w:rsidRDefault="00413F0B">
            <w:pPr>
              <w:spacing w:after="0"/>
              <w:ind w:firstLine="0"/>
              <w:jc w:val="left"/>
              <w:rPr>
                <w:rFonts w:ascii="Garamond" w:eastAsia="Times New Roman" w:hAnsi="Garamond"/>
                <w:b/>
                <w:bCs/>
                <w:color w:val="C00000"/>
                <w:sz w:val="13"/>
                <w:szCs w:val="13"/>
                <w:lang w:val="sq-AL" w:eastAsia="sq-AL"/>
              </w:rPr>
            </w:pPr>
          </w:p>
        </w:tc>
        <w:tc>
          <w:tcPr>
            <w:tcW w:w="209"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262" w:type="pct"/>
            <w:gridSpan w:val="2"/>
            <w:tcBorders>
              <w:top w:val="nil"/>
              <w:left w:val="single" w:sz="8" w:space="0" w:color="auto"/>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C</w:t>
            </w:r>
          </w:p>
        </w:tc>
        <w:tc>
          <w:tcPr>
            <w:tcW w:w="364" w:type="pct"/>
            <w:tcBorders>
              <w:top w:val="nil"/>
              <w:left w:val="nil"/>
              <w:bottom w:val="single" w:sz="4" w:space="0" w:color="auto"/>
              <w:right w:val="single" w:sz="4" w:space="0" w:color="auto"/>
            </w:tcBorders>
            <w:shd w:val="clear" w:color="auto" w:fill="C6E0B4"/>
            <w:vAlign w:val="center"/>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Të trajnuar në drejtoritë rajonale të formimit profesional</w:t>
            </w:r>
          </w:p>
        </w:tc>
        <w:tc>
          <w:tcPr>
            <w:tcW w:w="272" w:type="pct"/>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numër</w:t>
            </w:r>
          </w:p>
        </w:tc>
        <w:tc>
          <w:tcPr>
            <w:tcW w:w="317" w:type="pct"/>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10,100</w:t>
            </w:r>
          </w:p>
        </w:tc>
        <w:tc>
          <w:tcPr>
            <w:tcW w:w="318" w:type="pct"/>
            <w:gridSpan w:val="2"/>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213,137</w:t>
            </w:r>
          </w:p>
        </w:tc>
        <w:tc>
          <w:tcPr>
            <w:tcW w:w="363" w:type="pct"/>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21</w:t>
            </w:r>
          </w:p>
        </w:tc>
        <w:tc>
          <w:tcPr>
            <w:tcW w:w="275" w:type="pct"/>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11,000</w:t>
            </w:r>
          </w:p>
        </w:tc>
        <w:tc>
          <w:tcPr>
            <w:tcW w:w="314" w:type="pct"/>
            <w:gridSpan w:val="2"/>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240,000</w:t>
            </w:r>
          </w:p>
        </w:tc>
        <w:tc>
          <w:tcPr>
            <w:tcW w:w="185" w:type="pct"/>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color w:val="C00000"/>
                <w:sz w:val="13"/>
                <w:szCs w:val="13"/>
                <w:lang w:val="sq-AL" w:eastAsia="sq-AL"/>
              </w:rPr>
            </w:pPr>
            <w:r>
              <w:rPr>
                <w:rFonts w:ascii="Garamond" w:eastAsia="Times New Roman" w:hAnsi="Garamond"/>
                <w:color w:val="C00000"/>
                <w:sz w:val="13"/>
                <w:szCs w:val="13"/>
                <w:lang w:val="sq-AL" w:eastAsia="sq-AL"/>
              </w:rPr>
              <w:t>22</w:t>
            </w:r>
          </w:p>
        </w:tc>
        <w:tc>
          <w:tcPr>
            <w:tcW w:w="227" w:type="pct"/>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9,000</w:t>
            </w:r>
          </w:p>
        </w:tc>
        <w:tc>
          <w:tcPr>
            <w:tcW w:w="227" w:type="pct"/>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240,000</w:t>
            </w:r>
          </w:p>
        </w:tc>
        <w:tc>
          <w:tcPr>
            <w:tcW w:w="263" w:type="pct"/>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color w:val="C00000"/>
                <w:sz w:val="13"/>
                <w:szCs w:val="13"/>
                <w:lang w:val="sq-AL" w:eastAsia="sq-AL"/>
              </w:rPr>
            </w:pPr>
            <w:r>
              <w:rPr>
                <w:rFonts w:ascii="Garamond" w:eastAsia="Times New Roman" w:hAnsi="Garamond"/>
                <w:color w:val="C00000"/>
                <w:sz w:val="13"/>
                <w:szCs w:val="13"/>
                <w:lang w:val="sq-AL" w:eastAsia="sq-AL"/>
              </w:rPr>
              <w:t>27</w:t>
            </w:r>
          </w:p>
        </w:tc>
        <w:tc>
          <w:tcPr>
            <w:tcW w:w="237" w:type="pct"/>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17,524</w:t>
            </w:r>
          </w:p>
        </w:tc>
        <w:tc>
          <w:tcPr>
            <w:tcW w:w="227" w:type="pct"/>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194,739</w:t>
            </w:r>
          </w:p>
        </w:tc>
        <w:tc>
          <w:tcPr>
            <w:tcW w:w="226" w:type="pct"/>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11</w:t>
            </w:r>
          </w:p>
        </w:tc>
        <w:tc>
          <w:tcPr>
            <w:tcW w:w="213" w:type="pct"/>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-47.3%</w:t>
            </w:r>
          </w:p>
        </w:tc>
        <w:tc>
          <w:tcPr>
            <w:tcW w:w="243" w:type="pct"/>
            <w:gridSpan w:val="2"/>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-49.1%</w:t>
            </w:r>
          </w:p>
        </w:tc>
        <w:tc>
          <w:tcPr>
            <w:tcW w:w="258" w:type="pct"/>
            <w:tcBorders>
              <w:top w:val="nil"/>
              <w:left w:val="nil"/>
              <w:bottom w:val="single" w:sz="4"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-58.3%</w:t>
            </w:r>
          </w:p>
        </w:tc>
        <w:tc>
          <w:tcPr>
            <w:tcW w:w="209" w:type="pct"/>
            <w:noWrap/>
            <w:vAlign w:val="center"/>
            <w:hideMark/>
          </w:tcPr>
          <w:p w:rsidR="00413F0B" w:rsidRDefault="00413F0B">
            <w:pPr>
              <w:rPr>
                <w:rFonts w:ascii="Garamond" w:eastAsia="Times New Roman" w:hAnsi="Garamond"/>
                <w:b/>
                <w:bCs/>
                <w:color w:val="C00000"/>
                <w:sz w:val="13"/>
                <w:szCs w:val="13"/>
                <w:lang w:val="sq-AL" w:eastAsia="sq-AL"/>
              </w:rPr>
            </w:pPr>
          </w:p>
        </w:tc>
      </w:tr>
      <w:tr w:rsidR="00413F0B" w:rsidTr="00413F0B">
        <w:trPr>
          <w:trHeight w:val="139"/>
        </w:trPr>
        <w:tc>
          <w:tcPr>
            <w:tcW w:w="262" w:type="pct"/>
            <w:gridSpan w:val="2"/>
            <w:tcBorders>
              <w:top w:val="nil"/>
              <w:left w:val="single" w:sz="8" w:space="0" w:color="auto"/>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D</w:t>
            </w:r>
          </w:p>
        </w:tc>
        <w:tc>
          <w:tcPr>
            <w:tcW w:w="364" w:type="pct"/>
            <w:tcBorders>
              <w:top w:val="nil"/>
              <w:left w:val="nil"/>
              <w:bottom w:val="single" w:sz="8" w:space="0" w:color="auto"/>
              <w:right w:val="single" w:sz="4" w:space="0" w:color="auto"/>
            </w:tcBorders>
            <w:shd w:val="clear" w:color="auto" w:fill="C6E0B4"/>
            <w:vAlign w:val="center"/>
            <w:hideMark/>
          </w:tcPr>
          <w:p w:rsidR="00413F0B" w:rsidRDefault="00413F0B">
            <w:pPr>
              <w:spacing w:after="0" w:line="240" w:lineRule="auto"/>
              <w:ind w:firstLine="0"/>
              <w:jc w:val="left"/>
              <w:rPr>
                <w:rFonts w:ascii="Garamond" w:eastAsia="Times New Roman" w:hAnsi="Garamond"/>
                <w:sz w:val="13"/>
                <w:szCs w:val="13"/>
                <w:lang w:val="sq-AL" w:eastAsia="sq-AL"/>
              </w:rPr>
            </w:pPr>
            <w:r>
              <w:rPr>
                <w:rFonts w:ascii="Garamond" w:eastAsia="Times New Roman" w:hAnsi="Garamond"/>
                <w:sz w:val="13"/>
                <w:szCs w:val="13"/>
                <w:lang w:val="sq-AL" w:eastAsia="sq-AL"/>
              </w:rPr>
              <w:t>Persona të trajtuar me pagesë papunësie</w:t>
            </w:r>
          </w:p>
        </w:tc>
        <w:tc>
          <w:tcPr>
            <w:tcW w:w="272" w:type="pct"/>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numër</w:t>
            </w:r>
          </w:p>
        </w:tc>
        <w:tc>
          <w:tcPr>
            <w:tcW w:w="317" w:type="pct"/>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10,000</w:t>
            </w:r>
          </w:p>
        </w:tc>
        <w:tc>
          <w:tcPr>
            <w:tcW w:w="318" w:type="pct"/>
            <w:gridSpan w:val="2"/>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800,000</w:t>
            </w:r>
          </w:p>
        </w:tc>
        <w:tc>
          <w:tcPr>
            <w:tcW w:w="363" w:type="pct"/>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80</w:t>
            </w:r>
          </w:p>
        </w:tc>
        <w:tc>
          <w:tcPr>
            <w:tcW w:w="275" w:type="pct"/>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10,500</w:t>
            </w:r>
          </w:p>
        </w:tc>
        <w:tc>
          <w:tcPr>
            <w:tcW w:w="314" w:type="pct"/>
            <w:gridSpan w:val="2"/>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880,000</w:t>
            </w:r>
          </w:p>
        </w:tc>
        <w:tc>
          <w:tcPr>
            <w:tcW w:w="185" w:type="pct"/>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color w:val="C00000"/>
                <w:sz w:val="13"/>
                <w:szCs w:val="13"/>
                <w:lang w:val="sq-AL" w:eastAsia="sq-AL"/>
              </w:rPr>
            </w:pPr>
            <w:r>
              <w:rPr>
                <w:rFonts w:ascii="Garamond" w:eastAsia="Times New Roman" w:hAnsi="Garamond"/>
                <w:color w:val="C00000"/>
                <w:sz w:val="13"/>
                <w:szCs w:val="13"/>
                <w:lang w:val="sq-AL" w:eastAsia="sq-AL"/>
              </w:rPr>
              <w:t>84</w:t>
            </w:r>
          </w:p>
        </w:tc>
        <w:tc>
          <w:tcPr>
            <w:tcW w:w="227" w:type="pct"/>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7,200</w:t>
            </w:r>
          </w:p>
        </w:tc>
        <w:tc>
          <w:tcPr>
            <w:tcW w:w="227" w:type="pct"/>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820,000</w:t>
            </w:r>
          </w:p>
        </w:tc>
        <w:tc>
          <w:tcPr>
            <w:tcW w:w="263" w:type="pct"/>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color w:val="C00000"/>
                <w:sz w:val="13"/>
                <w:szCs w:val="13"/>
                <w:lang w:val="sq-AL" w:eastAsia="sq-AL"/>
              </w:rPr>
            </w:pPr>
            <w:r>
              <w:rPr>
                <w:rFonts w:ascii="Garamond" w:eastAsia="Times New Roman" w:hAnsi="Garamond"/>
                <w:color w:val="C00000"/>
                <w:sz w:val="13"/>
                <w:szCs w:val="13"/>
                <w:lang w:val="sq-AL" w:eastAsia="sq-AL"/>
              </w:rPr>
              <w:t>114</w:t>
            </w:r>
          </w:p>
        </w:tc>
        <w:tc>
          <w:tcPr>
            <w:tcW w:w="237" w:type="pct"/>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5,380</w:t>
            </w:r>
          </w:p>
        </w:tc>
        <w:tc>
          <w:tcPr>
            <w:tcW w:w="227" w:type="pct"/>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614,399</w:t>
            </w:r>
          </w:p>
        </w:tc>
        <w:tc>
          <w:tcPr>
            <w:tcW w:w="226" w:type="pct"/>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114</w:t>
            </w:r>
          </w:p>
        </w:tc>
        <w:tc>
          <w:tcPr>
            <w:tcW w:w="213" w:type="pct"/>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42.8%</w:t>
            </w:r>
          </w:p>
        </w:tc>
        <w:tc>
          <w:tcPr>
            <w:tcW w:w="243" w:type="pct"/>
            <w:gridSpan w:val="2"/>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36.3%</w:t>
            </w:r>
          </w:p>
        </w:tc>
        <w:tc>
          <w:tcPr>
            <w:tcW w:w="258" w:type="pct"/>
            <w:tcBorders>
              <w:top w:val="nil"/>
              <w:left w:val="nil"/>
              <w:bottom w:val="single" w:sz="8" w:space="0" w:color="auto"/>
              <w:right w:val="single" w:sz="4" w:space="0" w:color="auto"/>
            </w:tcBorders>
            <w:shd w:val="clear" w:color="auto" w:fill="C6E0B4"/>
            <w:noWrap/>
            <w:vAlign w:val="center"/>
            <w:hideMark/>
          </w:tcPr>
          <w:p w:rsidR="00413F0B" w:rsidRDefault="00413F0B">
            <w:pPr>
              <w:spacing w:after="0" w:line="240" w:lineRule="auto"/>
              <w:ind w:firstLine="0"/>
              <w:jc w:val="center"/>
              <w:rPr>
                <w:rFonts w:ascii="Garamond" w:eastAsia="Times New Roman" w:hAnsi="Garamond"/>
                <w:b/>
                <w:bCs/>
                <w:color w:val="C00000"/>
                <w:sz w:val="13"/>
                <w:szCs w:val="13"/>
                <w:lang w:val="sq-AL" w:eastAsia="sq-AL"/>
              </w:rPr>
            </w:pPr>
            <w:r>
              <w:rPr>
                <w:rFonts w:ascii="Garamond" w:eastAsia="Times New Roman" w:hAnsi="Garamond"/>
                <w:b/>
                <w:bCs/>
                <w:color w:val="C00000"/>
                <w:sz w:val="13"/>
                <w:szCs w:val="13"/>
                <w:lang w:val="sq-AL" w:eastAsia="sq-AL"/>
              </w:rPr>
              <w:t>0%</w:t>
            </w:r>
          </w:p>
        </w:tc>
        <w:tc>
          <w:tcPr>
            <w:tcW w:w="209" w:type="pct"/>
            <w:noWrap/>
            <w:vAlign w:val="center"/>
            <w:hideMark/>
          </w:tcPr>
          <w:p w:rsidR="00413F0B" w:rsidRDefault="00413F0B">
            <w:pPr>
              <w:rPr>
                <w:rFonts w:ascii="Garamond" w:eastAsia="Times New Roman" w:hAnsi="Garamond"/>
                <w:b/>
                <w:bCs/>
                <w:color w:val="C00000"/>
                <w:sz w:val="13"/>
                <w:szCs w:val="13"/>
                <w:lang w:val="sq-AL" w:eastAsia="sq-AL"/>
              </w:rPr>
            </w:pPr>
          </w:p>
        </w:tc>
      </w:tr>
      <w:tr w:rsidR="00413F0B" w:rsidTr="00413F0B">
        <w:trPr>
          <w:trHeight w:val="139"/>
        </w:trPr>
        <w:tc>
          <w:tcPr>
            <w:tcW w:w="262"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2"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8"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7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4"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18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3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7"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2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1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43"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5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09"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bl>
    <w:p w:rsidR="00413F0B" w:rsidRDefault="00413F0B" w:rsidP="00413F0B">
      <w:pPr>
        <w:pStyle w:val="Paragrafi"/>
        <w:ind w:firstLine="0"/>
        <w:rPr>
          <w:lang w:val="sq-AL"/>
        </w:rPr>
      </w:pPr>
    </w:p>
    <w:p w:rsidR="00413F0B" w:rsidRDefault="00413F0B" w:rsidP="00413F0B">
      <w:pPr>
        <w:pStyle w:val="Paragrafi"/>
        <w:ind w:firstLine="0"/>
        <w:rPr>
          <w:lang w:val="sq-AL"/>
        </w:rPr>
      </w:pPr>
    </w:p>
    <w:p w:rsidR="00413F0B" w:rsidRDefault="00413F0B" w:rsidP="00413F0B">
      <w:pPr>
        <w:pStyle w:val="Paragrafi"/>
        <w:ind w:firstLine="0"/>
        <w:rPr>
          <w:lang w:val="sq-AL"/>
        </w:rPr>
      </w:pPr>
    </w:p>
    <w:p w:rsidR="00413F0B" w:rsidRDefault="00413F0B" w:rsidP="00413F0B">
      <w:pPr>
        <w:pStyle w:val="Paragrafi"/>
        <w:ind w:firstLine="0"/>
        <w:rPr>
          <w:lang w:val="sq-AL"/>
        </w:rPr>
      </w:pPr>
    </w:p>
    <w:p w:rsidR="00413F0B" w:rsidRDefault="00413F0B" w:rsidP="00413F0B">
      <w:pPr>
        <w:pStyle w:val="Paragrafi"/>
        <w:ind w:firstLine="0"/>
        <w:rPr>
          <w:lang w:val="sq-AL"/>
        </w:rPr>
      </w:pPr>
    </w:p>
    <w:tbl>
      <w:tblPr>
        <w:tblW w:w="5000" w:type="pct"/>
        <w:tblLook w:val="04A0" w:firstRow="1" w:lastRow="0" w:firstColumn="1" w:lastColumn="0" w:noHBand="0" w:noVBand="1"/>
      </w:tblPr>
      <w:tblGrid>
        <w:gridCol w:w="898"/>
        <w:gridCol w:w="148"/>
        <w:gridCol w:w="689"/>
        <w:gridCol w:w="222"/>
        <w:gridCol w:w="2239"/>
        <w:gridCol w:w="2515"/>
        <w:gridCol w:w="1222"/>
        <w:gridCol w:w="1119"/>
        <w:gridCol w:w="957"/>
        <w:gridCol w:w="818"/>
        <w:gridCol w:w="2239"/>
        <w:gridCol w:w="969"/>
        <w:gridCol w:w="222"/>
        <w:gridCol w:w="16"/>
        <w:gridCol w:w="210"/>
        <w:gridCol w:w="16"/>
        <w:gridCol w:w="210"/>
        <w:gridCol w:w="16"/>
        <w:gridCol w:w="210"/>
        <w:gridCol w:w="16"/>
        <w:gridCol w:w="217"/>
        <w:gridCol w:w="10"/>
        <w:gridCol w:w="222"/>
      </w:tblGrid>
      <w:tr w:rsidR="00413F0B" w:rsidTr="00413F0B">
        <w:trPr>
          <w:trHeight w:val="139"/>
        </w:trPr>
        <w:tc>
          <w:tcPr>
            <w:tcW w:w="5000" w:type="pct"/>
            <w:gridSpan w:val="23"/>
            <w:noWrap/>
            <w:vAlign w:val="center"/>
            <w:hideMark/>
          </w:tcPr>
          <w:p w:rsidR="00413F0B" w:rsidRDefault="00413F0B">
            <w:pPr>
              <w:spacing w:after="0" w:line="240" w:lineRule="auto"/>
              <w:ind w:firstLine="0"/>
              <w:jc w:val="center"/>
              <w:rPr>
                <w:rFonts w:ascii="Garamond" w:eastAsia="Times New Roman" w:hAnsi="Garamond"/>
                <w:bCs/>
                <w:sz w:val="24"/>
                <w:szCs w:val="24"/>
                <w:lang w:val="sq-AL" w:eastAsia="sq-AL"/>
              </w:rPr>
            </w:pPr>
            <w:r>
              <w:rPr>
                <w:rFonts w:ascii="Garamond" w:eastAsia="Times New Roman" w:hAnsi="Garamond"/>
                <w:bCs/>
                <w:sz w:val="24"/>
                <w:szCs w:val="24"/>
                <w:lang w:val="sq-AL" w:eastAsia="sq-AL"/>
              </w:rPr>
              <w:lastRenderedPageBreak/>
              <w:t>ANEKSI NR. 4</w:t>
            </w:r>
          </w:p>
          <w:p w:rsidR="00413F0B" w:rsidRDefault="00413F0B">
            <w:pPr>
              <w:spacing w:after="0" w:line="240" w:lineRule="auto"/>
              <w:ind w:firstLine="0"/>
              <w:jc w:val="center"/>
              <w:rPr>
                <w:rFonts w:ascii="Garamond" w:eastAsia="Times New Roman" w:hAnsi="Garamond"/>
                <w:sz w:val="24"/>
                <w:szCs w:val="24"/>
                <w:lang w:val="sq-AL" w:eastAsia="sq-AL"/>
              </w:rPr>
            </w:pPr>
            <w:r>
              <w:rPr>
                <w:rFonts w:ascii="Garamond" w:eastAsia="Times New Roman" w:hAnsi="Garamond"/>
                <w:bCs/>
                <w:sz w:val="24"/>
                <w:szCs w:val="24"/>
                <w:lang w:val="sq-AL" w:eastAsia="sq-AL"/>
              </w:rPr>
              <w:t>RAPORTI I REALIZIMIT TË OBJEKTIVAVE TË POLITIKËS SË PROGRAMIT</w:t>
            </w:r>
          </w:p>
        </w:tc>
      </w:tr>
      <w:tr w:rsidR="00413F0B" w:rsidTr="00413F0B">
        <w:trPr>
          <w:trHeight w:val="139"/>
        </w:trPr>
        <w:tc>
          <w:tcPr>
            <w:tcW w:w="341" w:type="pct"/>
            <w:noWrap/>
            <w:vAlign w:val="bottom"/>
            <w:hideMark/>
          </w:tcPr>
          <w:p w:rsidR="00413F0B" w:rsidRDefault="00413F0B">
            <w:pPr>
              <w:rPr>
                <w:rFonts w:ascii="Garamond" w:eastAsia="Times New Roman" w:hAnsi="Garamond"/>
                <w:sz w:val="24"/>
                <w:szCs w:val="24"/>
                <w:lang w:val="sq-AL" w:eastAsia="sq-AL"/>
              </w:rPr>
            </w:pPr>
          </w:p>
        </w:tc>
        <w:tc>
          <w:tcPr>
            <w:tcW w:w="291"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31"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82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0"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4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3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8"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1363" w:type="pct"/>
            <w:gridSpan w:val="5"/>
            <w:vAlign w:val="center"/>
            <w:hideMark/>
          </w:tcPr>
          <w:p w:rsidR="00413F0B" w:rsidRDefault="00413F0B">
            <w:pPr>
              <w:spacing w:after="0" w:line="240" w:lineRule="auto"/>
              <w:ind w:firstLine="0"/>
              <w:jc w:val="left"/>
              <w:rPr>
                <w:rFonts w:ascii="Garamond" w:eastAsia="Times New Roman" w:hAnsi="Garamond"/>
                <w:b/>
                <w:bCs/>
                <w:color w:val="993300"/>
                <w:sz w:val="20"/>
                <w:szCs w:val="20"/>
                <w:lang w:val="sq-AL" w:eastAsia="sq-AL"/>
              </w:rPr>
            </w:pPr>
            <w:r>
              <w:rPr>
                <w:rFonts w:ascii="Garamond" w:eastAsia="Times New Roman" w:hAnsi="Garamond"/>
                <w:b/>
                <w:bCs/>
                <w:color w:val="993300"/>
                <w:sz w:val="20"/>
                <w:szCs w:val="20"/>
                <w:lang w:val="sq-AL" w:eastAsia="sq-AL"/>
              </w:rPr>
              <w:t>Periudha e raportimit: ..............</w:t>
            </w:r>
          </w:p>
        </w:tc>
        <w:tc>
          <w:tcPr>
            <w:tcW w:w="1194" w:type="pct"/>
            <w:gridSpan w:val="2"/>
            <w:vAlign w:val="center"/>
            <w:hideMark/>
          </w:tcPr>
          <w:p w:rsidR="00413F0B" w:rsidRDefault="00413F0B">
            <w:pPr>
              <w:rPr>
                <w:rFonts w:ascii="Garamond" w:eastAsia="Times New Roman" w:hAnsi="Garamond"/>
                <w:b/>
                <w:bCs/>
                <w:color w:val="993300"/>
                <w:sz w:val="20"/>
                <w:szCs w:val="20"/>
                <w:lang w:val="sq-AL" w:eastAsia="sq-AL"/>
              </w:rPr>
            </w:pPr>
          </w:p>
        </w:tc>
        <w:tc>
          <w:tcPr>
            <w:tcW w:w="673" w:type="pct"/>
            <w:gridSpan w:val="2"/>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976" w:type="pct"/>
            <w:gridSpan w:val="2"/>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91" w:type="pct"/>
            <w:gridSpan w:val="2"/>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152" w:type="pct"/>
            <w:gridSpan w:val="4"/>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154" w:type="pct"/>
            <w:gridSpan w:val="4"/>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96" w:type="pct"/>
            <w:gridSpan w:val="2"/>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11" w:type="pct"/>
            <w:gridSpan w:val="2"/>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1484" w:type="pct"/>
            <w:gridSpan w:val="2"/>
            <w:tcBorders>
              <w:top w:val="nil"/>
              <w:left w:val="nil"/>
              <w:bottom w:val="single" w:sz="12" w:space="0" w:color="auto"/>
              <w:right w:val="nil"/>
            </w:tcBorders>
            <w:vAlign w:val="center"/>
            <w:hideMark/>
          </w:tcPr>
          <w:p w:rsidR="00413F0B" w:rsidRDefault="00413F0B">
            <w:pPr>
              <w:spacing w:after="0" w:line="240" w:lineRule="auto"/>
              <w:ind w:firstLine="0"/>
              <w:jc w:val="right"/>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729" w:type="pct"/>
            <w:gridSpan w:val="2"/>
            <w:tcBorders>
              <w:top w:val="nil"/>
              <w:left w:val="nil"/>
              <w:bottom w:val="single" w:sz="12" w:space="0" w:color="auto"/>
              <w:right w:val="nil"/>
            </w:tcBorders>
            <w:vAlign w:val="center"/>
            <w:hideMark/>
          </w:tcPr>
          <w:p w:rsidR="00413F0B" w:rsidRDefault="00413F0B">
            <w:pPr>
              <w:spacing w:after="0" w:line="240" w:lineRule="auto"/>
              <w:ind w:firstLine="0"/>
              <w:jc w:val="right"/>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553" w:type="pct"/>
            <w:gridSpan w:val="2"/>
            <w:tcBorders>
              <w:top w:val="nil"/>
              <w:left w:val="nil"/>
              <w:bottom w:val="single" w:sz="12" w:space="0" w:color="auto"/>
              <w:right w:val="nil"/>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1048" w:type="pct"/>
            <w:gridSpan w:val="2"/>
            <w:tcBorders>
              <w:top w:val="nil"/>
              <w:left w:val="nil"/>
              <w:bottom w:val="single" w:sz="12" w:space="0" w:color="auto"/>
              <w:right w:val="nil"/>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152" w:type="pct"/>
            <w:gridSpan w:val="3"/>
            <w:tcBorders>
              <w:top w:val="nil"/>
              <w:left w:val="nil"/>
              <w:bottom w:val="single" w:sz="12" w:space="0" w:color="auto"/>
              <w:right w:val="nil"/>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152" w:type="pct"/>
            <w:gridSpan w:val="4"/>
            <w:tcBorders>
              <w:top w:val="nil"/>
              <w:left w:val="nil"/>
              <w:bottom w:val="single" w:sz="12" w:space="0" w:color="auto"/>
              <w:right w:val="nil"/>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174" w:type="pct"/>
            <w:gridSpan w:val="4"/>
            <w:tcBorders>
              <w:top w:val="nil"/>
              <w:left w:val="nil"/>
              <w:bottom w:val="single" w:sz="12" w:space="0" w:color="auto"/>
              <w:right w:val="nil"/>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r>
      <w:tr w:rsidR="00413F0B" w:rsidTr="00413F0B">
        <w:trPr>
          <w:trHeight w:val="139"/>
        </w:trPr>
        <w:tc>
          <w:tcPr>
            <w:tcW w:w="396" w:type="pct"/>
            <w:gridSpan w:val="2"/>
            <w:noWrap/>
            <w:vAlign w:val="bottom"/>
            <w:hideMark/>
          </w:tcPr>
          <w:p w:rsidR="00413F0B" w:rsidRDefault="00413F0B">
            <w:pPr>
              <w:rPr>
                <w:rFonts w:ascii="Garamond" w:eastAsia="Times New Roman" w:hAnsi="Garamond"/>
                <w:color w:val="000000"/>
                <w:sz w:val="20"/>
                <w:szCs w:val="20"/>
                <w:lang w:val="sq-AL" w:eastAsia="sq-AL"/>
              </w:rPr>
            </w:pPr>
          </w:p>
        </w:tc>
        <w:tc>
          <w:tcPr>
            <w:tcW w:w="311"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65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82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0"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4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3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80"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tcBorders>
              <w:top w:val="single" w:sz="8" w:space="0" w:color="auto"/>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Kodi i programit</w:t>
            </w:r>
          </w:p>
        </w:tc>
        <w:tc>
          <w:tcPr>
            <w:tcW w:w="311" w:type="pct"/>
            <w:gridSpan w:val="2"/>
            <w:tcBorders>
              <w:top w:val="single" w:sz="8" w:space="0" w:color="auto"/>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w:t>
            </w:r>
          </w:p>
        </w:tc>
        <w:tc>
          <w:tcPr>
            <w:tcW w:w="656" w:type="pct"/>
            <w:tcBorders>
              <w:top w:val="single" w:sz="8" w:space="0" w:color="auto"/>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Emërtimi i programit:</w:t>
            </w:r>
          </w:p>
        </w:tc>
        <w:tc>
          <w:tcPr>
            <w:tcW w:w="2843" w:type="pct"/>
            <w:gridSpan w:val="6"/>
            <w:tcBorders>
              <w:top w:val="single" w:sz="8" w:space="0" w:color="auto"/>
              <w:left w:val="nil"/>
              <w:bottom w:val="single" w:sz="4" w:space="0" w:color="auto"/>
              <w:right w:val="single" w:sz="4" w:space="0" w:color="000000"/>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315" w:type="pct"/>
            <w:tcBorders>
              <w:top w:val="single" w:sz="8" w:space="0" w:color="auto"/>
              <w:left w:val="nil"/>
              <w:bottom w:val="dashed" w:sz="4"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Komente</w:t>
            </w:r>
          </w:p>
        </w:tc>
        <w:tc>
          <w:tcPr>
            <w:tcW w:w="80" w:type="pct"/>
            <w:gridSpan w:val="2"/>
            <w:noWrap/>
            <w:vAlign w:val="bottom"/>
            <w:hideMark/>
          </w:tcPr>
          <w:p w:rsidR="00413F0B" w:rsidRDefault="00413F0B">
            <w:pPr>
              <w:rPr>
                <w:rFonts w:ascii="Garamond" w:eastAsia="Times New Roman" w:hAnsi="Garamond"/>
                <w:b/>
                <w:bCs/>
                <w:color w:val="C00000"/>
                <w:sz w:val="20"/>
                <w:szCs w:val="20"/>
                <w:lang w:val="sq-AL" w:eastAsia="sq-AL"/>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tcBorders>
              <w:top w:val="nil"/>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Qëllimi 1</w:t>
            </w:r>
          </w:p>
        </w:tc>
        <w:tc>
          <w:tcPr>
            <w:tcW w:w="311" w:type="pct"/>
            <w:gridSpan w:val="2"/>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656" w:type="pct"/>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 </w:t>
            </w:r>
          </w:p>
        </w:tc>
        <w:tc>
          <w:tcPr>
            <w:tcW w:w="828" w:type="pct"/>
            <w:tcBorders>
              <w:top w:val="nil"/>
              <w:left w:val="nil"/>
              <w:bottom w:val="single" w:sz="4"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66" w:type="pct"/>
            <w:tcBorders>
              <w:top w:val="nil"/>
              <w:left w:val="nil"/>
              <w:bottom w:val="single" w:sz="4"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63" w:type="pct"/>
            <w:tcBorders>
              <w:top w:val="nil"/>
              <w:left w:val="nil"/>
              <w:bottom w:val="single" w:sz="4"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10" w:type="pct"/>
            <w:tcBorders>
              <w:top w:val="nil"/>
              <w:left w:val="nil"/>
              <w:bottom w:val="single" w:sz="4"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243" w:type="pct"/>
            <w:tcBorders>
              <w:top w:val="nil"/>
              <w:left w:val="nil"/>
              <w:bottom w:val="single" w:sz="4"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733" w:type="pct"/>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15" w:type="pct"/>
            <w:tcBorders>
              <w:top w:val="nil"/>
              <w:left w:val="nil"/>
              <w:bottom w:val="dashed"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w:t>
            </w:r>
          </w:p>
        </w:tc>
        <w:tc>
          <w:tcPr>
            <w:tcW w:w="80" w:type="pct"/>
            <w:gridSpan w:val="2"/>
            <w:noWrap/>
            <w:vAlign w:val="bottom"/>
            <w:hideMark/>
          </w:tcPr>
          <w:p w:rsidR="00413F0B" w:rsidRDefault="00413F0B">
            <w:pPr>
              <w:rPr>
                <w:rFonts w:ascii="Garamond" w:eastAsia="Times New Roman" w:hAnsi="Garamond"/>
                <w:b/>
                <w:bCs/>
                <w:color w:val="C00000"/>
                <w:sz w:val="20"/>
                <w:szCs w:val="20"/>
                <w:lang w:val="sq-AL" w:eastAsia="sq-AL"/>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tcBorders>
              <w:top w:val="nil"/>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11" w:type="pct"/>
            <w:gridSpan w:val="2"/>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656" w:type="pct"/>
            <w:tcBorders>
              <w:top w:val="single" w:sz="4" w:space="0" w:color="auto"/>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2843" w:type="pct"/>
            <w:gridSpan w:val="6"/>
            <w:tcBorders>
              <w:top w:val="single" w:sz="4" w:space="0" w:color="auto"/>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**Treguesit e performancës/produktet:</w:t>
            </w:r>
          </w:p>
        </w:tc>
        <w:tc>
          <w:tcPr>
            <w:tcW w:w="315" w:type="pct"/>
            <w:tcBorders>
              <w:top w:val="nil"/>
              <w:left w:val="nil"/>
              <w:bottom w:val="dashed"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w:t>
            </w:r>
          </w:p>
        </w:tc>
        <w:tc>
          <w:tcPr>
            <w:tcW w:w="80" w:type="pct"/>
            <w:gridSpan w:val="2"/>
            <w:noWrap/>
            <w:vAlign w:val="bottom"/>
            <w:hideMark/>
          </w:tcPr>
          <w:p w:rsidR="00413F0B" w:rsidRDefault="00413F0B">
            <w:pPr>
              <w:rPr>
                <w:rFonts w:ascii="Garamond" w:eastAsia="Times New Roman" w:hAnsi="Garamond"/>
                <w:b/>
                <w:bCs/>
                <w:color w:val="C00000"/>
                <w:sz w:val="20"/>
                <w:szCs w:val="20"/>
                <w:lang w:val="sq-AL" w:eastAsia="sq-AL"/>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750"/>
        </w:trPr>
        <w:tc>
          <w:tcPr>
            <w:tcW w:w="707" w:type="pct"/>
            <w:gridSpan w:val="4"/>
            <w:tcBorders>
              <w:top w:val="single" w:sz="4" w:space="0" w:color="auto"/>
              <w:left w:val="single" w:sz="8" w:space="0" w:color="auto"/>
              <w:bottom w:val="single" w:sz="4" w:space="0" w:color="auto"/>
              <w:right w:val="single" w:sz="4" w:space="0" w:color="000000"/>
            </w:tcBorders>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993300"/>
                <w:sz w:val="20"/>
                <w:szCs w:val="20"/>
                <w:lang w:val="sq-AL" w:eastAsia="sq-AL"/>
              </w:rPr>
              <w:t>*Objektivat e politikës*:</w:t>
            </w:r>
          </w:p>
        </w:tc>
        <w:tc>
          <w:tcPr>
            <w:tcW w:w="656" w:type="pct"/>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Kodi i</w:t>
            </w:r>
            <w:r>
              <w:rPr>
                <w:rFonts w:ascii="Garamond" w:eastAsia="Times New Roman" w:hAnsi="Garamond"/>
                <w:b/>
                <w:bCs/>
                <w:color w:val="000000"/>
                <w:sz w:val="20"/>
                <w:szCs w:val="20"/>
                <w:lang w:val="sq-AL" w:eastAsia="sq-AL"/>
              </w:rPr>
              <w:br/>
              <w:t>Treguesit të Performancës/produktit</w:t>
            </w:r>
          </w:p>
        </w:tc>
        <w:tc>
          <w:tcPr>
            <w:tcW w:w="828" w:type="pct"/>
            <w:tcBorders>
              <w:top w:val="nil"/>
              <w:left w:val="nil"/>
              <w:bottom w:val="single" w:sz="4"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Emërtimi i treguesit të performancës</w:t>
            </w:r>
            <w:r>
              <w:rPr>
                <w:rFonts w:ascii="Garamond" w:eastAsia="Times New Roman" w:hAnsi="Garamond"/>
                <w:b/>
                <w:bCs/>
                <w:color w:val="993300"/>
                <w:sz w:val="20"/>
                <w:szCs w:val="20"/>
                <w:lang w:val="sq-AL" w:eastAsia="sq-AL"/>
              </w:rPr>
              <w:t>***</w:t>
            </w:r>
            <w:r>
              <w:rPr>
                <w:rFonts w:ascii="Garamond" w:eastAsia="Times New Roman" w:hAnsi="Garamond"/>
                <w:b/>
                <w:bCs/>
                <w:color w:val="000000"/>
                <w:sz w:val="20"/>
                <w:szCs w:val="20"/>
                <w:lang w:val="sq-AL" w:eastAsia="sq-AL"/>
              </w:rPr>
              <w:t>/produktit</w:t>
            </w:r>
          </w:p>
        </w:tc>
        <w:tc>
          <w:tcPr>
            <w:tcW w:w="366" w:type="pct"/>
            <w:tcBorders>
              <w:top w:val="nil"/>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Niveli faktik i  vitit paraardhëse</w:t>
            </w:r>
          </w:p>
        </w:tc>
        <w:tc>
          <w:tcPr>
            <w:tcW w:w="363" w:type="pct"/>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Niveli i planifikuar në vitin korrent</w:t>
            </w:r>
          </w:p>
        </w:tc>
        <w:tc>
          <w:tcPr>
            <w:tcW w:w="310" w:type="pct"/>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Niveli i rishikuar në vitin korrent</w:t>
            </w:r>
          </w:p>
        </w:tc>
        <w:tc>
          <w:tcPr>
            <w:tcW w:w="243" w:type="pct"/>
            <w:tcBorders>
              <w:top w:val="nil"/>
              <w:left w:val="nil"/>
              <w:bottom w:val="single" w:sz="4"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Niveli faktik në fund të vitit korrent</w:t>
            </w:r>
          </w:p>
        </w:tc>
        <w:tc>
          <w:tcPr>
            <w:tcW w:w="733" w:type="pct"/>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e Realizimit të treguesit të performancës/Produktit</w:t>
            </w:r>
          </w:p>
        </w:tc>
        <w:tc>
          <w:tcPr>
            <w:tcW w:w="315" w:type="pct"/>
            <w:tcBorders>
              <w:top w:val="nil"/>
              <w:left w:val="nil"/>
              <w:bottom w:val="single" w:sz="4"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 </w:t>
            </w:r>
          </w:p>
        </w:tc>
        <w:tc>
          <w:tcPr>
            <w:tcW w:w="80" w:type="pct"/>
            <w:gridSpan w:val="2"/>
            <w:noWrap/>
            <w:vAlign w:val="bottom"/>
            <w:hideMark/>
          </w:tcPr>
          <w:p w:rsidR="00413F0B" w:rsidRDefault="00413F0B">
            <w:pPr>
              <w:rPr>
                <w:rFonts w:ascii="Garamond" w:eastAsia="Times New Roman" w:hAnsi="Garamond"/>
                <w:b/>
                <w:bCs/>
                <w:color w:val="C00000"/>
                <w:sz w:val="20"/>
                <w:szCs w:val="20"/>
                <w:lang w:val="sq-AL" w:eastAsia="sq-AL"/>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tcBorders>
              <w:top w:val="nil"/>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i/>
                <w:iCs/>
                <w:color w:val="000000"/>
                <w:sz w:val="20"/>
                <w:szCs w:val="20"/>
                <w:lang w:val="sq-AL" w:eastAsia="sq-AL"/>
              </w:rPr>
            </w:pPr>
            <w:r>
              <w:rPr>
                <w:rFonts w:ascii="Garamond" w:eastAsia="Times New Roman" w:hAnsi="Garamond"/>
                <w:b/>
                <w:bCs/>
                <w:i/>
                <w:iCs/>
                <w:color w:val="000000"/>
                <w:sz w:val="20"/>
                <w:szCs w:val="20"/>
                <w:lang w:val="sq-AL" w:eastAsia="sq-AL"/>
              </w:rPr>
              <w:t>Objektivi 1.1</w:t>
            </w:r>
          </w:p>
        </w:tc>
        <w:tc>
          <w:tcPr>
            <w:tcW w:w="311" w:type="pct"/>
            <w:gridSpan w:val="2"/>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656" w:type="pct"/>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left"/>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828" w:type="pct"/>
            <w:tcBorders>
              <w:top w:val="nil"/>
              <w:left w:val="nil"/>
              <w:bottom w:val="single" w:sz="4"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66" w:type="pct"/>
            <w:tcBorders>
              <w:top w:val="nil"/>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63" w:type="pct"/>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10" w:type="pct"/>
            <w:tcBorders>
              <w:top w:val="nil"/>
              <w:left w:val="nil"/>
              <w:bottom w:val="single" w:sz="4"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243" w:type="pct"/>
            <w:tcBorders>
              <w:top w:val="nil"/>
              <w:left w:val="single" w:sz="4" w:space="0" w:color="auto"/>
              <w:bottom w:val="single" w:sz="4"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733" w:type="pct"/>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315" w:type="pct"/>
            <w:tcBorders>
              <w:top w:val="nil"/>
              <w:left w:val="nil"/>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w:t>
            </w:r>
          </w:p>
        </w:tc>
        <w:tc>
          <w:tcPr>
            <w:tcW w:w="80" w:type="pct"/>
            <w:gridSpan w:val="2"/>
            <w:noWrap/>
            <w:vAlign w:val="bottom"/>
            <w:hideMark/>
          </w:tcPr>
          <w:p w:rsidR="00413F0B" w:rsidRDefault="00413F0B">
            <w:pPr>
              <w:rPr>
                <w:rFonts w:ascii="Garamond" w:eastAsia="Times New Roman" w:hAnsi="Garamond"/>
                <w:b/>
                <w:bCs/>
                <w:color w:val="C00000"/>
                <w:sz w:val="20"/>
                <w:szCs w:val="20"/>
                <w:lang w:val="sq-AL" w:eastAsia="sq-AL"/>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tcBorders>
              <w:top w:val="nil"/>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i/>
                <w:iCs/>
                <w:color w:val="000000"/>
                <w:sz w:val="20"/>
                <w:szCs w:val="20"/>
                <w:lang w:val="sq-AL" w:eastAsia="sq-AL"/>
              </w:rPr>
            </w:pPr>
            <w:r>
              <w:rPr>
                <w:rFonts w:ascii="Garamond" w:eastAsia="Times New Roman" w:hAnsi="Garamond"/>
                <w:b/>
                <w:bCs/>
                <w:i/>
                <w:iCs/>
                <w:color w:val="000000"/>
                <w:sz w:val="20"/>
                <w:szCs w:val="20"/>
                <w:lang w:val="sq-AL" w:eastAsia="sq-AL"/>
              </w:rPr>
              <w:t> </w:t>
            </w:r>
          </w:p>
        </w:tc>
        <w:tc>
          <w:tcPr>
            <w:tcW w:w="311" w:type="pct"/>
            <w:gridSpan w:val="2"/>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656"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828" w:type="pct"/>
            <w:tcBorders>
              <w:top w:val="nil"/>
              <w:left w:val="nil"/>
              <w:bottom w:val="single" w:sz="4" w:space="0" w:color="auto"/>
              <w:right w:val="nil"/>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366" w:type="pct"/>
            <w:tcBorders>
              <w:top w:val="nil"/>
              <w:left w:val="single" w:sz="8" w:space="0" w:color="auto"/>
              <w:bottom w:val="nil"/>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6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10" w:type="pct"/>
            <w:tcBorders>
              <w:top w:val="nil"/>
              <w:left w:val="nil"/>
              <w:bottom w:val="single" w:sz="4" w:space="0" w:color="auto"/>
              <w:right w:val="nil"/>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243" w:type="pct"/>
            <w:tcBorders>
              <w:top w:val="nil"/>
              <w:left w:val="single" w:sz="4" w:space="0" w:color="auto"/>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733" w:type="pct"/>
            <w:tcBorders>
              <w:top w:val="nil"/>
              <w:left w:val="nil"/>
              <w:bottom w:val="single" w:sz="4" w:space="0" w:color="auto"/>
              <w:right w:val="single" w:sz="4" w:space="0" w:color="auto"/>
            </w:tcBorders>
            <w:shd w:val="clear" w:color="auto" w:fill="D9D9D9"/>
            <w:vAlign w:val="center"/>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#DIV/0!</w:t>
            </w:r>
          </w:p>
        </w:tc>
        <w:tc>
          <w:tcPr>
            <w:tcW w:w="315" w:type="pct"/>
            <w:tcBorders>
              <w:top w:val="nil"/>
              <w:left w:val="nil"/>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w:t>
            </w:r>
          </w:p>
        </w:tc>
        <w:tc>
          <w:tcPr>
            <w:tcW w:w="80" w:type="pct"/>
            <w:gridSpan w:val="2"/>
            <w:noWrap/>
            <w:vAlign w:val="bottom"/>
            <w:hideMark/>
          </w:tcPr>
          <w:p w:rsidR="00413F0B" w:rsidRDefault="00413F0B">
            <w:pPr>
              <w:rPr>
                <w:rFonts w:ascii="Garamond" w:eastAsia="Times New Roman" w:hAnsi="Garamond"/>
                <w:b/>
                <w:bCs/>
                <w:color w:val="C00000"/>
                <w:sz w:val="20"/>
                <w:szCs w:val="20"/>
                <w:lang w:val="sq-AL" w:eastAsia="sq-AL"/>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tcBorders>
              <w:top w:val="nil"/>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i/>
                <w:iCs/>
                <w:color w:val="000000"/>
                <w:sz w:val="20"/>
                <w:szCs w:val="20"/>
                <w:lang w:val="sq-AL" w:eastAsia="sq-AL"/>
              </w:rPr>
            </w:pPr>
            <w:r>
              <w:rPr>
                <w:rFonts w:ascii="Garamond" w:eastAsia="Times New Roman" w:hAnsi="Garamond"/>
                <w:b/>
                <w:bCs/>
                <w:i/>
                <w:iCs/>
                <w:color w:val="000000"/>
                <w:sz w:val="20"/>
                <w:szCs w:val="20"/>
                <w:lang w:val="sq-AL" w:eastAsia="sq-AL"/>
              </w:rPr>
              <w:t> </w:t>
            </w:r>
          </w:p>
        </w:tc>
        <w:tc>
          <w:tcPr>
            <w:tcW w:w="311" w:type="pct"/>
            <w:gridSpan w:val="2"/>
            <w:tcBorders>
              <w:top w:val="single" w:sz="4" w:space="0" w:color="auto"/>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656"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828" w:type="pct"/>
            <w:tcBorders>
              <w:top w:val="nil"/>
              <w:left w:val="nil"/>
              <w:bottom w:val="single" w:sz="4" w:space="0" w:color="auto"/>
              <w:right w:val="nil"/>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366" w:type="pct"/>
            <w:tcBorders>
              <w:top w:val="single" w:sz="4" w:space="0" w:color="auto"/>
              <w:left w:val="single" w:sz="8" w:space="0" w:color="auto"/>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6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10" w:type="pct"/>
            <w:tcBorders>
              <w:top w:val="nil"/>
              <w:left w:val="nil"/>
              <w:bottom w:val="single" w:sz="4" w:space="0" w:color="auto"/>
              <w:right w:val="nil"/>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243" w:type="pct"/>
            <w:tcBorders>
              <w:top w:val="nil"/>
              <w:left w:val="single" w:sz="4" w:space="0" w:color="auto"/>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733" w:type="pct"/>
            <w:tcBorders>
              <w:top w:val="nil"/>
              <w:left w:val="nil"/>
              <w:bottom w:val="single" w:sz="4" w:space="0" w:color="auto"/>
              <w:right w:val="single" w:sz="4" w:space="0" w:color="auto"/>
            </w:tcBorders>
            <w:shd w:val="clear" w:color="auto" w:fill="D9D9D9"/>
            <w:vAlign w:val="center"/>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#DIV/0!</w:t>
            </w:r>
          </w:p>
        </w:tc>
        <w:tc>
          <w:tcPr>
            <w:tcW w:w="315" w:type="pct"/>
            <w:tcBorders>
              <w:top w:val="nil"/>
              <w:left w:val="nil"/>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w:t>
            </w:r>
          </w:p>
        </w:tc>
        <w:tc>
          <w:tcPr>
            <w:tcW w:w="80" w:type="pct"/>
            <w:gridSpan w:val="2"/>
            <w:noWrap/>
            <w:vAlign w:val="bottom"/>
            <w:hideMark/>
          </w:tcPr>
          <w:p w:rsidR="00413F0B" w:rsidRDefault="00413F0B">
            <w:pPr>
              <w:rPr>
                <w:rFonts w:ascii="Garamond" w:eastAsia="Times New Roman" w:hAnsi="Garamond"/>
                <w:b/>
                <w:bCs/>
                <w:color w:val="C00000"/>
                <w:sz w:val="20"/>
                <w:szCs w:val="20"/>
                <w:lang w:val="sq-AL" w:eastAsia="sq-AL"/>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tcBorders>
              <w:top w:val="nil"/>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i/>
                <w:iCs/>
                <w:color w:val="000000"/>
                <w:sz w:val="20"/>
                <w:szCs w:val="20"/>
                <w:lang w:val="sq-AL" w:eastAsia="sq-AL"/>
              </w:rPr>
            </w:pPr>
            <w:r>
              <w:rPr>
                <w:rFonts w:ascii="Garamond" w:eastAsia="Times New Roman" w:hAnsi="Garamond"/>
                <w:b/>
                <w:bCs/>
                <w:i/>
                <w:iCs/>
                <w:color w:val="000000"/>
                <w:sz w:val="20"/>
                <w:szCs w:val="20"/>
                <w:lang w:val="sq-AL" w:eastAsia="sq-AL"/>
              </w:rPr>
              <w:t> </w:t>
            </w:r>
          </w:p>
        </w:tc>
        <w:tc>
          <w:tcPr>
            <w:tcW w:w="311" w:type="pct"/>
            <w:gridSpan w:val="2"/>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656"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828" w:type="pct"/>
            <w:tcBorders>
              <w:top w:val="nil"/>
              <w:left w:val="nil"/>
              <w:bottom w:val="single" w:sz="4" w:space="0" w:color="auto"/>
              <w:right w:val="nil"/>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366" w:type="pct"/>
            <w:tcBorders>
              <w:top w:val="nil"/>
              <w:left w:val="single" w:sz="8" w:space="0" w:color="auto"/>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6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10" w:type="pct"/>
            <w:tcBorders>
              <w:top w:val="nil"/>
              <w:left w:val="nil"/>
              <w:bottom w:val="single" w:sz="4" w:space="0" w:color="auto"/>
              <w:right w:val="nil"/>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243" w:type="pct"/>
            <w:tcBorders>
              <w:top w:val="nil"/>
              <w:left w:val="single" w:sz="4" w:space="0" w:color="auto"/>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733" w:type="pct"/>
            <w:tcBorders>
              <w:top w:val="nil"/>
              <w:left w:val="nil"/>
              <w:bottom w:val="single" w:sz="4" w:space="0" w:color="auto"/>
              <w:right w:val="single" w:sz="4" w:space="0" w:color="auto"/>
            </w:tcBorders>
            <w:shd w:val="clear" w:color="auto" w:fill="D9D9D9"/>
            <w:vAlign w:val="center"/>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#DIV/0!</w:t>
            </w:r>
          </w:p>
        </w:tc>
        <w:tc>
          <w:tcPr>
            <w:tcW w:w="315" w:type="pct"/>
            <w:tcBorders>
              <w:top w:val="nil"/>
              <w:left w:val="nil"/>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w:t>
            </w:r>
          </w:p>
        </w:tc>
        <w:tc>
          <w:tcPr>
            <w:tcW w:w="80" w:type="pct"/>
            <w:gridSpan w:val="2"/>
            <w:noWrap/>
            <w:vAlign w:val="bottom"/>
            <w:hideMark/>
          </w:tcPr>
          <w:p w:rsidR="00413F0B" w:rsidRDefault="00413F0B">
            <w:pPr>
              <w:rPr>
                <w:rFonts w:ascii="Garamond" w:eastAsia="Times New Roman" w:hAnsi="Garamond"/>
                <w:b/>
                <w:bCs/>
                <w:color w:val="C00000"/>
                <w:sz w:val="20"/>
                <w:szCs w:val="20"/>
                <w:lang w:val="sq-AL" w:eastAsia="sq-AL"/>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tcBorders>
              <w:top w:val="nil"/>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i/>
                <w:iCs/>
                <w:color w:val="000000"/>
                <w:sz w:val="20"/>
                <w:szCs w:val="20"/>
                <w:lang w:val="sq-AL" w:eastAsia="sq-AL"/>
              </w:rPr>
            </w:pPr>
            <w:r>
              <w:rPr>
                <w:rFonts w:ascii="Garamond" w:eastAsia="Times New Roman" w:hAnsi="Garamond"/>
                <w:b/>
                <w:bCs/>
                <w:i/>
                <w:iCs/>
                <w:color w:val="000000"/>
                <w:sz w:val="20"/>
                <w:szCs w:val="20"/>
                <w:lang w:val="sq-AL" w:eastAsia="sq-AL"/>
              </w:rPr>
              <w:t xml:space="preserve">Objektivi 1.2 </w:t>
            </w:r>
          </w:p>
        </w:tc>
        <w:tc>
          <w:tcPr>
            <w:tcW w:w="311" w:type="pct"/>
            <w:gridSpan w:val="2"/>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656" w:type="pct"/>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828" w:type="pct"/>
            <w:tcBorders>
              <w:top w:val="nil"/>
              <w:left w:val="nil"/>
              <w:bottom w:val="single" w:sz="4"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366" w:type="pct"/>
            <w:tcBorders>
              <w:top w:val="nil"/>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63" w:type="pct"/>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310" w:type="pct"/>
            <w:tcBorders>
              <w:top w:val="nil"/>
              <w:left w:val="nil"/>
              <w:bottom w:val="single" w:sz="4" w:space="0" w:color="auto"/>
              <w:right w:val="nil"/>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243" w:type="pct"/>
            <w:tcBorders>
              <w:top w:val="nil"/>
              <w:left w:val="single" w:sz="4" w:space="0" w:color="auto"/>
              <w:bottom w:val="single" w:sz="4"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733" w:type="pct"/>
            <w:tcBorders>
              <w:top w:val="nil"/>
              <w:left w:val="single" w:sz="4" w:space="0" w:color="auto"/>
              <w:bottom w:val="single" w:sz="4"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315" w:type="pct"/>
            <w:tcBorders>
              <w:top w:val="nil"/>
              <w:left w:val="nil"/>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w:t>
            </w:r>
          </w:p>
        </w:tc>
        <w:tc>
          <w:tcPr>
            <w:tcW w:w="80" w:type="pct"/>
            <w:gridSpan w:val="2"/>
            <w:noWrap/>
            <w:vAlign w:val="bottom"/>
            <w:hideMark/>
          </w:tcPr>
          <w:p w:rsidR="00413F0B" w:rsidRDefault="00413F0B">
            <w:pPr>
              <w:rPr>
                <w:rFonts w:ascii="Garamond" w:eastAsia="Times New Roman" w:hAnsi="Garamond"/>
                <w:b/>
                <w:bCs/>
                <w:color w:val="C00000"/>
                <w:sz w:val="20"/>
                <w:szCs w:val="20"/>
                <w:lang w:val="sq-AL" w:eastAsia="sq-AL"/>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tcBorders>
              <w:top w:val="nil"/>
              <w:left w:val="single" w:sz="8" w:space="0" w:color="auto"/>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i/>
                <w:iCs/>
                <w:sz w:val="20"/>
                <w:szCs w:val="20"/>
                <w:lang w:val="sq-AL" w:eastAsia="sq-AL"/>
              </w:rPr>
            </w:pPr>
            <w:r>
              <w:rPr>
                <w:rFonts w:ascii="Garamond" w:eastAsia="Times New Roman" w:hAnsi="Garamond"/>
                <w:i/>
                <w:iCs/>
                <w:sz w:val="20"/>
                <w:szCs w:val="20"/>
                <w:lang w:val="sq-AL" w:eastAsia="sq-AL"/>
              </w:rPr>
              <w:t> </w:t>
            </w:r>
          </w:p>
        </w:tc>
        <w:tc>
          <w:tcPr>
            <w:tcW w:w="311" w:type="pct"/>
            <w:gridSpan w:val="2"/>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656"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828" w:type="pct"/>
            <w:tcBorders>
              <w:top w:val="nil"/>
              <w:left w:val="nil"/>
              <w:bottom w:val="single" w:sz="4" w:space="0" w:color="auto"/>
              <w:right w:val="nil"/>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366" w:type="pct"/>
            <w:tcBorders>
              <w:top w:val="nil"/>
              <w:left w:val="single" w:sz="8" w:space="0" w:color="auto"/>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6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310" w:type="pct"/>
            <w:tcBorders>
              <w:top w:val="nil"/>
              <w:left w:val="nil"/>
              <w:bottom w:val="single" w:sz="4" w:space="0" w:color="auto"/>
              <w:right w:val="nil"/>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243" w:type="pct"/>
            <w:tcBorders>
              <w:top w:val="nil"/>
              <w:left w:val="single" w:sz="4" w:space="0" w:color="auto"/>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733" w:type="pct"/>
            <w:tcBorders>
              <w:top w:val="nil"/>
              <w:left w:val="nil"/>
              <w:bottom w:val="single" w:sz="4" w:space="0" w:color="auto"/>
              <w:right w:val="single" w:sz="4" w:space="0" w:color="auto"/>
            </w:tcBorders>
            <w:shd w:val="clear" w:color="auto" w:fill="D9D9D9"/>
            <w:vAlign w:val="center"/>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#DIV/0!</w:t>
            </w:r>
          </w:p>
        </w:tc>
        <w:tc>
          <w:tcPr>
            <w:tcW w:w="315" w:type="pct"/>
            <w:tcBorders>
              <w:top w:val="nil"/>
              <w:left w:val="nil"/>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w:t>
            </w:r>
          </w:p>
        </w:tc>
        <w:tc>
          <w:tcPr>
            <w:tcW w:w="80" w:type="pct"/>
            <w:gridSpan w:val="2"/>
            <w:noWrap/>
            <w:vAlign w:val="bottom"/>
            <w:hideMark/>
          </w:tcPr>
          <w:p w:rsidR="00413F0B" w:rsidRDefault="00413F0B">
            <w:pPr>
              <w:rPr>
                <w:rFonts w:ascii="Garamond" w:eastAsia="Times New Roman" w:hAnsi="Garamond"/>
                <w:b/>
                <w:bCs/>
                <w:color w:val="C00000"/>
                <w:sz w:val="20"/>
                <w:szCs w:val="20"/>
                <w:lang w:val="sq-AL" w:eastAsia="sq-AL"/>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tcBorders>
              <w:top w:val="single" w:sz="4" w:space="0" w:color="auto"/>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i/>
                <w:iCs/>
                <w:color w:val="000000"/>
                <w:sz w:val="20"/>
                <w:szCs w:val="20"/>
                <w:lang w:val="sq-AL" w:eastAsia="sq-AL"/>
              </w:rPr>
            </w:pPr>
            <w:r>
              <w:rPr>
                <w:rFonts w:ascii="Garamond" w:eastAsia="Times New Roman" w:hAnsi="Garamond"/>
                <w:b/>
                <w:bCs/>
                <w:i/>
                <w:iCs/>
                <w:color w:val="000000"/>
                <w:sz w:val="20"/>
                <w:szCs w:val="20"/>
                <w:lang w:val="sq-AL" w:eastAsia="sq-AL"/>
              </w:rPr>
              <w:t> </w:t>
            </w:r>
          </w:p>
        </w:tc>
        <w:tc>
          <w:tcPr>
            <w:tcW w:w="311" w:type="pct"/>
            <w:gridSpan w:val="2"/>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656"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828" w:type="pct"/>
            <w:tcBorders>
              <w:top w:val="nil"/>
              <w:left w:val="nil"/>
              <w:bottom w:val="single" w:sz="4" w:space="0" w:color="auto"/>
              <w:right w:val="nil"/>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366" w:type="pct"/>
            <w:tcBorders>
              <w:top w:val="nil"/>
              <w:left w:val="single" w:sz="8" w:space="0" w:color="auto"/>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6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310" w:type="pct"/>
            <w:tcBorders>
              <w:top w:val="nil"/>
              <w:left w:val="nil"/>
              <w:bottom w:val="single" w:sz="4" w:space="0" w:color="auto"/>
              <w:right w:val="nil"/>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243" w:type="pct"/>
            <w:tcBorders>
              <w:top w:val="nil"/>
              <w:left w:val="single" w:sz="4" w:space="0" w:color="auto"/>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733" w:type="pct"/>
            <w:tcBorders>
              <w:top w:val="nil"/>
              <w:left w:val="nil"/>
              <w:bottom w:val="single" w:sz="4" w:space="0" w:color="auto"/>
              <w:right w:val="single" w:sz="4" w:space="0" w:color="auto"/>
            </w:tcBorders>
            <w:shd w:val="clear" w:color="auto" w:fill="D9D9D9"/>
            <w:vAlign w:val="center"/>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#DIV/0!</w:t>
            </w:r>
          </w:p>
        </w:tc>
        <w:tc>
          <w:tcPr>
            <w:tcW w:w="315" w:type="pct"/>
            <w:tcBorders>
              <w:top w:val="nil"/>
              <w:left w:val="nil"/>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w:t>
            </w:r>
          </w:p>
        </w:tc>
        <w:tc>
          <w:tcPr>
            <w:tcW w:w="80" w:type="pct"/>
            <w:gridSpan w:val="2"/>
            <w:noWrap/>
            <w:vAlign w:val="bottom"/>
            <w:hideMark/>
          </w:tcPr>
          <w:p w:rsidR="00413F0B" w:rsidRDefault="00413F0B">
            <w:pPr>
              <w:rPr>
                <w:rFonts w:ascii="Garamond" w:eastAsia="Times New Roman" w:hAnsi="Garamond"/>
                <w:b/>
                <w:bCs/>
                <w:color w:val="C00000"/>
                <w:sz w:val="20"/>
                <w:szCs w:val="20"/>
                <w:lang w:val="sq-AL" w:eastAsia="sq-AL"/>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tcBorders>
              <w:top w:val="nil"/>
              <w:left w:val="single" w:sz="8" w:space="0" w:color="auto"/>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i/>
                <w:iCs/>
                <w:color w:val="000000"/>
                <w:sz w:val="20"/>
                <w:szCs w:val="20"/>
                <w:lang w:val="sq-AL" w:eastAsia="sq-AL"/>
              </w:rPr>
            </w:pPr>
            <w:r>
              <w:rPr>
                <w:rFonts w:ascii="Garamond" w:eastAsia="Times New Roman" w:hAnsi="Garamond"/>
                <w:b/>
                <w:bCs/>
                <w:i/>
                <w:iCs/>
                <w:color w:val="000000"/>
                <w:sz w:val="20"/>
                <w:szCs w:val="20"/>
                <w:lang w:val="sq-AL" w:eastAsia="sq-AL"/>
              </w:rPr>
              <w:t> </w:t>
            </w:r>
          </w:p>
        </w:tc>
        <w:tc>
          <w:tcPr>
            <w:tcW w:w="311" w:type="pct"/>
            <w:gridSpan w:val="2"/>
            <w:tcBorders>
              <w:top w:val="nil"/>
              <w:left w:val="nil"/>
              <w:bottom w:val="single" w:sz="4"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656"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828" w:type="pct"/>
            <w:tcBorders>
              <w:top w:val="nil"/>
              <w:left w:val="nil"/>
              <w:bottom w:val="single" w:sz="4" w:space="0" w:color="auto"/>
              <w:right w:val="nil"/>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366" w:type="pct"/>
            <w:tcBorders>
              <w:top w:val="nil"/>
              <w:left w:val="single" w:sz="8" w:space="0" w:color="auto"/>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6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310" w:type="pct"/>
            <w:tcBorders>
              <w:top w:val="nil"/>
              <w:left w:val="nil"/>
              <w:bottom w:val="single" w:sz="4" w:space="0" w:color="auto"/>
              <w:right w:val="nil"/>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243" w:type="pct"/>
            <w:tcBorders>
              <w:top w:val="nil"/>
              <w:left w:val="single" w:sz="4" w:space="0" w:color="auto"/>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733" w:type="pct"/>
            <w:tcBorders>
              <w:top w:val="nil"/>
              <w:left w:val="nil"/>
              <w:bottom w:val="single" w:sz="4" w:space="0" w:color="auto"/>
              <w:right w:val="single" w:sz="4" w:space="0" w:color="auto"/>
            </w:tcBorders>
            <w:shd w:val="clear" w:color="auto" w:fill="D9D9D9"/>
            <w:vAlign w:val="center"/>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#DIV/0!</w:t>
            </w:r>
          </w:p>
        </w:tc>
        <w:tc>
          <w:tcPr>
            <w:tcW w:w="315" w:type="pct"/>
            <w:tcBorders>
              <w:top w:val="nil"/>
              <w:left w:val="nil"/>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w:t>
            </w:r>
          </w:p>
        </w:tc>
        <w:tc>
          <w:tcPr>
            <w:tcW w:w="80" w:type="pct"/>
            <w:gridSpan w:val="2"/>
            <w:noWrap/>
            <w:vAlign w:val="bottom"/>
            <w:hideMark/>
          </w:tcPr>
          <w:p w:rsidR="00413F0B" w:rsidRDefault="00413F0B">
            <w:pPr>
              <w:rPr>
                <w:rFonts w:ascii="Garamond" w:eastAsia="Times New Roman" w:hAnsi="Garamond"/>
                <w:b/>
                <w:bCs/>
                <w:color w:val="C00000"/>
                <w:sz w:val="20"/>
                <w:szCs w:val="20"/>
                <w:lang w:val="sq-AL" w:eastAsia="sq-AL"/>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tcBorders>
              <w:top w:val="nil"/>
              <w:left w:val="single" w:sz="8" w:space="0" w:color="auto"/>
              <w:bottom w:val="single" w:sz="8"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i/>
                <w:iCs/>
                <w:color w:val="000000"/>
                <w:sz w:val="20"/>
                <w:szCs w:val="20"/>
                <w:lang w:val="sq-AL" w:eastAsia="sq-AL"/>
              </w:rPr>
            </w:pPr>
            <w:r>
              <w:rPr>
                <w:rFonts w:ascii="Garamond" w:eastAsia="Times New Roman" w:hAnsi="Garamond"/>
                <w:b/>
                <w:bCs/>
                <w:i/>
                <w:iCs/>
                <w:color w:val="000000"/>
                <w:sz w:val="20"/>
                <w:szCs w:val="20"/>
                <w:lang w:val="sq-AL" w:eastAsia="sq-AL"/>
              </w:rPr>
              <w:t>Objektivi 1.3</w:t>
            </w:r>
          </w:p>
        </w:tc>
        <w:tc>
          <w:tcPr>
            <w:tcW w:w="311" w:type="pct"/>
            <w:gridSpan w:val="2"/>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xml:space="preserve"> ………..</w:t>
            </w:r>
          </w:p>
        </w:tc>
        <w:tc>
          <w:tcPr>
            <w:tcW w:w="656" w:type="pct"/>
            <w:tcBorders>
              <w:top w:val="nil"/>
              <w:left w:val="nil"/>
              <w:bottom w:val="single" w:sz="8"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828" w:type="pct"/>
            <w:tcBorders>
              <w:top w:val="nil"/>
              <w:left w:val="nil"/>
              <w:bottom w:val="single" w:sz="8" w:space="0" w:color="auto"/>
              <w:right w:val="nil"/>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w:t>
            </w:r>
          </w:p>
        </w:tc>
        <w:tc>
          <w:tcPr>
            <w:tcW w:w="366" w:type="pct"/>
            <w:tcBorders>
              <w:top w:val="nil"/>
              <w:left w:val="single" w:sz="8" w:space="0" w:color="auto"/>
              <w:bottom w:val="single" w:sz="8"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w:t>
            </w:r>
          </w:p>
        </w:tc>
        <w:tc>
          <w:tcPr>
            <w:tcW w:w="363" w:type="pct"/>
            <w:tcBorders>
              <w:top w:val="nil"/>
              <w:left w:val="nil"/>
              <w:bottom w:val="single" w:sz="8"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310" w:type="pct"/>
            <w:tcBorders>
              <w:top w:val="nil"/>
              <w:left w:val="nil"/>
              <w:bottom w:val="single" w:sz="8" w:space="0" w:color="auto"/>
              <w:right w:val="nil"/>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243" w:type="pct"/>
            <w:tcBorders>
              <w:top w:val="nil"/>
              <w:left w:val="single" w:sz="4" w:space="0" w:color="auto"/>
              <w:bottom w:val="single" w:sz="8" w:space="0" w:color="auto"/>
              <w:right w:val="single" w:sz="8" w:space="0" w:color="auto"/>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733" w:type="pct"/>
            <w:tcBorders>
              <w:top w:val="nil"/>
              <w:left w:val="nil"/>
              <w:bottom w:val="single" w:sz="8"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color w:val="000000"/>
                <w:sz w:val="20"/>
                <w:szCs w:val="20"/>
                <w:lang w:val="sq-AL" w:eastAsia="sq-AL"/>
              </w:rPr>
            </w:pPr>
            <w:r>
              <w:rPr>
                <w:rFonts w:ascii="Garamond" w:eastAsia="Times New Roman" w:hAnsi="Garamond"/>
                <w:color w:val="000000"/>
                <w:sz w:val="20"/>
                <w:szCs w:val="20"/>
                <w:lang w:val="sq-AL" w:eastAsia="sq-AL"/>
              </w:rPr>
              <w:t> </w:t>
            </w:r>
          </w:p>
        </w:tc>
        <w:tc>
          <w:tcPr>
            <w:tcW w:w="315" w:type="pct"/>
            <w:tcBorders>
              <w:top w:val="nil"/>
              <w:left w:val="nil"/>
              <w:bottom w:val="single" w:sz="8" w:space="0" w:color="auto"/>
              <w:right w:val="single" w:sz="8" w:space="0" w:color="auto"/>
            </w:tcBorders>
            <w:shd w:val="clear" w:color="auto" w:fill="FFFFCC"/>
            <w:vAlign w:val="center"/>
            <w:hideMark/>
          </w:tcPr>
          <w:p w:rsidR="00413F0B" w:rsidRDefault="00413F0B">
            <w:pPr>
              <w:spacing w:after="0" w:line="240" w:lineRule="auto"/>
              <w:ind w:firstLine="0"/>
              <w:jc w:val="center"/>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w:t>
            </w:r>
          </w:p>
        </w:tc>
        <w:tc>
          <w:tcPr>
            <w:tcW w:w="80" w:type="pct"/>
            <w:gridSpan w:val="2"/>
            <w:noWrap/>
            <w:vAlign w:val="bottom"/>
            <w:hideMark/>
          </w:tcPr>
          <w:p w:rsidR="00413F0B" w:rsidRDefault="00413F0B">
            <w:pPr>
              <w:rPr>
                <w:rFonts w:ascii="Garamond" w:eastAsia="Times New Roman" w:hAnsi="Garamond"/>
                <w:b/>
                <w:bCs/>
                <w:color w:val="C00000"/>
                <w:sz w:val="20"/>
                <w:szCs w:val="20"/>
                <w:lang w:val="sq-AL" w:eastAsia="sq-AL"/>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9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1"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65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828"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6"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6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0"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24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33"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315"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80"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76" w:type="pct"/>
            <w:gridSpan w:val="2"/>
            <w:noWrap/>
            <w:vAlign w:val="bottom"/>
            <w:hideMark/>
          </w:tcPr>
          <w:p w:rsidR="00413F0B" w:rsidRDefault="00413F0B">
            <w:pPr>
              <w:spacing w:after="0"/>
              <w:ind w:firstLine="0"/>
              <w:jc w:val="left"/>
              <w:rPr>
                <w:rFonts w:asciiTheme="minorHAnsi" w:eastAsiaTheme="minorHAnsi" w:hAnsiTheme="minorHAnsi" w:cstheme="minorBidi"/>
                <w:sz w:val="20"/>
                <w:szCs w:val="20"/>
              </w:rPr>
            </w:pPr>
          </w:p>
        </w:tc>
        <w:tc>
          <w:tcPr>
            <w:tcW w:w="94" w:type="pct"/>
            <w:noWrap/>
            <w:vAlign w:val="bottom"/>
            <w:hideMark/>
          </w:tcPr>
          <w:p w:rsidR="00413F0B" w:rsidRDefault="00413F0B">
            <w:pPr>
              <w:spacing w:after="0"/>
              <w:ind w:firstLine="0"/>
              <w:jc w:val="left"/>
              <w:rPr>
                <w:rFonts w:asciiTheme="minorHAnsi" w:eastAsiaTheme="minorHAnsi" w:hAnsiTheme="minorHAnsi" w:cstheme="minorBidi"/>
                <w:sz w:val="20"/>
                <w:szCs w:val="20"/>
              </w:rPr>
            </w:pPr>
          </w:p>
        </w:tc>
      </w:tr>
    </w:tbl>
    <w:p w:rsidR="00413F0B" w:rsidRDefault="00413F0B" w:rsidP="00413F0B">
      <w:pPr>
        <w:pStyle w:val="Paragrafi"/>
        <w:rPr>
          <w:lang w:val="sq-AL"/>
        </w:rPr>
      </w:pPr>
    </w:p>
    <w:p w:rsidR="00413F0B" w:rsidRDefault="00413F0B" w:rsidP="00413F0B">
      <w:pPr>
        <w:pStyle w:val="Paragrafi"/>
        <w:rPr>
          <w:lang w:val="sq-AL"/>
        </w:rPr>
      </w:pPr>
    </w:p>
    <w:p w:rsidR="00413F0B" w:rsidRDefault="00413F0B" w:rsidP="00413F0B">
      <w:pPr>
        <w:pStyle w:val="Paragrafi"/>
        <w:rPr>
          <w:lang w:val="sq-AL"/>
        </w:rPr>
      </w:pPr>
    </w:p>
    <w:p w:rsidR="00413F0B" w:rsidRDefault="00413F0B" w:rsidP="00413F0B">
      <w:pPr>
        <w:pStyle w:val="Paragrafi"/>
        <w:rPr>
          <w:lang w:val="sq-AL"/>
        </w:rPr>
      </w:pPr>
    </w:p>
    <w:p w:rsidR="00413F0B" w:rsidRDefault="00413F0B" w:rsidP="00413F0B">
      <w:pPr>
        <w:pStyle w:val="Paragrafi"/>
        <w:ind w:firstLine="0"/>
        <w:rPr>
          <w:lang w:val="sq-AL"/>
        </w:rPr>
      </w:pPr>
    </w:p>
    <w:p w:rsidR="00413F0B" w:rsidRDefault="00413F0B" w:rsidP="00413F0B">
      <w:pPr>
        <w:pStyle w:val="Paragrafi"/>
        <w:ind w:firstLine="0"/>
        <w:rPr>
          <w:lang w:val="sq-AL"/>
        </w:rPr>
      </w:pPr>
    </w:p>
    <w:p w:rsidR="00413F0B" w:rsidRDefault="00413F0B" w:rsidP="00413F0B">
      <w:pPr>
        <w:pStyle w:val="Paragrafi"/>
        <w:ind w:firstLine="0"/>
        <w:rPr>
          <w:lang w:val="sq-AL"/>
        </w:rPr>
      </w:pPr>
    </w:p>
    <w:p w:rsidR="00413F0B" w:rsidRDefault="00413F0B" w:rsidP="00413F0B">
      <w:pPr>
        <w:pStyle w:val="Paragrafi"/>
        <w:rPr>
          <w:lang w:val="sq-AL"/>
        </w:rPr>
      </w:pPr>
    </w:p>
    <w:tbl>
      <w:tblPr>
        <w:tblW w:w="5000" w:type="pct"/>
        <w:tblLook w:val="04A0" w:firstRow="1" w:lastRow="0" w:firstColumn="1" w:lastColumn="0" w:noHBand="0" w:noVBand="1"/>
      </w:tblPr>
      <w:tblGrid>
        <w:gridCol w:w="1026"/>
        <w:gridCol w:w="1103"/>
        <w:gridCol w:w="995"/>
        <w:gridCol w:w="995"/>
        <w:gridCol w:w="1309"/>
        <w:gridCol w:w="1522"/>
        <w:gridCol w:w="1321"/>
        <w:gridCol w:w="1472"/>
        <w:gridCol w:w="1666"/>
        <w:gridCol w:w="1472"/>
        <w:gridCol w:w="1472"/>
        <w:gridCol w:w="1047"/>
      </w:tblGrid>
      <w:tr w:rsidR="00413F0B" w:rsidTr="00413F0B">
        <w:trPr>
          <w:trHeight w:val="139"/>
        </w:trPr>
        <w:tc>
          <w:tcPr>
            <w:tcW w:w="5000" w:type="pct"/>
            <w:gridSpan w:val="12"/>
            <w:noWrap/>
            <w:vAlign w:val="center"/>
            <w:hideMark/>
          </w:tcPr>
          <w:p w:rsidR="00413F0B" w:rsidRDefault="00413F0B">
            <w:pPr>
              <w:spacing w:after="0" w:line="240" w:lineRule="auto"/>
              <w:ind w:firstLine="0"/>
              <w:jc w:val="center"/>
              <w:rPr>
                <w:rFonts w:ascii="Garamond" w:eastAsia="Times New Roman" w:hAnsi="Garamond"/>
                <w:bCs/>
                <w:sz w:val="24"/>
                <w:szCs w:val="24"/>
                <w:lang w:val="sq-AL" w:eastAsia="sq-AL"/>
              </w:rPr>
            </w:pPr>
            <w:r>
              <w:rPr>
                <w:rFonts w:ascii="Garamond" w:eastAsia="Times New Roman" w:hAnsi="Garamond"/>
                <w:bCs/>
                <w:sz w:val="24"/>
                <w:szCs w:val="24"/>
                <w:lang w:val="sq-AL" w:eastAsia="sq-AL"/>
              </w:rPr>
              <w:lastRenderedPageBreak/>
              <w:t>ANEKSI NR.5</w:t>
            </w:r>
          </w:p>
          <w:p w:rsidR="00413F0B" w:rsidRDefault="00413F0B">
            <w:pPr>
              <w:spacing w:after="0" w:line="240" w:lineRule="auto"/>
              <w:ind w:firstLine="0"/>
              <w:jc w:val="center"/>
              <w:rPr>
                <w:rFonts w:ascii="Garamond" w:eastAsia="Times New Roman" w:hAnsi="Garamond"/>
                <w:color w:val="C00000"/>
                <w:sz w:val="20"/>
                <w:szCs w:val="20"/>
                <w:u w:val="single"/>
                <w:lang w:val="sq-AL" w:eastAsia="sq-AL"/>
              </w:rPr>
            </w:pPr>
            <w:r>
              <w:rPr>
                <w:rFonts w:ascii="Garamond" w:eastAsia="Times New Roman" w:hAnsi="Garamond"/>
                <w:bCs/>
                <w:sz w:val="24"/>
                <w:szCs w:val="24"/>
                <w:lang w:val="sq-AL" w:eastAsia="sq-AL"/>
              </w:rPr>
              <w:t>PROJEKTET  E INVESTIMEVE ME FINANCIM TË BRENDSHËM DHE ME FINANCIM TË HUAJ</w:t>
            </w:r>
          </w:p>
        </w:tc>
      </w:tr>
      <w:tr w:rsidR="00413F0B" w:rsidTr="00413F0B">
        <w:trPr>
          <w:trHeight w:val="139"/>
        </w:trPr>
        <w:tc>
          <w:tcPr>
            <w:tcW w:w="333" w:type="pct"/>
            <w:noWrap/>
            <w:vAlign w:val="center"/>
            <w:hideMark/>
          </w:tcPr>
          <w:p w:rsidR="00413F0B" w:rsidRDefault="00413F0B">
            <w:pPr>
              <w:rPr>
                <w:rFonts w:ascii="Garamond" w:eastAsia="Times New Roman" w:hAnsi="Garamond"/>
                <w:color w:val="C00000"/>
                <w:sz w:val="20"/>
                <w:szCs w:val="20"/>
                <w:u w:val="single"/>
                <w:lang w:val="sq-AL" w:eastAsia="sq-AL"/>
              </w:rPr>
            </w:pPr>
          </w:p>
        </w:tc>
        <w:tc>
          <w:tcPr>
            <w:tcW w:w="358"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5"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94"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9"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541"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1762" w:type="pct"/>
            <w:gridSpan w:val="5"/>
            <w:noWrap/>
            <w:vAlign w:val="center"/>
            <w:hideMark/>
          </w:tcPr>
          <w:p w:rsidR="00413F0B" w:rsidRDefault="00413F0B">
            <w:pPr>
              <w:spacing w:after="0" w:line="240" w:lineRule="auto"/>
              <w:ind w:firstLine="0"/>
              <w:jc w:val="left"/>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Projektet me financim te brendshëm (në 000/lekë)</w:t>
            </w:r>
          </w:p>
        </w:tc>
        <w:tc>
          <w:tcPr>
            <w:tcW w:w="494" w:type="pct"/>
            <w:noWrap/>
            <w:vAlign w:val="center"/>
            <w:hideMark/>
          </w:tcPr>
          <w:p w:rsidR="00413F0B" w:rsidRDefault="00413F0B">
            <w:pPr>
              <w:rPr>
                <w:rFonts w:ascii="Garamond" w:eastAsia="Times New Roman" w:hAnsi="Garamond"/>
                <w:b/>
                <w:bCs/>
                <w:color w:val="C00000"/>
                <w:sz w:val="20"/>
                <w:szCs w:val="20"/>
                <w:lang w:val="sq-AL" w:eastAsia="sq-AL"/>
              </w:rPr>
            </w:pPr>
          </w:p>
        </w:tc>
        <w:tc>
          <w:tcPr>
            <w:tcW w:w="429"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541"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3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5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5"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94"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9"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541"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33" w:type="pct"/>
            <w:vMerge w:val="restart"/>
            <w:tcBorders>
              <w:top w:val="single" w:sz="8" w:space="0" w:color="auto"/>
              <w:left w:val="single" w:sz="8" w:space="0" w:color="auto"/>
              <w:bottom w:val="single" w:sz="8"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Kodi i projektit</w:t>
            </w:r>
          </w:p>
        </w:tc>
        <w:tc>
          <w:tcPr>
            <w:tcW w:w="358" w:type="pct"/>
            <w:vMerge w:val="restart"/>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Emërtimi i projektit</w:t>
            </w:r>
          </w:p>
        </w:tc>
        <w:tc>
          <w:tcPr>
            <w:tcW w:w="323" w:type="pct"/>
            <w:tcBorders>
              <w:top w:val="single" w:sz="8" w:space="0" w:color="auto"/>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 xml:space="preserve">Vlera e plotë </w:t>
            </w:r>
          </w:p>
        </w:tc>
        <w:tc>
          <w:tcPr>
            <w:tcW w:w="323" w:type="pct"/>
            <w:tcBorders>
              <w:top w:val="single" w:sz="8" w:space="0" w:color="auto"/>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Viti i fillimit</w:t>
            </w:r>
          </w:p>
        </w:tc>
        <w:tc>
          <w:tcPr>
            <w:tcW w:w="425" w:type="pct"/>
            <w:tcBorders>
              <w:top w:val="single" w:sz="8" w:space="0" w:color="auto"/>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Viti i përfundimit</w:t>
            </w:r>
          </w:p>
        </w:tc>
        <w:tc>
          <w:tcPr>
            <w:tcW w:w="494" w:type="pct"/>
            <w:tcBorders>
              <w:top w:val="single" w:sz="8" w:space="0" w:color="auto"/>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Buxheti ________</w:t>
            </w:r>
          </w:p>
        </w:tc>
        <w:tc>
          <w:tcPr>
            <w:tcW w:w="429" w:type="pct"/>
            <w:vMerge w:val="restart"/>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Plani i buxhetit viti ______</w:t>
            </w:r>
          </w:p>
        </w:tc>
        <w:tc>
          <w:tcPr>
            <w:tcW w:w="478" w:type="pct"/>
            <w:vMerge w:val="restart"/>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REALIZIMI PROGRESIV  nga fillimi i vitit deri në periudhën aktuale</w:t>
            </w:r>
          </w:p>
        </w:tc>
        <w:tc>
          <w:tcPr>
            <w:tcW w:w="541" w:type="pct"/>
            <w:vMerge w:val="restart"/>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REALIZIMI për periudhën e raportimit (4-mujore/-vjetore)</w:t>
            </w:r>
          </w:p>
        </w:tc>
        <w:tc>
          <w:tcPr>
            <w:tcW w:w="478" w:type="pct"/>
            <w:vMerge w:val="restart"/>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REALIZIMI PROGRESIV  nga fillimi i projektit deri në periudhën aktuale</w:t>
            </w:r>
          </w:p>
        </w:tc>
        <w:tc>
          <w:tcPr>
            <w:tcW w:w="478" w:type="pct"/>
            <w:vMerge w:val="restart"/>
            <w:tcBorders>
              <w:top w:val="single" w:sz="8" w:space="0" w:color="auto"/>
              <w:left w:val="single" w:sz="4" w:space="0" w:color="auto"/>
              <w:bottom w:val="single" w:sz="8" w:space="0" w:color="000000"/>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Komente</w:t>
            </w:r>
          </w:p>
        </w:tc>
        <w:tc>
          <w:tcPr>
            <w:tcW w:w="340" w:type="pct"/>
            <w:vAlign w:val="center"/>
            <w:hideMark/>
          </w:tcPr>
          <w:p w:rsidR="00413F0B" w:rsidRDefault="00413F0B">
            <w:pPr>
              <w:rPr>
                <w:rFonts w:ascii="Garamond" w:eastAsia="Times New Roman" w:hAnsi="Garamond"/>
                <w:b/>
                <w:bCs/>
                <w:sz w:val="20"/>
                <w:szCs w:val="20"/>
                <w:lang w:val="sq-AL" w:eastAsia="sq-AL"/>
              </w:rPr>
            </w:pPr>
          </w:p>
        </w:tc>
      </w:tr>
      <w:tr w:rsidR="00413F0B" w:rsidTr="00413F0B">
        <w:trPr>
          <w:trHeight w:val="180"/>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323" w:type="pct"/>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e</w:t>
            </w:r>
          </w:p>
        </w:tc>
        <w:tc>
          <w:tcPr>
            <w:tcW w:w="323" w:type="pct"/>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të</w:t>
            </w:r>
          </w:p>
        </w:tc>
        <w:tc>
          <w:tcPr>
            <w:tcW w:w="425" w:type="pct"/>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të</w:t>
            </w:r>
          </w:p>
        </w:tc>
        <w:tc>
          <w:tcPr>
            <w:tcW w:w="494" w:type="pct"/>
            <w:vMerge w:val="restart"/>
            <w:tcBorders>
              <w:top w:val="nil"/>
              <w:left w:val="single" w:sz="4" w:space="0" w:color="auto"/>
              <w:bottom w:val="single" w:sz="8"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Kontraktuar</w:t>
            </w: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340" w:type="pct"/>
            <w:vAlign w:val="center"/>
            <w:hideMark/>
          </w:tcPr>
          <w:p w:rsidR="00413F0B" w:rsidRDefault="00413F0B">
            <w:pPr>
              <w:rPr>
                <w:rFonts w:ascii="Garamond" w:eastAsia="Times New Roman" w:hAnsi="Garamond"/>
                <w:b/>
                <w:bCs/>
                <w:sz w:val="20"/>
                <w:szCs w:val="20"/>
                <w:lang w:val="sq-AL" w:eastAsia="sq-AL"/>
              </w:rPr>
            </w:pPr>
          </w:p>
        </w:tc>
      </w:tr>
      <w:tr w:rsidR="00413F0B" w:rsidTr="00413F0B">
        <w:trPr>
          <w:trHeight w:val="821"/>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323" w:type="pct"/>
            <w:tcBorders>
              <w:top w:val="nil"/>
              <w:left w:val="nil"/>
              <w:bottom w:val="single" w:sz="8"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projektit</w:t>
            </w:r>
          </w:p>
        </w:tc>
        <w:tc>
          <w:tcPr>
            <w:tcW w:w="323" w:type="pct"/>
            <w:tcBorders>
              <w:top w:val="nil"/>
              <w:left w:val="nil"/>
              <w:bottom w:val="single" w:sz="8"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projektit</w:t>
            </w:r>
          </w:p>
        </w:tc>
        <w:tc>
          <w:tcPr>
            <w:tcW w:w="425" w:type="pct"/>
            <w:tcBorders>
              <w:top w:val="nil"/>
              <w:left w:val="nil"/>
              <w:bottom w:val="single" w:sz="8"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projektit</w:t>
            </w:r>
          </w:p>
        </w:tc>
        <w:tc>
          <w:tcPr>
            <w:tcW w:w="0" w:type="auto"/>
            <w:vMerge/>
            <w:tcBorders>
              <w:top w:val="nil"/>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340" w:type="pct"/>
            <w:vAlign w:val="center"/>
            <w:hideMark/>
          </w:tcPr>
          <w:p w:rsidR="00413F0B" w:rsidRDefault="00413F0B">
            <w:pPr>
              <w:rPr>
                <w:rFonts w:ascii="Garamond" w:eastAsia="Times New Roman" w:hAnsi="Garamond"/>
                <w:b/>
                <w:bCs/>
                <w:sz w:val="20"/>
                <w:szCs w:val="20"/>
                <w:lang w:val="sq-AL" w:eastAsia="sq-AL"/>
              </w:rPr>
            </w:pPr>
          </w:p>
        </w:tc>
      </w:tr>
      <w:tr w:rsidR="00413F0B" w:rsidTr="00413F0B">
        <w:trPr>
          <w:trHeight w:val="139"/>
        </w:trPr>
        <w:tc>
          <w:tcPr>
            <w:tcW w:w="333" w:type="pct"/>
            <w:tcBorders>
              <w:top w:val="nil"/>
              <w:left w:val="single" w:sz="8" w:space="0" w:color="auto"/>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5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5"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94"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9"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541"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40" w:type="pct"/>
            <w:vAlign w:val="center"/>
            <w:hideMark/>
          </w:tcPr>
          <w:p w:rsidR="00413F0B" w:rsidRDefault="00413F0B">
            <w:pPr>
              <w:rPr>
                <w:rFonts w:ascii="Garamond" w:eastAsia="Times New Roman" w:hAnsi="Garamond"/>
                <w:sz w:val="20"/>
                <w:szCs w:val="20"/>
                <w:lang w:val="sq-AL" w:eastAsia="sq-AL"/>
              </w:rPr>
            </w:pPr>
          </w:p>
        </w:tc>
      </w:tr>
      <w:tr w:rsidR="00413F0B" w:rsidTr="00413F0B">
        <w:trPr>
          <w:trHeight w:val="139"/>
        </w:trPr>
        <w:tc>
          <w:tcPr>
            <w:tcW w:w="333" w:type="pct"/>
            <w:tcBorders>
              <w:top w:val="nil"/>
              <w:left w:val="single" w:sz="8" w:space="0" w:color="auto"/>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5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5"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94"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9"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541"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40" w:type="pct"/>
            <w:vAlign w:val="center"/>
            <w:hideMark/>
          </w:tcPr>
          <w:p w:rsidR="00413F0B" w:rsidRDefault="00413F0B">
            <w:pPr>
              <w:rPr>
                <w:rFonts w:ascii="Garamond" w:eastAsia="Times New Roman" w:hAnsi="Garamond"/>
                <w:sz w:val="20"/>
                <w:szCs w:val="20"/>
                <w:lang w:val="sq-AL" w:eastAsia="sq-AL"/>
              </w:rPr>
            </w:pPr>
          </w:p>
        </w:tc>
      </w:tr>
      <w:tr w:rsidR="00413F0B" w:rsidTr="00413F0B">
        <w:trPr>
          <w:trHeight w:val="139"/>
        </w:trPr>
        <w:tc>
          <w:tcPr>
            <w:tcW w:w="333" w:type="pct"/>
            <w:tcBorders>
              <w:top w:val="nil"/>
              <w:left w:val="single" w:sz="8" w:space="0" w:color="auto"/>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58"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5"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94"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9"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541"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8" w:space="0" w:color="auto"/>
              <w:right w:val="single" w:sz="8"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40" w:type="pct"/>
            <w:vAlign w:val="center"/>
            <w:hideMark/>
          </w:tcPr>
          <w:p w:rsidR="00413F0B" w:rsidRDefault="00413F0B">
            <w:pPr>
              <w:rPr>
                <w:rFonts w:ascii="Garamond" w:eastAsia="Times New Roman" w:hAnsi="Garamond"/>
                <w:sz w:val="20"/>
                <w:szCs w:val="20"/>
                <w:lang w:val="sq-AL" w:eastAsia="sq-AL"/>
              </w:rPr>
            </w:pPr>
          </w:p>
        </w:tc>
      </w:tr>
      <w:tr w:rsidR="00413F0B" w:rsidTr="00413F0B">
        <w:trPr>
          <w:trHeight w:val="139"/>
        </w:trPr>
        <w:tc>
          <w:tcPr>
            <w:tcW w:w="33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5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5"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94"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9"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541"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3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5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5"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94"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9"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541"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3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5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5"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94"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9"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541"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1337" w:type="pct"/>
            <w:gridSpan w:val="4"/>
            <w:noWrap/>
            <w:vAlign w:val="center"/>
            <w:hideMark/>
          </w:tcPr>
          <w:p w:rsidR="00413F0B" w:rsidRDefault="00413F0B">
            <w:pPr>
              <w:spacing w:after="0" w:line="240" w:lineRule="auto"/>
              <w:ind w:firstLine="0"/>
              <w:jc w:val="left"/>
              <w:rPr>
                <w:rFonts w:ascii="Garamond" w:eastAsia="Times New Roman" w:hAnsi="Garamond"/>
                <w:b/>
                <w:bCs/>
                <w:color w:val="C00000"/>
                <w:sz w:val="20"/>
                <w:szCs w:val="20"/>
                <w:lang w:val="sq-AL" w:eastAsia="sq-AL"/>
              </w:rPr>
            </w:pPr>
            <w:r>
              <w:rPr>
                <w:rFonts w:ascii="Garamond" w:eastAsia="Times New Roman" w:hAnsi="Garamond"/>
                <w:b/>
                <w:bCs/>
                <w:color w:val="C00000"/>
                <w:sz w:val="20"/>
                <w:szCs w:val="20"/>
                <w:lang w:val="sq-AL" w:eastAsia="sq-AL"/>
              </w:rPr>
              <w:t>Projektet me financim të huaj (në 000/lekë)</w:t>
            </w:r>
          </w:p>
        </w:tc>
        <w:tc>
          <w:tcPr>
            <w:tcW w:w="425" w:type="pct"/>
            <w:noWrap/>
            <w:vAlign w:val="center"/>
            <w:hideMark/>
          </w:tcPr>
          <w:p w:rsidR="00413F0B" w:rsidRDefault="00413F0B">
            <w:pPr>
              <w:rPr>
                <w:rFonts w:ascii="Garamond" w:eastAsia="Times New Roman" w:hAnsi="Garamond"/>
                <w:b/>
                <w:bCs/>
                <w:color w:val="C00000"/>
                <w:sz w:val="20"/>
                <w:szCs w:val="20"/>
                <w:lang w:val="sq-AL" w:eastAsia="sq-AL"/>
              </w:rPr>
            </w:pPr>
          </w:p>
        </w:tc>
        <w:tc>
          <w:tcPr>
            <w:tcW w:w="494"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9"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541"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noWrap/>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3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5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5"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94"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9"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541"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33" w:type="pct"/>
            <w:vMerge w:val="restart"/>
            <w:tcBorders>
              <w:top w:val="single" w:sz="8" w:space="0" w:color="auto"/>
              <w:left w:val="single" w:sz="8" w:space="0" w:color="auto"/>
              <w:bottom w:val="single" w:sz="8"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Kodi i projektit</w:t>
            </w:r>
          </w:p>
        </w:tc>
        <w:tc>
          <w:tcPr>
            <w:tcW w:w="358" w:type="pct"/>
            <w:vMerge w:val="restart"/>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Emërtimi i projektit</w:t>
            </w:r>
          </w:p>
        </w:tc>
        <w:tc>
          <w:tcPr>
            <w:tcW w:w="323" w:type="pct"/>
            <w:tcBorders>
              <w:top w:val="single" w:sz="8" w:space="0" w:color="auto"/>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Grant/</w:t>
            </w:r>
          </w:p>
        </w:tc>
        <w:tc>
          <w:tcPr>
            <w:tcW w:w="323" w:type="pct"/>
            <w:tcBorders>
              <w:top w:val="single" w:sz="8" w:space="0" w:color="auto"/>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 xml:space="preserve">Vlera e plotë </w:t>
            </w:r>
          </w:p>
        </w:tc>
        <w:tc>
          <w:tcPr>
            <w:tcW w:w="425" w:type="pct"/>
            <w:tcBorders>
              <w:top w:val="single" w:sz="8" w:space="0" w:color="auto"/>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Viti i fillimit</w:t>
            </w:r>
          </w:p>
        </w:tc>
        <w:tc>
          <w:tcPr>
            <w:tcW w:w="494" w:type="pct"/>
            <w:tcBorders>
              <w:top w:val="single" w:sz="8" w:space="0" w:color="auto"/>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Vitit i përfundimit</w:t>
            </w:r>
          </w:p>
        </w:tc>
        <w:tc>
          <w:tcPr>
            <w:tcW w:w="429" w:type="pct"/>
            <w:tcBorders>
              <w:top w:val="single" w:sz="8" w:space="0" w:color="auto"/>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Buxheti ________</w:t>
            </w:r>
          </w:p>
        </w:tc>
        <w:tc>
          <w:tcPr>
            <w:tcW w:w="478" w:type="pct"/>
            <w:vMerge w:val="restart"/>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Plani i buxhetit viti ______</w:t>
            </w:r>
          </w:p>
        </w:tc>
        <w:tc>
          <w:tcPr>
            <w:tcW w:w="541" w:type="pct"/>
            <w:vMerge w:val="restart"/>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REALIZIMI për periudhën e raportimit (4-mujore/vjetore)</w:t>
            </w:r>
          </w:p>
        </w:tc>
        <w:tc>
          <w:tcPr>
            <w:tcW w:w="478" w:type="pct"/>
            <w:vMerge w:val="restart"/>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REALIZIMI PROGRESIV  nga fillimi i vitit deri në periudhën aktuale</w:t>
            </w:r>
          </w:p>
        </w:tc>
        <w:tc>
          <w:tcPr>
            <w:tcW w:w="478" w:type="pct"/>
            <w:vMerge w:val="restart"/>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REALIZIMI PROGRESIV  nga fillimi i projektit deri në periudhën aktuale</w:t>
            </w:r>
          </w:p>
        </w:tc>
        <w:tc>
          <w:tcPr>
            <w:tcW w:w="340" w:type="pct"/>
            <w:vMerge w:val="restart"/>
            <w:tcBorders>
              <w:top w:val="single" w:sz="8" w:space="0" w:color="auto"/>
              <w:left w:val="single" w:sz="4" w:space="0" w:color="auto"/>
              <w:bottom w:val="single" w:sz="8" w:space="0" w:color="000000"/>
              <w:right w:val="single" w:sz="8"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Komente</w:t>
            </w:r>
          </w:p>
        </w:tc>
      </w:tr>
      <w:tr w:rsidR="00413F0B" w:rsidTr="00413F0B">
        <w:trPr>
          <w:trHeight w:val="210"/>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323" w:type="pct"/>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kredi</w:t>
            </w:r>
          </w:p>
        </w:tc>
        <w:tc>
          <w:tcPr>
            <w:tcW w:w="323" w:type="pct"/>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e</w:t>
            </w:r>
          </w:p>
        </w:tc>
        <w:tc>
          <w:tcPr>
            <w:tcW w:w="425" w:type="pct"/>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të</w:t>
            </w:r>
          </w:p>
        </w:tc>
        <w:tc>
          <w:tcPr>
            <w:tcW w:w="494" w:type="pct"/>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të</w:t>
            </w:r>
          </w:p>
        </w:tc>
        <w:tc>
          <w:tcPr>
            <w:tcW w:w="429" w:type="pct"/>
            <w:tcBorders>
              <w:top w:val="nil"/>
              <w:left w:val="nil"/>
              <w:bottom w:val="nil"/>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kontraktuar</w:t>
            </w: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r>
      <w:tr w:rsidR="00413F0B" w:rsidTr="00413F0B">
        <w:trPr>
          <w:trHeight w:val="850"/>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323" w:type="pct"/>
            <w:tcBorders>
              <w:top w:val="nil"/>
              <w:left w:val="nil"/>
              <w:bottom w:val="single" w:sz="8"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 </w:t>
            </w:r>
          </w:p>
        </w:tc>
        <w:tc>
          <w:tcPr>
            <w:tcW w:w="323" w:type="pct"/>
            <w:tcBorders>
              <w:top w:val="nil"/>
              <w:left w:val="nil"/>
              <w:bottom w:val="single" w:sz="8"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projektit</w:t>
            </w:r>
          </w:p>
        </w:tc>
        <w:tc>
          <w:tcPr>
            <w:tcW w:w="425" w:type="pct"/>
            <w:tcBorders>
              <w:top w:val="nil"/>
              <w:left w:val="nil"/>
              <w:bottom w:val="single" w:sz="8"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projektit</w:t>
            </w:r>
          </w:p>
        </w:tc>
        <w:tc>
          <w:tcPr>
            <w:tcW w:w="494" w:type="pct"/>
            <w:tcBorders>
              <w:top w:val="nil"/>
              <w:left w:val="nil"/>
              <w:bottom w:val="single" w:sz="8"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projektit</w:t>
            </w:r>
          </w:p>
        </w:tc>
        <w:tc>
          <w:tcPr>
            <w:tcW w:w="429" w:type="pct"/>
            <w:tcBorders>
              <w:top w:val="nil"/>
              <w:left w:val="nil"/>
              <w:bottom w:val="single" w:sz="8" w:space="0" w:color="auto"/>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 </w:t>
            </w: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r>
      <w:tr w:rsidR="00413F0B" w:rsidTr="00413F0B">
        <w:trPr>
          <w:trHeight w:val="139"/>
        </w:trPr>
        <w:tc>
          <w:tcPr>
            <w:tcW w:w="333" w:type="pct"/>
            <w:tcBorders>
              <w:top w:val="nil"/>
              <w:left w:val="single" w:sz="8" w:space="0" w:color="auto"/>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5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5"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94"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9"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541"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40" w:type="pct"/>
            <w:tcBorders>
              <w:top w:val="nil"/>
              <w:left w:val="nil"/>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r>
      <w:tr w:rsidR="00413F0B" w:rsidTr="00413F0B">
        <w:trPr>
          <w:trHeight w:val="139"/>
        </w:trPr>
        <w:tc>
          <w:tcPr>
            <w:tcW w:w="333" w:type="pct"/>
            <w:tcBorders>
              <w:top w:val="nil"/>
              <w:left w:val="single" w:sz="8" w:space="0" w:color="auto"/>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5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5"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94"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9"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541"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40" w:type="pct"/>
            <w:tcBorders>
              <w:top w:val="nil"/>
              <w:left w:val="nil"/>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r>
      <w:tr w:rsidR="00413F0B" w:rsidTr="00413F0B">
        <w:trPr>
          <w:trHeight w:val="139"/>
        </w:trPr>
        <w:tc>
          <w:tcPr>
            <w:tcW w:w="333" w:type="pct"/>
            <w:tcBorders>
              <w:top w:val="nil"/>
              <w:left w:val="single" w:sz="8" w:space="0" w:color="auto"/>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5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5"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94"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9"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541"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4"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40" w:type="pct"/>
            <w:tcBorders>
              <w:top w:val="nil"/>
              <w:left w:val="nil"/>
              <w:bottom w:val="single" w:sz="4" w:space="0" w:color="auto"/>
              <w:right w:val="single" w:sz="8"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r>
      <w:tr w:rsidR="00413F0B" w:rsidTr="00413F0B">
        <w:trPr>
          <w:trHeight w:val="139"/>
        </w:trPr>
        <w:tc>
          <w:tcPr>
            <w:tcW w:w="333" w:type="pct"/>
            <w:tcBorders>
              <w:top w:val="nil"/>
              <w:left w:val="single" w:sz="8" w:space="0" w:color="auto"/>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58"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23"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5"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94"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29"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541"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tcBorders>
              <w:top w:val="nil"/>
              <w:left w:val="nil"/>
              <w:bottom w:val="single" w:sz="8" w:space="0" w:color="auto"/>
              <w:right w:val="single" w:sz="4"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340" w:type="pct"/>
            <w:tcBorders>
              <w:top w:val="nil"/>
              <w:left w:val="nil"/>
              <w:bottom w:val="single" w:sz="8" w:space="0" w:color="auto"/>
              <w:right w:val="single" w:sz="8" w:space="0" w:color="auto"/>
            </w:tcBorders>
            <w:shd w:val="clear" w:color="auto" w:fill="FFFFCC"/>
            <w:vAlign w:val="center"/>
            <w:hideMark/>
          </w:tcPr>
          <w:p w:rsidR="00413F0B" w:rsidRDefault="00413F0B">
            <w:pPr>
              <w:spacing w:after="0" w:line="240" w:lineRule="auto"/>
              <w:ind w:firstLine="0"/>
              <w:jc w:val="left"/>
              <w:rPr>
                <w:rFonts w:ascii="Garamond" w:eastAsia="Times New Roman" w:hAnsi="Garamond"/>
                <w:sz w:val="20"/>
                <w:szCs w:val="20"/>
                <w:lang w:val="sq-AL" w:eastAsia="sq-AL"/>
              </w:rPr>
            </w:pPr>
            <w:r>
              <w:rPr>
                <w:rFonts w:ascii="Garamond" w:eastAsia="Times New Roman" w:hAnsi="Garamond"/>
                <w:sz w:val="20"/>
                <w:szCs w:val="20"/>
                <w:lang w:val="sq-AL" w:eastAsia="sq-AL"/>
              </w:rPr>
              <w:t> </w:t>
            </w:r>
          </w:p>
        </w:tc>
      </w:tr>
      <w:tr w:rsidR="00413F0B" w:rsidTr="00413F0B">
        <w:trPr>
          <w:trHeight w:val="139"/>
        </w:trPr>
        <w:tc>
          <w:tcPr>
            <w:tcW w:w="333" w:type="pct"/>
            <w:vAlign w:val="center"/>
            <w:hideMark/>
          </w:tcPr>
          <w:p w:rsidR="00413F0B" w:rsidRDefault="00413F0B">
            <w:pPr>
              <w:rPr>
                <w:rFonts w:ascii="Garamond" w:eastAsia="Times New Roman" w:hAnsi="Garamond"/>
                <w:sz w:val="20"/>
                <w:szCs w:val="20"/>
                <w:lang w:val="sq-AL" w:eastAsia="sq-AL"/>
              </w:rPr>
            </w:pPr>
          </w:p>
        </w:tc>
        <w:tc>
          <w:tcPr>
            <w:tcW w:w="35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5"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94"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9"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541"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3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5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5"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94"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9"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541"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33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5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23"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5"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94"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29"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541"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691" w:type="pct"/>
            <w:gridSpan w:val="2"/>
            <w:vMerge w:val="restart"/>
            <w:tcBorders>
              <w:top w:val="single" w:sz="4" w:space="0" w:color="auto"/>
              <w:left w:val="single" w:sz="4" w:space="0" w:color="auto"/>
              <w:bottom w:val="single" w:sz="4" w:space="0" w:color="000000"/>
              <w:right w:val="single" w:sz="4" w:space="0" w:color="000000"/>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Drejtuesi i Ekipit Menaxhues të Programit</w:t>
            </w:r>
          </w:p>
        </w:tc>
        <w:tc>
          <w:tcPr>
            <w:tcW w:w="323" w:type="pct"/>
            <w:tcBorders>
              <w:top w:val="single" w:sz="4" w:space="0" w:color="auto"/>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Emri</w:t>
            </w:r>
          </w:p>
        </w:tc>
        <w:tc>
          <w:tcPr>
            <w:tcW w:w="748" w:type="pct"/>
            <w:gridSpan w:val="2"/>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94" w:type="pct"/>
            <w:vMerge w:val="restart"/>
            <w:tcBorders>
              <w:top w:val="single" w:sz="4" w:space="0" w:color="auto"/>
              <w:left w:val="single" w:sz="4" w:space="0" w:color="auto"/>
              <w:bottom w:val="single" w:sz="4" w:space="0" w:color="000000"/>
              <w:right w:val="single" w:sz="4" w:space="0" w:color="auto"/>
            </w:tcBorders>
            <w:vAlign w:val="center"/>
            <w:hideMark/>
          </w:tcPr>
          <w:p w:rsidR="00413F0B" w:rsidRDefault="00413F0B">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t>Kryetari i Njësisë së Vetëqeverisjes Vendore</w:t>
            </w:r>
          </w:p>
        </w:tc>
        <w:tc>
          <w:tcPr>
            <w:tcW w:w="429" w:type="pct"/>
            <w:tcBorders>
              <w:top w:val="single" w:sz="4" w:space="0" w:color="auto"/>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Emri</w:t>
            </w:r>
          </w:p>
        </w:tc>
        <w:tc>
          <w:tcPr>
            <w:tcW w:w="1019" w:type="pct"/>
            <w:gridSpan w:val="2"/>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vAlign w:val="center"/>
            <w:hideMark/>
          </w:tcPr>
          <w:p w:rsidR="00413F0B" w:rsidRDefault="00413F0B">
            <w:pPr>
              <w:rPr>
                <w:rFonts w:ascii="Garamond" w:eastAsia="Times New Roman" w:hAnsi="Garamond"/>
                <w:sz w:val="20"/>
                <w:szCs w:val="20"/>
                <w:lang w:val="sq-AL" w:eastAsia="sq-AL"/>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323" w:type="pct"/>
            <w:tcBorders>
              <w:top w:val="nil"/>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Firma</w:t>
            </w:r>
          </w:p>
        </w:tc>
        <w:tc>
          <w:tcPr>
            <w:tcW w:w="748" w:type="pct"/>
            <w:gridSpan w:val="2"/>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429" w:type="pct"/>
            <w:tcBorders>
              <w:top w:val="nil"/>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Firma</w:t>
            </w:r>
          </w:p>
        </w:tc>
        <w:tc>
          <w:tcPr>
            <w:tcW w:w="1019" w:type="pct"/>
            <w:gridSpan w:val="2"/>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vAlign w:val="center"/>
            <w:hideMark/>
          </w:tcPr>
          <w:p w:rsidR="00413F0B" w:rsidRDefault="00413F0B">
            <w:pPr>
              <w:rPr>
                <w:rFonts w:ascii="Garamond" w:eastAsia="Times New Roman" w:hAnsi="Garamond"/>
                <w:sz w:val="20"/>
                <w:szCs w:val="20"/>
                <w:lang w:val="sq-AL" w:eastAsia="sq-AL"/>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r>
      <w:tr w:rsidR="00413F0B" w:rsidTr="00413F0B">
        <w:trPr>
          <w:trHeight w:val="139"/>
        </w:trPr>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323" w:type="pct"/>
            <w:tcBorders>
              <w:top w:val="nil"/>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Data</w:t>
            </w:r>
          </w:p>
        </w:tc>
        <w:tc>
          <w:tcPr>
            <w:tcW w:w="748" w:type="pct"/>
            <w:gridSpan w:val="2"/>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413F0B" w:rsidRDefault="00413F0B">
            <w:pPr>
              <w:spacing w:after="0"/>
              <w:ind w:firstLine="0"/>
              <w:jc w:val="left"/>
              <w:rPr>
                <w:rFonts w:ascii="Garamond" w:eastAsia="Times New Roman" w:hAnsi="Garamond"/>
                <w:b/>
                <w:bCs/>
                <w:sz w:val="20"/>
                <w:szCs w:val="20"/>
                <w:lang w:val="sq-AL" w:eastAsia="sq-AL"/>
              </w:rPr>
            </w:pPr>
          </w:p>
        </w:tc>
        <w:tc>
          <w:tcPr>
            <w:tcW w:w="429" w:type="pct"/>
            <w:tcBorders>
              <w:top w:val="nil"/>
              <w:left w:val="nil"/>
              <w:bottom w:val="single" w:sz="4" w:space="0" w:color="auto"/>
              <w:right w:val="single" w:sz="4" w:space="0" w:color="auto"/>
            </w:tcBorders>
            <w:noWrap/>
            <w:vAlign w:val="bottom"/>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Data</w:t>
            </w:r>
          </w:p>
        </w:tc>
        <w:tc>
          <w:tcPr>
            <w:tcW w:w="1019" w:type="pct"/>
            <w:gridSpan w:val="2"/>
            <w:tcBorders>
              <w:top w:val="single" w:sz="4" w:space="0" w:color="auto"/>
              <w:left w:val="nil"/>
              <w:bottom w:val="single" w:sz="4" w:space="0" w:color="auto"/>
              <w:right w:val="single" w:sz="4" w:space="0" w:color="000000"/>
            </w:tcBorders>
            <w:shd w:val="clear" w:color="auto" w:fill="FFFFCC"/>
            <w:noWrap/>
            <w:vAlign w:val="bottom"/>
            <w:hideMark/>
          </w:tcPr>
          <w:p w:rsidR="00413F0B" w:rsidRDefault="00413F0B">
            <w:pPr>
              <w:spacing w:after="0" w:line="240" w:lineRule="auto"/>
              <w:ind w:firstLine="0"/>
              <w:jc w:val="center"/>
              <w:rPr>
                <w:rFonts w:ascii="Garamond" w:eastAsia="Times New Roman" w:hAnsi="Garamond"/>
                <w:sz w:val="20"/>
                <w:szCs w:val="20"/>
                <w:lang w:val="sq-AL" w:eastAsia="sq-AL"/>
              </w:rPr>
            </w:pPr>
            <w:r>
              <w:rPr>
                <w:rFonts w:ascii="Garamond" w:eastAsia="Times New Roman" w:hAnsi="Garamond"/>
                <w:sz w:val="20"/>
                <w:szCs w:val="20"/>
                <w:lang w:val="sq-AL" w:eastAsia="sq-AL"/>
              </w:rPr>
              <w:t> </w:t>
            </w:r>
          </w:p>
        </w:tc>
        <w:tc>
          <w:tcPr>
            <w:tcW w:w="478" w:type="pct"/>
            <w:vAlign w:val="center"/>
            <w:hideMark/>
          </w:tcPr>
          <w:p w:rsidR="00413F0B" w:rsidRDefault="00413F0B">
            <w:pPr>
              <w:rPr>
                <w:rFonts w:ascii="Garamond" w:eastAsia="Times New Roman" w:hAnsi="Garamond"/>
                <w:sz w:val="20"/>
                <w:szCs w:val="20"/>
                <w:lang w:val="sq-AL" w:eastAsia="sq-AL"/>
              </w:rPr>
            </w:pPr>
          </w:p>
        </w:tc>
        <w:tc>
          <w:tcPr>
            <w:tcW w:w="478"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c>
          <w:tcPr>
            <w:tcW w:w="340" w:type="pct"/>
            <w:vAlign w:val="center"/>
            <w:hideMark/>
          </w:tcPr>
          <w:p w:rsidR="00413F0B" w:rsidRDefault="00413F0B">
            <w:pPr>
              <w:spacing w:after="0"/>
              <w:ind w:firstLine="0"/>
              <w:jc w:val="left"/>
              <w:rPr>
                <w:rFonts w:asciiTheme="minorHAnsi" w:eastAsiaTheme="minorHAnsi" w:hAnsiTheme="minorHAnsi" w:cstheme="minorBidi"/>
                <w:sz w:val="20"/>
                <w:szCs w:val="20"/>
              </w:rPr>
            </w:pPr>
          </w:p>
        </w:tc>
      </w:tr>
    </w:tbl>
    <w:p w:rsidR="00413F0B" w:rsidRDefault="00413F0B" w:rsidP="00413F0B">
      <w:pPr>
        <w:spacing w:after="0" w:line="240" w:lineRule="auto"/>
        <w:ind w:firstLine="0"/>
        <w:jc w:val="left"/>
        <w:rPr>
          <w:rFonts w:ascii="Garamond" w:eastAsia="MS Mincho" w:hAnsi="Garamond" w:cs="CG Times"/>
          <w:sz w:val="24"/>
          <w:lang w:val="sq-AL"/>
        </w:rPr>
        <w:sectPr w:rsidR="00413F0B">
          <w:pgSz w:w="16840" w:h="11907" w:orient="landscape"/>
          <w:pgMar w:top="1134" w:right="720" w:bottom="1134" w:left="720" w:header="851" w:footer="851" w:gutter="0"/>
          <w:cols w:space="720"/>
        </w:sectPr>
      </w:pPr>
    </w:p>
    <w:p w:rsidR="00934640" w:rsidRDefault="00934640" w:rsidP="00413F0B">
      <w:bookmarkStart w:id="0" w:name="_GoBack"/>
      <w:bookmarkEnd w:id="0"/>
    </w:p>
    <w:sectPr w:rsidR="009346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DFE" w:rsidRDefault="002E4DFE" w:rsidP="00413F0B">
      <w:pPr>
        <w:spacing w:after="0" w:line="240" w:lineRule="auto"/>
      </w:pPr>
      <w:r>
        <w:separator/>
      </w:r>
    </w:p>
  </w:endnote>
  <w:endnote w:type="continuationSeparator" w:id="0">
    <w:p w:rsidR="002E4DFE" w:rsidRDefault="002E4DFE" w:rsidP="00413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DFE" w:rsidRDefault="002E4DFE" w:rsidP="00413F0B">
      <w:pPr>
        <w:spacing w:after="0" w:line="240" w:lineRule="auto"/>
      </w:pPr>
      <w:r>
        <w:separator/>
      </w:r>
    </w:p>
  </w:footnote>
  <w:footnote w:type="continuationSeparator" w:id="0">
    <w:p w:rsidR="002E4DFE" w:rsidRDefault="002E4DFE" w:rsidP="00413F0B">
      <w:pPr>
        <w:spacing w:after="0" w:line="240" w:lineRule="auto"/>
      </w:pPr>
      <w:r>
        <w:continuationSeparator/>
      </w:r>
    </w:p>
  </w:footnote>
  <w:footnote w:id="1">
    <w:p w:rsidR="00413F0B" w:rsidRDefault="00413F0B" w:rsidP="00413F0B">
      <w:pPr>
        <w:pStyle w:val="FootnoteText"/>
        <w:ind w:firstLine="0"/>
        <w:rPr>
          <w:rFonts w:ascii="Garamond" w:hAnsi="Garamond"/>
        </w:rPr>
      </w:pPr>
      <w:r>
        <w:rPr>
          <w:rStyle w:val="FootnoteReference"/>
          <w:rFonts w:ascii="Garamond" w:hAnsi="Garamond"/>
        </w:rPr>
        <w:footnoteRef/>
      </w:r>
      <w:r>
        <w:rPr>
          <w:rFonts w:ascii="Garamond" w:hAnsi="Garamond"/>
        </w:rPr>
        <w:t xml:space="preserve"> Treguesit me ketë shenjë gjenerohen në mënyrë automatike nga Instrumenti i Planifikimit Financiar për njësitë e vetëqeverisjes vendore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9BA4A1F"/>
    <w:multiLevelType w:val="multilevel"/>
    <w:tmpl w:val="BCB60292"/>
    <w:styleLink w:val="list-heading-blue"/>
    <w:lvl w:ilvl="0">
      <w:start w:val="1"/>
      <w:numFmt w:val="decimal"/>
      <w:lvlText w:val="%1"/>
      <w:lvlJc w:val="left"/>
      <w:pPr>
        <w:tabs>
          <w:tab w:val="num" w:pos="0"/>
        </w:tabs>
        <w:ind w:left="0" w:hanging="567"/>
      </w:pPr>
      <w:rPr>
        <w:color w:val="006DB6"/>
        <w:sz w:val="28"/>
      </w:rPr>
    </w:lvl>
    <w:lvl w:ilvl="1">
      <w:start w:val="1"/>
      <w:numFmt w:val="decimal"/>
      <w:lvlText w:val="%1.%2"/>
      <w:lvlJc w:val="left"/>
      <w:pPr>
        <w:tabs>
          <w:tab w:val="num" w:pos="0"/>
        </w:tabs>
        <w:ind w:left="0" w:hanging="567"/>
      </w:pPr>
      <w:rPr>
        <w:color w:val="006DB6"/>
        <w:sz w:val="22"/>
      </w:rPr>
    </w:lvl>
    <w:lvl w:ilvl="2">
      <w:start w:val="1"/>
      <w:numFmt w:val="decimal"/>
      <w:lvlText w:val="%1.%2.%3"/>
      <w:lvlJc w:val="left"/>
      <w:pPr>
        <w:tabs>
          <w:tab w:val="num" w:pos="0"/>
        </w:tabs>
        <w:ind w:left="0" w:hanging="567"/>
      </w:pPr>
      <w:rPr>
        <w:color w:val="006DB6"/>
      </w:rPr>
    </w:lvl>
    <w:lvl w:ilvl="3">
      <w:start w:val="1"/>
      <w:numFmt w:val="none"/>
      <w:lvlText w:val=""/>
      <w:lvlJc w:val="left"/>
      <w:pPr>
        <w:tabs>
          <w:tab w:val="num" w:pos="0"/>
        </w:tabs>
        <w:ind w:left="0" w:firstLine="0"/>
      </w:pPr>
      <w:rPr>
        <w:color w:val="auto"/>
      </w:rPr>
    </w:lvl>
    <w:lvl w:ilvl="4">
      <w:start w:val="1"/>
      <w:numFmt w:val="none"/>
      <w:lvlText w:val=""/>
      <w:lvlJc w:val="left"/>
      <w:pPr>
        <w:tabs>
          <w:tab w:val="num" w:pos="0"/>
        </w:tabs>
        <w:ind w:left="0" w:firstLine="0"/>
      </w:pPr>
      <w:rPr>
        <w:color w:val="auto"/>
      </w:rPr>
    </w:lvl>
    <w:lvl w:ilvl="5">
      <w:start w:val="1"/>
      <w:numFmt w:val="none"/>
      <w:lvlText w:val=""/>
      <w:lvlJc w:val="left"/>
      <w:pPr>
        <w:tabs>
          <w:tab w:val="num" w:pos="0"/>
        </w:tabs>
        <w:ind w:left="0" w:firstLine="0"/>
      </w:pPr>
      <w:rPr>
        <w:color w:val="auto"/>
      </w:rPr>
    </w:lvl>
    <w:lvl w:ilvl="6">
      <w:start w:val="1"/>
      <w:numFmt w:val="none"/>
      <w:lvlText w:val=""/>
      <w:lvlJc w:val="left"/>
      <w:pPr>
        <w:tabs>
          <w:tab w:val="num" w:pos="0"/>
        </w:tabs>
        <w:ind w:left="0" w:firstLine="0"/>
      </w:pPr>
      <w:rPr>
        <w:color w:val="000000"/>
      </w:rPr>
    </w:lvl>
    <w:lvl w:ilvl="7">
      <w:start w:val="1"/>
      <w:numFmt w:val="none"/>
      <w:lvlText w:val=""/>
      <w:lvlJc w:val="left"/>
      <w:pPr>
        <w:tabs>
          <w:tab w:val="num" w:pos="0"/>
        </w:tabs>
        <w:ind w:left="0" w:firstLine="0"/>
      </w:pPr>
      <w:rPr>
        <w:color w:val="000000"/>
      </w:rPr>
    </w:lvl>
    <w:lvl w:ilvl="8">
      <w:start w:val="1"/>
      <w:numFmt w:val="none"/>
      <w:lvlText w:val=""/>
      <w:lvlJc w:val="left"/>
      <w:pPr>
        <w:tabs>
          <w:tab w:val="num" w:pos="0"/>
        </w:tabs>
        <w:ind w:left="0" w:firstLine="0"/>
      </w:pPr>
      <w:rPr>
        <w:color w:val="000000"/>
      </w:rPr>
    </w:lvl>
  </w:abstractNum>
  <w:abstractNum w:abstractNumId="11" w15:restartNumberingAfterBreak="0">
    <w:nsid w:val="0DBB7C0E"/>
    <w:multiLevelType w:val="multilevel"/>
    <w:tmpl w:val="3DB48B94"/>
    <w:name w:val="list-number-color-table2"/>
    <w:lvl w:ilvl="0">
      <w:start w:val="1"/>
      <w:numFmt w:val="decimal"/>
      <w:pStyle w:val="list-number-color-table"/>
      <w:lvlText w:val="%1."/>
      <w:lvlJc w:val="left"/>
      <w:pPr>
        <w:ind w:left="284" w:hanging="284"/>
      </w:pPr>
      <w:rPr>
        <w:rFonts w:ascii="Arial" w:hAnsi="Arial" w:cs="Arial"/>
        <w:b w:val="0"/>
        <w:i w:val="0"/>
        <w:color w:val="006DB6"/>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503408E"/>
    <w:multiLevelType w:val="hybridMultilevel"/>
    <w:tmpl w:val="89BEC908"/>
    <w:lvl w:ilvl="0" w:tplc="9D3CB742">
      <w:start w:val="1"/>
      <w:numFmt w:val="bullet"/>
      <w:pStyle w:val="TableBullet"/>
      <w:lvlText w:val=""/>
      <w:lvlJc w:val="left"/>
      <w:pPr>
        <w:ind w:left="170" w:hanging="170"/>
      </w:pPr>
      <w:rPr>
        <w:rFonts w:ascii="Symbol" w:hAnsi="Symbol" w:hint="default"/>
        <w:color w:val="auto"/>
        <w:sz w:val="18"/>
        <w:szCs w:val="18"/>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lvlOverride w:ilvl="1"/>
    <w:lvlOverride w:ilvl="2"/>
    <w:lvlOverride w:ilvl="3"/>
    <w:lvlOverride w:ilvl="4"/>
    <w:lvlOverride w:ilvl="5"/>
    <w:lvlOverride w:ilvl="6"/>
    <w:lvlOverride w:ilvl="7"/>
    <w:lvlOverride w:ilvl="8"/>
  </w:num>
  <w:num w:numId="16">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10"/>
  </w:num>
  <w:num w:numId="18">
    <w:abstractNumId w:val="13"/>
  </w:num>
  <w:num w:numId="19">
    <w:abstractNumId w:val="15"/>
  </w:num>
  <w:num w:numId="20">
    <w:abstractNumId w:val="16"/>
  </w:num>
  <w:num w:numId="21">
    <w:abstractNumId w:val="18"/>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E61"/>
    <w:rsid w:val="002E4DFE"/>
    <w:rsid w:val="00413F0B"/>
    <w:rsid w:val="005C5E61"/>
    <w:rsid w:val="00934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77CBCD-AAC3-4536-8153-76F680EA7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99"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3F0B"/>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9"/>
    <w:qFormat/>
    <w:rsid w:val="00413F0B"/>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9"/>
    <w:semiHidden/>
    <w:unhideWhenUsed/>
    <w:qFormat/>
    <w:rsid w:val="00413F0B"/>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413F0B"/>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413F0B"/>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13F0B"/>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13F0B"/>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413F0B"/>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413F0B"/>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13F0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9"/>
    <w:rsid w:val="00413F0B"/>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9"/>
    <w:semiHidden/>
    <w:rsid w:val="00413F0B"/>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413F0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413F0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13F0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13F0B"/>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413F0B"/>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413F0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13F0B"/>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413F0B"/>
    <w:rPr>
      <w:color w:val="0000FF"/>
      <w:u w:val="single"/>
    </w:rPr>
  </w:style>
  <w:style w:type="character" w:styleId="FollowedHyperlink">
    <w:name w:val="FollowedHyperlink"/>
    <w:uiPriority w:val="99"/>
    <w:semiHidden/>
    <w:unhideWhenUsed/>
    <w:rsid w:val="00413F0B"/>
    <w:rPr>
      <w:color w:val="800080"/>
      <w:u w:val="single"/>
    </w:rPr>
  </w:style>
  <w:style w:type="paragraph" w:styleId="HTMLAddress">
    <w:name w:val="HTML Address"/>
    <w:basedOn w:val="Normal"/>
    <w:link w:val="HTMLAddressChar"/>
    <w:semiHidden/>
    <w:unhideWhenUsed/>
    <w:rsid w:val="00413F0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13F0B"/>
    <w:rPr>
      <w:rFonts w:ascii="Tahoma" w:eastAsia="Times New Roman" w:hAnsi="Tahoma" w:cs="Times New Roman"/>
      <w:i/>
      <w:iCs/>
      <w:lang w:val="de-AT" w:eastAsia="de-DE"/>
    </w:rPr>
  </w:style>
  <w:style w:type="character" w:styleId="HTMLCode">
    <w:name w:val="HTML Code"/>
    <w:semiHidden/>
    <w:unhideWhenUsed/>
    <w:rsid w:val="00413F0B"/>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9"/>
    <w:rsid w:val="00413F0B"/>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9"/>
    <w:semiHidden/>
    <w:locked/>
    <w:rsid w:val="00413F0B"/>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413F0B"/>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413F0B"/>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413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413F0B"/>
    <w:rPr>
      <w:rFonts w:ascii="Courier New" w:eastAsia="Times New Roman" w:hAnsi="Courier New" w:cs="Times New Roman"/>
      <w:sz w:val="20"/>
      <w:lang w:val="de-AT" w:eastAsia="de-DE"/>
    </w:rPr>
  </w:style>
  <w:style w:type="character" w:styleId="HTMLSample">
    <w:name w:val="HTML Sample"/>
    <w:semiHidden/>
    <w:unhideWhenUsed/>
    <w:rsid w:val="00413F0B"/>
    <w:rPr>
      <w:rFonts w:ascii="Courier New" w:eastAsia="Times New Roman" w:hAnsi="Courier New" w:cs="Courier New" w:hint="default"/>
    </w:rPr>
  </w:style>
  <w:style w:type="character" w:styleId="HTMLTypewriter">
    <w:name w:val="HTML Typewriter"/>
    <w:semiHidden/>
    <w:unhideWhenUsed/>
    <w:rsid w:val="00413F0B"/>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413F0B"/>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413F0B"/>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413F0B"/>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413F0B"/>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413F0B"/>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413F0B"/>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413F0B"/>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413F0B"/>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413F0B"/>
    <w:rPr>
      <w:rFonts w:ascii="Calibri" w:eastAsia="Calibri" w:hAnsi="Calibri" w:cs="Times New Roman"/>
    </w:rPr>
  </w:style>
  <w:style w:type="character" w:customStyle="1" w:styleId="FooterChar">
    <w:name w:val="Footer Char"/>
    <w:basedOn w:val="DefaultParagraphFont"/>
    <w:link w:val="Footer"/>
    <w:uiPriority w:val="99"/>
    <w:semiHidden/>
    <w:locked/>
    <w:rsid w:val="00413F0B"/>
    <w:rPr>
      <w:rFonts w:ascii="Calibri" w:eastAsia="Calibri" w:hAnsi="Calibri" w:cs="Times New Roman"/>
    </w:rPr>
  </w:style>
  <w:style w:type="character" w:customStyle="1" w:styleId="CaptionChar">
    <w:name w:val="Caption Char"/>
    <w:link w:val="Caption"/>
    <w:semiHidden/>
    <w:locked/>
    <w:rsid w:val="00413F0B"/>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413F0B"/>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413F0B"/>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413F0B"/>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413F0B"/>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413F0B"/>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413F0B"/>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413F0B"/>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413F0B"/>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413F0B"/>
    <w:rPr>
      <w:rFonts w:ascii="Calibri" w:eastAsia="Calibri" w:hAnsi="Calibri" w:cs="Times New Roman"/>
    </w:rPr>
  </w:style>
  <w:style w:type="character" w:customStyle="1" w:styleId="MessageHeaderChar">
    <w:name w:val="Message Header Char"/>
    <w:basedOn w:val="DefaultParagraphFont"/>
    <w:link w:val="MessageHeader"/>
    <w:semiHidden/>
    <w:locked/>
    <w:rsid w:val="00413F0B"/>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413F0B"/>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413F0B"/>
    <w:rPr>
      <w:rFonts w:ascii="Tahoma" w:eastAsia="Times New Roman" w:hAnsi="Tahoma" w:cs="Times New Roman"/>
      <w:lang w:val="de-AT" w:eastAsia="de-DE"/>
    </w:rPr>
  </w:style>
  <w:style w:type="character" w:customStyle="1" w:styleId="DateChar">
    <w:name w:val="Date Char"/>
    <w:basedOn w:val="DefaultParagraphFont"/>
    <w:link w:val="Date"/>
    <w:semiHidden/>
    <w:locked/>
    <w:rsid w:val="00413F0B"/>
    <w:rPr>
      <w:rFonts w:ascii="Tahoma" w:eastAsia="Times New Roman" w:hAnsi="Tahoma" w:cs="Times New Roman"/>
      <w:lang w:val="de-AT" w:eastAsia="de-DE"/>
    </w:rPr>
  </w:style>
  <w:style w:type="paragraph" w:styleId="BodyText">
    <w:name w:val="Body Text"/>
    <w:basedOn w:val="Normal"/>
    <w:link w:val="BodyTextChar"/>
    <w:semiHidden/>
    <w:unhideWhenUsed/>
    <w:qFormat/>
    <w:rsid w:val="00413F0B"/>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413F0B"/>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413F0B"/>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413F0B"/>
    <w:pPr>
      <w:spacing w:after="120"/>
      <w:ind w:left="360"/>
    </w:pPr>
  </w:style>
  <w:style w:type="character" w:customStyle="1" w:styleId="BodyTextIndentChar1">
    <w:name w:val="Body Text Indent Char1"/>
    <w:basedOn w:val="DefaultParagraphFont"/>
    <w:semiHidden/>
    <w:rsid w:val="00413F0B"/>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413F0B"/>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413F0B"/>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413F0B"/>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413F0B"/>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413F0B"/>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413F0B"/>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413F0B"/>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413F0B"/>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413F0B"/>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413F0B"/>
    <w:rPr>
      <w:rFonts w:ascii="Tahoma" w:eastAsia="Calibri" w:hAnsi="Tahoma" w:cs="Tahoma"/>
      <w:sz w:val="16"/>
      <w:szCs w:val="16"/>
    </w:rPr>
  </w:style>
  <w:style w:type="character" w:customStyle="1" w:styleId="NoSpacingChar">
    <w:name w:val="No Spacing Char"/>
    <w:basedOn w:val="DefaultParagraphFont"/>
    <w:link w:val="NoSpacing"/>
    <w:uiPriority w:val="1"/>
    <w:locked/>
    <w:rsid w:val="00413F0B"/>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Annex Char"/>
    <w:link w:val="ListParagraph"/>
    <w:uiPriority w:val="34"/>
    <w:locked/>
    <w:rsid w:val="00413F0B"/>
    <w:rPr>
      <w:rFonts w:ascii="Calibri" w:eastAsia="Times New Roman" w:hAnsi="Calibri" w:cs="Times New Roman"/>
    </w:rPr>
  </w:style>
  <w:style w:type="paragraph" w:styleId="ListParagraph">
    <w:name w:val="List Paragraph"/>
    <w:aliases w:val="List Paragraph2,List Paragraph (numbered (a)),Normal 1,List Paragraph 1,Akapit z listą BS,Bullets,Bullet1,Annex"/>
    <w:basedOn w:val="Normal"/>
    <w:link w:val="ListParagraphChar"/>
    <w:uiPriority w:val="34"/>
    <w:qFormat/>
    <w:rsid w:val="00413F0B"/>
    <w:pPr>
      <w:ind w:left="720" w:firstLine="0"/>
      <w:contextualSpacing/>
      <w:jc w:val="left"/>
    </w:pPr>
    <w:rPr>
      <w:rFonts w:eastAsia="Times New Roman"/>
    </w:rPr>
  </w:style>
  <w:style w:type="character" w:customStyle="1" w:styleId="IntenseQuoteChar">
    <w:name w:val="Intense Quote Char"/>
    <w:basedOn w:val="DefaultParagraphFont"/>
    <w:link w:val="IntenseQuote"/>
    <w:uiPriority w:val="30"/>
    <w:locked/>
    <w:rsid w:val="00413F0B"/>
    <w:rPr>
      <w:rFonts w:ascii="Times New Roman" w:hAnsi="Times New Roman" w:cs="Times New Roman"/>
      <w:i/>
      <w:iCs/>
      <w:color w:val="5B9BD5" w:themeColor="accent1"/>
      <w:sz w:val="24"/>
      <w:szCs w:val="24"/>
    </w:rPr>
  </w:style>
  <w:style w:type="character" w:customStyle="1" w:styleId="AktiChar">
    <w:name w:val="Akti Char"/>
    <w:basedOn w:val="DefaultParagraphFont"/>
    <w:link w:val="Akti"/>
    <w:locked/>
    <w:rsid w:val="00413F0B"/>
    <w:rPr>
      <w:rFonts w:ascii="Garamond" w:eastAsia="MS Mincho" w:hAnsi="Garamond" w:cs="CG Times"/>
      <w:b/>
      <w:bCs/>
      <w:caps/>
      <w:color w:val="000000"/>
      <w:sz w:val="24"/>
      <w:lang w:val="en-GB"/>
    </w:rPr>
  </w:style>
  <w:style w:type="paragraph" w:customStyle="1" w:styleId="Akti">
    <w:name w:val="Akti"/>
    <w:link w:val="AktiChar"/>
    <w:qFormat/>
    <w:rsid w:val="00413F0B"/>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413F0B"/>
    <w:rPr>
      <w:rFonts w:ascii="Garamond" w:eastAsia="MS Mincho" w:hAnsi="Garamond" w:cs="CG Times"/>
      <w:b/>
      <w:bCs/>
      <w:sz w:val="24"/>
      <w:lang w:val="en-GB"/>
    </w:rPr>
  </w:style>
  <w:style w:type="paragraph" w:customStyle="1" w:styleId="NumriData">
    <w:name w:val="Numri_Data"/>
    <w:next w:val="Normal"/>
    <w:link w:val="NumriDataChar"/>
    <w:qFormat/>
    <w:rsid w:val="00413F0B"/>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413F0B"/>
    <w:rPr>
      <w:rFonts w:ascii="Garamond" w:eastAsia="MS Mincho" w:hAnsi="Garamond" w:cs="CG Times"/>
      <w:sz w:val="24"/>
    </w:rPr>
  </w:style>
  <w:style w:type="paragraph" w:customStyle="1" w:styleId="Paragrafi">
    <w:name w:val="Paragrafi"/>
    <w:link w:val="ParagrafiChar"/>
    <w:qFormat/>
    <w:rsid w:val="00413F0B"/>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413F0B"/>
    <w:rPr>
      <w:rFonts w:ascii="Garamond" w:eastAsia="MS Mincho" w:hAnsi="Garamond" w:cs="CG Times"/>
      <w:b/>
      <w:bCs/>
      <w:caps/>
      <w:sz w:val="24"/>
      <w:lang w:val="en-GB"/>
    </w:rPr>
  </w:style>
  <w:style w:type="paragraph" w:customStyle="1" w:styleId="Titulli">
    <w:name w:val="Titulli"/>
    <w:next w:val="Normal"/>
    <w:link w:val="TitulliChar"/>
    <w:uiPriority w:val="99"/>
    <w:qFormat/>
    <w:rsid w:val="00413F0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413F0B"/>
    <w:rPr>
      <w:rFonts w:ascii="Garamond" w:eastAsia="MS Mincho" w:hAnsi="Garamond" w:cs="CG Times"/>
      <w:sz w:val="24"/>
      <w:lang w:val="en-GB"/>
    </w:rPr>
  </w:style>
  <w:style w:type="paragraph" w:customStyle="1" w:styleId="NeniNr">
    <w:name w:val="Neni_Nr"/>
    <w:next w:val="Normal"/>
    <w:link w:val="NeniNrChar"/>
    <w:qFormat/>
    <w:rsid w:val="00413F0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413F0B"/>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413F0B"/>
    <w:rPr>
      <w:rFonts w:ascii="Garamond" w:eastAsia="MS Mincho" w:hAnsi="Garamond" w:cs="CG Times"/>
      <w:caps/>
      <w:sz w:val="24"/>
      <w:lang w:val="en-GB"/>
    </w:rPr>
  </w:style>
  <w:style w:type="paragraph" w:customStyle="1" w:styleId="Autoriteti">
    <w:name w:val="Autoriteti"/>
    <w:next w:val="Normal"/>
    <w:link w:val="AutoritetiChar"/>
    <w:qFormat/>
    <w:rsid w:val="00413F0B"/>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413F0B"/>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413F0B"/>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413F0B"/>
    <w:pPr>
      <w:ind w:firstLine="0"/>
      <w:jc w:val="center"/>
    </w:pPr>
    <w:rPr>
      <w:caps/>
      <w:szCs w:val="24"/>
    </w:rPr>
  </w:style>
  <w:style w:type="paragraph" w:customStyle="1" w:styleId="Vendosi">
    <w:name w:val="Vendosi"/>
    <w:basedOn w:val="Titull-Titull"/>
    <w:uiPriority w:val="99"/>
    <w:qFormat/>
    <w:rsid w:val="00413F0B"/>
  </w:style>
  <w:style w:type="paragraph" w:customStyle="1" w:styleId="Hapesira7">
    <w:name w:val="Hapesira 7"/>
    <w:basedOn w:val="Paragrafi"/>
    <w:uiPriority w:val="99"/>
    <w:qFormat/>
    <w:rsid w:val="00413F0B"/>
    <w:rPr>
      <w:sz w:val="14"/>
      <w:szCs w:val="24"/>
    </w:rPr>
  </w:style>
  <w:style w:type="character" w:customStyle="1" w:styleId="Style1Char">
    <w:name w:val="Style1 Char"/>
    <w:link w:val="Style1"/>
    <w:locked/>
    <w:rsid w:val="00413F0B"/>
    <w:rPr>
      <w:rFonts w:ascii="CG Times" w:eastAsia="MS Mincho" w:hAnsi="CG Times" w:cs="CG Times"/>
      <w:b/>
      <w:bCs/>
      <w:caps/>
      <w:color w:val="000000"/>
      <w:sz w:val="21"/>
      <w:lang w:val="en-GB"/>
    </w:rPr>
  </w:style>
  <w:style w:type="paragraph" w:customStyle="1" w:styleId="Style1">
    <w:name w:val="Style1"/>
    <w:basedOn w:val="Akti"/>
    <w:link w:val="Style1Char"/>
    <w:qFormat/>
    <w:rsid w:val="00413F0B"/>
    <w:rPr>
      <w:rFonts w:ascii="CG Times" w:hAnsi="CG Times"/>
      <w:sz w:val="21"/>
    </w:rPr>
  </w:style>
  <w:style w:type="paragraph" w:customStyle="1" w:styleId="ADDRESS">
    <w:name w:val="ADDRESS"/>
    <w:basedOn w:val="Normal"/>
    <w:uiPriority w:val="99"/>
    <w:qFormat/>
    <w:rsid w:val="00413F0B"/>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413F0B"/>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413F0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413F0B"/>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413F0B"/>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413F0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413F0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413F0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413F0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413F0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413F0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413F0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413F0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413F0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413F0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413F0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413F0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413F0B"/>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413F0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413F0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413F0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413F0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413F0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413F0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413F0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413F0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413F0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413F0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413F0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413F0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413F0B"/>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413F0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413F0B"/>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413F0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413F0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413F0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413F0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413F0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413F0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413F0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413F0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413F0B"/>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413F0B"/>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413F0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413F0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413F0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413F0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413F0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413F0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413F0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413F0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413F0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413F0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413F0B"/>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413F0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413F0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413F0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413F0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413F0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413F0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413F0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413F0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413F0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413F0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413F0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413F0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413F0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413F0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413F0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413F0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413F0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413F0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413F0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413F0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413F0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413F0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413F0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413F0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413F0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413F0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413F0B"/>
    <w:rPr>
      <w:rFonts w:ascii="Times New Roman" w:eastAsia="Calibri" w:hAnsi="Times New Roman" w:cs="Times New Roman"/>
      <w:color w:val="000000"/>
      <w:sz w:val="24"/>
      <w:szCs w:val="24"/>
    </w:rPr>
  </w:style>
  <w:style w:type="paragraph" w:customStyle="1" w:styleId="Default">
    <w:name w:val="Default"/>
    <w:link w:val="DefaultChar"/>
    <w:qFormat/>
    <w:rsid w:val="00413F0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413F0B"/>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13F0B"/>
    <w:rPr>
      <w:sz w:val="24"/>
      <w:lang w:val="en-GB" w:eastAsia="fr-FR"/>
    </w:rPr>
  </w:style>
  <w:style w:type="paragraph" w:customStyle="1" w:styleId="JuPara">
    <w:name w:val="Ju_Para"/>
    <w:aliases w:val="Left,First line:  0 cm,ECHR_Para,Para"/>
    <w:basedOn w:val="Normal"/>
    <w:link w:val="JuParaCar"/>
    <w:qFormat/>
    <w:rsid w:val="00413F0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413F0B"/>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413F0B"/>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413F0B"/>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413F0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413F0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413F0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413F0B"/>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413F0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413F0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413F0B"/>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413F0B"/>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413F0B"/>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413F0B"/>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413F0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413F0B"/>
    <w:rPr>
      <w:b w:val="0"/>
    </w:rPr>
  </w:style>
  <w:style w:type="paragraph" w:customStyle="1" w:styleId="StyleStyle1Bold">
    <w:name w:val="Style Style1 + Bold"/>
    <w:basedOn w:val="Style1"/>
    <w:uiPriority w:val="99"/>
    <w:qFormat/>
    <w:rsid w:val="00413F0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413F0B"/>
    <w:rPr>
      <w:rFonts w:ascii="EUAlbertina" w:hAnsi="EUAlbertina"/>
      <w:color w:val="auto"/>
    </w:rPr>
  </w:style>
  <w:style w:type="paragraph" w:customStyle="1" w:styleId="CM4">
    <w:name w:val="CM4"/>
    <w:basedOn w:val="Normal"/>
    <w:next w:val="Normal"/>
    <w:uiPriority w:val="99"/>
    <w:qFormat/>
    <w:rsid w:val="00413F0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413F0B"/>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413F0B"/>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413F0B"/>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413F0B"/>
    <w:rPr>
      <w:rFonts w:ascii="Calibri" w:eastAsia="Times New Roman" w:hAnsi="Calibri" w:cs="Times New Roman"/>
      <w:sz w:val="24"/>
      <w:szCs w:val="24"/>
      <w:lang w:val="en-GB" w:eastAsia="en-GB"/>
    </w:rPr>
  </w:style>
  <w:style w:type="paragraph" w:customStyle="1" w:styleId="Text1">
    <w:name w:val="Text 1"/>
    <w:basedOn w:val="Normal"/>
    <w:link w:val="Text1Char"/>
    <w:qFormat/>
    <w:rsid w:val="00413F0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413F0B"/>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413F0B"/>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413F0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413F0B"/>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413F0B"/>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413F0B"/>
  </w:style>
  <w:style w:type="paragraph" w:customStyle="1" w:styleId="Point0">
    <w:name w:val="Point 0"/>
    <w:basedOn w:val="Normal"/>
    <w:uiPriority w:val="99"/>
    <w:qFormat/>
    <w:rsid w:val="00413F0B"/>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413F0B"/>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413F0B"/>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413F0B"/>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413F0B"/>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413F0B"/>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413F0B"/>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413F0B"/>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413F0B"/>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413F0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413F0B"/>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413F0B"/>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413F0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413F0B"/>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413F0B"/>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413F0B"/>
    <w:rPr>
      <w:rFonts w:ascii="CG Times" w:eastAsia="Times New Roman" w:hAnsi="CG Times" w:cs="Times New Roman"/>
      <w:b/>
      <w:szCs w:val="24"/>
    </w:rPr>
  </w:style>
  <w:style w:type="paragraph" w:customStyle="1" w:styleId="ParagrafiCharCharChar">
    <w:name w:val="Paragrafi Char Char Char"/>
    <w:link w:val="ParagrafiCharCharCharChar"/>
    <w:qFormat/>
    <w:rsid w:val="00413F0B"/>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413F0B"/>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413F0B"/>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413F0B"/>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413F0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413F0B"/>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413F0B"/>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413F0B"/>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413F0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413F0B"/>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413F0B"/>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413F0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413F0B"/>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413F0B"/>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413F0B"/>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413F0B"/>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413F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413F0B"/>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413F0B"/>
    <w:pPr>
      <w:tabs>
        <w:tab w:val="left" w:pos="6575"/>
      </w:tabs>
    </w:pPr>
    <w:rPr>
      <w:spacing w:val="-4"/>
    </w:rPr>
  </w:style>
  <w:style w:type="paragraph" w:customStyle="1" w:styleId="Cover1">
    <w:name w:val="Cover1"/>
    <w:basedOn w:val="Normal"/>
    <w:next w:val="Normal"/>
    <w:uiPriority w:val="99"/>
    <w:qFormat/>
    <w:rsid w:val="00413F0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413F0B"/>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413F0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413F0B"/>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413F0B"/>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413F0B"/>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413F0B"/>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413F0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413F0B"/>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413F0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413F0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413F0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413F0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413F0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13F0B"/>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413F0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413F0B"/>
    <w:rPr>
      <w:vertAlign w:val="superscript"/>
    </w:rPr>
  </w:style>
  <w:style w:type="paragraph" w:customStyle="1" w:styleId="Char2">
    <w:name w:val="Char2"/>
    <w:basedOn w:val="Normal"/>
    <w:link w:val="FootnoteReference"/>
    <w:qFormat/>
    <w:rsid w:val="00413F0B"/>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413F0B"/>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413F0B"/>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413F0B"/>
    <w:rPr>
      <w:sz w:val="24"/>
    </w:rPr>
  </w:style>
  <w:style w:type="paragraph" w:customStyle="1" w:styleId="xl160">
    <w:name w:val="xl160"/>
    <w:basedOn w:val="Normal"/>
    <w:uiPriority w:val="99"/>
    <w:qFormat/>
    <w:rsid w:val="00413F0B"/>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413F0B"/>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413F0B"/>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413F0B"/>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413F0B"/>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413F0B"/>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413F0B"/>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413F0B"/>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413F0B"/>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413F0B"/>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413F0B"/>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413F0B"/>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413F0B"/>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413F0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413F0B"/>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413F0B"/>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413F0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413F0B"/>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413F0B"/>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413F0B"/>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413F0B"/>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413F0B"/>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413F0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413F0B"/>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413F0B"/>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413F0B"/>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413F0B"/>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413F0B"/>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413F0B"/>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413F0B"/>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413F0B"/>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413F0B"/>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413F0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413F0B"/>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413F0B"/>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413F0B"/>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413F0B"/>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413F0B"/>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413F0B"/>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413F0B"/>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413F0B"/>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413F0B"/>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413F0B"/>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413F0B"/>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413F0B"/>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413F0B"/>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413F0B"/>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413F0B"/>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413F0B"/>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413F0B"/>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413F0B"/>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413F0B"/>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413F0B"/>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413F0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413F0B"/>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413F0B"/>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413F0B"/>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413F0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413F0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413F0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413F0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413F0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413F0B"/>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413F0B"/>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413F0B"/>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413F0B"/>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413F0B"/>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413F0B"/>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413F0B"/>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413F0B"/>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413F0B"/>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413F0B"/>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413F0B"/>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413F0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413F0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413F0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413F0B"/>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413F0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413F0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413F0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413F0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413F0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413F0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413F0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413F0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413F0B"/>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413F0B"/>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413F0B"/>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413F0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413F0B"/>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413F0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413F0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413F0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413F0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413F0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413F0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413F0B"/>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413F0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413F0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413F0B"/>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413F0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413F0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413F0B"/>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413F0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413F0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413F0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413F0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413F0B"/>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413F0B"/>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413F0B"/>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413F0B"/>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413F0B"/>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413F0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413F0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413F0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413F0B"/>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413F0B"/>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413F0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413F0B"/>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413F0B"/>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413F0B"/>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413F0B"/>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413F0B"/>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413F0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413F0B"/>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413F0B"/>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413F0B"/>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413F0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413F0B"/>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413F0B"/>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413F0B"/>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413F0B"/>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413F0B"/>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413F0B"/>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413F0B"/>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413F0B"/>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413F0B"/>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413F0B"/>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413F0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413F0B"/>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413F0B"/>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413F0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413F0B"/>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413F0B"/>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413F0B"/>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413F0B"/>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413F0B"/>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413F0B"/>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413F0B"/>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413F0B"/>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413F0B"/>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413F0B"/>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413F0B"/>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413F0B"/>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413F0B"/>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413F0B"/>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413F0B"/>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413F0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413F0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413F0B"/>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413F0B"/>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413F0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413F0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413F0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413F0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413F0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413F0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413F0B"/>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413F0B"/>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413F0B"/>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413F0B"/>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413F0B"/>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413F0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413F0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413F0B"/>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413F0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413F0B"/>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413F0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413F0B"/>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413F0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413F0B"/>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413F0B"/>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413F0B"/>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413F0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413F0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413F0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413F0B"/>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413F0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413F0B"/>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413F0B"/>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413F0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413F0B"/>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413F0B"/>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413F0B"/>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413F0B"/>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413F0B"/>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413F0B"/>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413F0B"/>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413F0B"/>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413F0B"/>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413F0B"/>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413F0B"/>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413F0B"/>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413F0B"/>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413F0B"/>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413F0B"/>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413F0B"/>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413F0B"/>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413F0B"/>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413F0B"/>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413F0B"/>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413F0B"/>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413F0B"/>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413F0B"/>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413F0B"/>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413F0B"/>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413F0B"/>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413F0B"/>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413F0B"/>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413F0B"/>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413F0B"/>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413F0B"/>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413F0B"/>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413F0B"/>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413F0B"/>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413F0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413F0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413F0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413F0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413F0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413F0B"/>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413F0B"/>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413F0B"/>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413F0B"/>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413F0B"/>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413F0B"/>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413F0B"/>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413F0B"/>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413F0B"/>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413F0B"/>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413F0B"/>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413F0B"/>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413F0B"/>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413F0B"/>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413F0B"/>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413F0B"/>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413F0B"/>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413F0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413F0B"/>
    <w:pPr>
      <w:spacing w:before="0"/>
    </w:pPr>
  </w:style>
  <w:style w:type="paragraph" w:customStyle="1" w:styleId="Definition1a">
    <w:name w:val="Definition 1a"/>
    <w:basedOn w:val="Definition"/>
    <w:next w:val="Definition1b"/>
    <w:uiPriority w:val="99"/>
    <w:qFormat/>
    <w:rsid w:val="00413F0B"/>
    <w:pPr>
      <w:keepNext/>
    </w:pPr>
  </w:style>
  <w:style w:type="character" w:customStyle="1" w:styleId="Paragraph1Char">
    <w:name w:val="Paragraph (1) Char"/>
    <w:link w:val="Paragraph1"/>
    <w:locked/>
    <w:rsid w:val="00413F0B"/>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413F0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413F0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413F0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413F0B"/>
    <w:pPr>
      <w:tabs>
        <w:tab w:val="clear" w:pos="2835"/>
      </w:tabs>
      <w:ind w:firstLine="0"/>
    </w:pPr>
  </w:style>
  <w:style w:type="paragraph" w:customStyle="1" w:styleId="Definition3">
    <w:name w:val="Definition 3"/>
    <w:basedOn w:val="Definition2"/>
    <w:uiPriority w:val="99"/>
    <w:qFormat/>
    <w:rsid w:val="00413F0B"/>
    <w:pPr>
      <w:tabs>
        <w:tab w:val="clear" w:pos="3402"/>
      </w:tabs>
      <w:ind w:left="3402"/>
    </w:pPr>
  </w:style>
  <w:style w:type="paragraph" w:customStyle="1" w:styleId="Definition4">
    <w:name w:val="Definition 4"/>
    <w:basedOn w:val="Definition3"/>
    <w:uiPriority w:val="99"/>
    <w:qFormat/>
    <w:rsid w:val="00413F0B"/>
    <w:pPr>
      <w:tabs>
        <w:tab w:val="clear" w:pos="3969"/>
      </w:tabs>
      <w:ind w:left="3969"/>
    </w:pPr>
  </w:style>
  <w:style w:type="paragraph" w:customStyle="1" w:styleId="Paragraphi">
    <w:name w:val="Paragraph (i)"/>
    <w:basedOn w:val="Normal"/>
    <w:uiPriority w:val="99"/>
    <w:qFormat/>
    <w:rsid w:val="00413F0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413F0B"/>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413F0B"/>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413F0B"/>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413F0B"/>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413F0B"/>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413F0B"/>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413F0B"/>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413F0B"/>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413F0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413F0B"/>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413F0B"/>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413F0B"/>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413F0B"/>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413F0B"/>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413F0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413F0B"/>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413F0B"/>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413F0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413F0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413F0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413F0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413F0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413F0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413F0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413F0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413F0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413F0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413F0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413F0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413F0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413F0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413F0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413F0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413F0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413F0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413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413F0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413F0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413F0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413F0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413F0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413F0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413F0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413F0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413F0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413F0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413F0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413F0B"/>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413F0B"/>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413F0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413F0B"/>
    <w:pPr>
      <w:ind w:left="720" w:firstLine="0"/>
      <w:contextualSpacing/>
    </w:pPr>
  </w:style>
  <w:style w:type="paragraph" w:customStyle="1" w:styleId="ReturnAddress">
    <w:name w:val="Return Address"/>
    <w:basedOn w:val="Normal"/>
    <w:uiPriority w:val="99"/>
    <w:qFormat/>
    <w:rsid w:val="00413F0B"/>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413F0B"/>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413F0B"/>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413F0B"/>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413F0B"/>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413F0B"/>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413F0B"/>
  </w:style>
  <w:style w:type="paragraph" w:customStyle="1" w:styleId="CharCharCharCharCharCharCharCharCharCharChar1">
    <w:name w:val="Char Char Char Char Char Char Char Char Char Char Char1"/>
    <w:basedOn w:val="Normal"/>
    <w:uiPriority w:val="99"/>
    <w:qFormat/>
    <w:rsid w:val="00413F0B"/>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413F0B"/>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413F0B"/>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413F0B"/>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413F0B"/>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413F0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413F0B"/>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413F0B"/>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413F0B"/>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34"/>
    <w:qFormat/>
    <w:rsid w:val="00413F0B"/>
    <w:pPr>
      <w:ind w:left="720" w:firstLine="0"/>
      <w:contextualSpacing/>
      <w:jc w:val="left"/>
    </w:pPr>
    <w:rPr>
      <w:rFonts w:eastAsia="MS Mincho"/>
    </w:rPr>
  </w:style>
  <w:style w:type="paragraph" w:customStyle="1" w:styleId="Style54">
    <w:name w:val="Style54"/>
    <w:basedOn w:val="Normal"/>
    <w:uiPriority w:val="99"/>
    <w:qFormat/>
    <w:rsid w:val="00413F0B"/>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413F0B"/>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413F0B"/>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413F0B"/>
    <w:pPr>
      <w:ind w:firstLine="0"/>
    </w:pPr>
    <w:rPr>
      <w:u w:val="single"/>
    </w:rPr>
  </w:style>
  <w:style w:type="paragraph" w:customStyle="1" w:styleId="Indenta">
    <w:name w:val="Indent (a)"/>
    <w:basedOn w:val="Normal"/>
    <w:uiPriority w:val="99"/>
    <w:qFormat/>
    <w:rsid w:val="00413F0B"/>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413F0B"/>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413F0B"/>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413F0B"/>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413F0B"/>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413F0B"/>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413F0B"/>
    <w:pPr>
      <w:numPr>
        <w:numId w:val="14"/>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section-1">
    <w:name w:val="ti-section-1"/>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section-2">
    <w:name w:val="ti-section-2"/>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art">
    <w:name w:val="ti-art"/>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sti-art">
    <w:name w:val="sti-art"/>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doc-ti">
    <w:name w:val="doc-ti"/>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grseq-1">
    <w:name w:val="ti-grseq-1"/>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tbl">
    <w:name w:val="ti-tbl"/>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uiPriority w:val="99"/>
    <w:qFormat/>
    <w:rsid w:val="00413F0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neniChar">
    <w:name w:val="neni Char"/>
    <w:basedOn w:val="DefaultParagraphFont"/>
    <w:link w:val="neni"/>
    <w:locked/>
    <w:rsid w:val="00413F0B"/>
    <w:rPr>
      <w:rFonts w:ascii="Times New Roman" w:eastAsiaTheme="minorEastAsia" w:hAnsi="Times New Roman" w:cs="Times New Roman"/>
      <w:b/>
    </w:rPr>
  </w:style>
  <w:style w:type="paragraph" w:customStyle="1" w:styleId="neni">
    <w:name w:val="neni"/>
    <w:basedOn w:val="Normal"/>
    <w:link w:val="neniChar"/>
    <w:qFormat/>
    <w:rsid w:val="00413F0B"/>
    <w:pPr>
      <w:spacing w:after="0" w:line="256" w:lineRule="auto"/>
      <w:ind w:left="360" w:hanging="360"/>
      <w:jc w:val="center"/>
    </w:pPr>
    <w:rPr>
      <w:rFonts w:ascii="Times New Roman" w:eastAsiaTheme="minorEastAsia" w:hAnsi="Times New Roman"/>
      <w:b/>
    </w:rPr>
  </w:style>
  <w:style w:type="character" w:customStyle="1" w:styleId="pikaChar">
    <w:name w:val="pika Char"/>
    <w:basedOn w:val="DefaultParagraphFont"/>
    <w:link w:val="pika0"/>
    <w:locked/>
    <w:rsid w:val="00413F0B"/>
    <w:rPr>
      <w:rFonts w:ascii="Times New Roman" w:eastAsiaTheme="minorEastAsia" w:hAnsi="Times New Roman" w:cs="Times New Roman"/>
      <w:sz w:val="24"/>
      <w:szCs w:val="24"/>
      <w:lang w:val="sq-AL"/>
    </w:rPr>
  </w:style>
  <w:style w:type="paragraph" w:customStyle="1" w:styleId="pika0">
    <w:name w:val="pika"/>
    <w:basedOn w:val="Normal"/>
    <w:link w:val="pikaChar"/>
    <w:qFormat/>
    <w:rsid w:val="00413F0B"/>
    <w:pPr>
      <w:spacing w:after="120" w:line="280" w:lineRule="exact"/>
      <w:ind w:firstLine="0"/>
    </w:pPr>
    <w:rPr>
      <w:rFonts w:ascii="Times New Roman" w:eastAsiaTheme="minorEastAsia" w:hAnsi="Times New Roman"/>
      <w:sz w:val="24"/>
      <w:szCs w:val="24"/>
      <w:lang w:val="sq-AL"/>
    </w:rPr>
  </w:style>
  <w:style w:type="paragraph" w:customStyle="1" w:styleId="Table">
    <w:name w:val="Table"/>
    <w:basedOn w:val="Normal"/>
    <w:uiPriority w:val="99"/>
    <w:qFormat/>
    <w:rsid w:val="00413F0B"/>
    <w:pPr>
      <w:spacing w:after="0" w:line="288" w:lineRule="auto"/>
      <w:ind w:firstLine="0"/>
      <w:jc w:val="left"/>
    </w:pPr>
    <w:rPr>
      <w:rFonts w:ascii="Garamond" w:eastAsiaTheme="minorHAnsi" w:hAnsi="Garamond" w:cs="Arial"/>
      <w:sz w:val="17"/>
      <w:szCs w:val="17"/>
      <w:lang w:val="en-GB"/>
    </w:rPr>
  </w:style>
  <w:style w:type="paragraph" w:customStyle="1" w:styleId="TableBullet">
    <w:name w:val="Table Bullet"/>
    <w:basedOn w:val="Table"/>
    <w:uiPriority w:val="99"/>
    <w:qFormat/>
    <w:rsid w:val="00413F0B"/>
    <w:pPr>
      <w:numPr>
        <w:numId w:val="15"/>
      </w:numPr>
    </w:pPr>
  </w:style>
  <w:style w:type="character" w:customStyle="1" w:styleId="DefaultTextChar">
    <w:name w:val="Default Text Char"/>
    <w:basedOn w:val="DefaultParagraphFont"/>
    <w:link w:val="DefaultText"/>
    <w:locked/>
    <w:rsid w:val="00413F0B"/>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413F0B"/>
    <w:pPr>
      <w:spacing w:after="0" w:line="280" w:lineRule="atLeast"/>
      <w:ind w:firstLine="0"/>
      <w:jc w:val="left"/>
    </w:pPr>
    <w:rPr>
      <w:rFonts w:ascii="Garamond" w:eastAsia="Times New Roman" w:hAnsi="Garamond"/>
      <w:szCs w:val="24"/>
      <w:lang w:val="nl-NL" w:eastAsia="nl-NL"/>
    </w:rPr>
  </w:style>
  <w:style w:type="character" w:customStyle="1" w:styleId="Heading11Char">
    <w:name w:val="Heading 11 Char"/>
    <w:basedOn w:val="DefaultParagraphFont"/>
    <w:link w:val="Heading11"/>
    <w:locked/>
    <w:rsid w:val="00413F0B"/>
    <w:rPr>
      <w:rFonts w:ascii="Times New Roman" w:eastAsiaTheme="majorEastAsia" w:hAnsi="Times New Roman" w:cstheme="majorBidi"/>
      <w:b/>
      <w:color w:val="0070C0"/>
      <w:sz w:val="36"/>
      <w:szCs w:val="36"/>
      <w:lang w:val="en-GB"/>
    </w:rPr>
  </w:style>
  <w:style w:type="paragraph" w:customStyle="1" w:styleId="Heading11">
    <w:name w:val="Heading 11"/>
    <w:basedOn w:val="Heading3"/>
    <w:link w:val="Heading11Char"/>
    <w:qFormat/>
    <w:rsid w:val="00413F0B"/>
    <w:pPr>
      <w:numPr>
        <w:ilvl w:val="0"/>
        <w:numId w:val="0"/>
      </w:numPr>
      <w:ind w:left="1980" w:hanging="360"/>
    </w:pPr>
    <w:rPr>
      <w:rFonts w:ascii="Times New Roman" w:hAnsi="Times New Roman"/>
      <w:b/>
      <w:color w:val="0070C0"/>
      <w:sz w:val="36"/>
      <w:szCs w:val="36"/>
      <w:lang w:val="en-GB"/>
    </w:rPr>
  </w:style>
  <w:style w:type="paragraph" w:customStyle="1" w:styleId="broodtekst">
    <w:name w:val="broodtekst"/>
    <w:basedOn w:val="Normal"/>
    <w:uiPriority w:val="99"/>
    <w:qFormat/>
    <w:rsid w:val="00413F0B"/>
    <w:pPr>
      <w:spacing w:after="0" w:line="280" w:lineRule="atLeast"/>
      <w:ind w:firstLine="0"/>
      <w:jc w:val="left"/>
    </w:pPr>
    <w:rPr>
      <w:rFonts w:ascii="Arial" w:eastAsia="Times New Roman" w:hAnsi="Arial"/>
      <w:sz w:val="18"/>
      <w:szCs w:val="24"/>
      <w:lang w:val="en-GB" w:eastAsia="nl-NL"/>
    </w:rPr>
  </w:style>
  <w:style w:type="character" w:customStyle="1" w:styleId="heading3Char0">
    <w:name w:val="heading 3 Char"/>
    <w:basedOn w:val="DefaultParagraphFont"/>
    <w:link w:val="Heading31"/>
    <w:locked/>
    <w:rsid w:val="00413F0B"/>
    <w:rPr>
      <w:rFonts w:ascii="Cambria" w:eastAsia="Times New Roman" w:hAnsi="Cambria" w:cs="Arial"/>
      <w:b/>
      <w:color w:val="44546A" w:themeColor="text2"/>
      <w:sz w:val="24"/>
      <w:szCs w:val="24"/>
      <w:lang w:val="en-GB" w:eastAsia="en-GB"/>
    </w:rPr>
  </w:style>
  <w:style w:type="paragraph" w:customStyle="1" w:styleId="Heading31">
    <w:name w:val="Heading 31"/>
    <w:basedOn w:val="Normal"/>
    <w:link w:val="heading3Char0"/>
    <w:qFormat/>
    <w:rsid w:val="00413F0B"/>
    <w:pPr>
      <w:pBdr>
        <w:bottom w:val="single" w:sz="12" w:space="1" w:color="365F91"/>
      </w:pBdr>
      <w:spacing w:after="0" w:line="240" w:lineRule="auto"/>
      <w:ind w:firstLine="0"/>
      <w:outlineLvl w:val="1"/>
    </w:pPr>
    <w:rPr>
      <w:rFonts w:ascii="Cambria" w:eastAsia="Times New Roman" w:hAnsi="Cambria" w:cs="Arial"/>
      <w:b/>
      <w:color w:val="44546A" w:themeColor="text2"/>
      <w:sz w:val="24"/>
      <w:szCs w:val="24"/>
      <w:lang w:val="en-GB" w:eastAsia="en-GB"/>
    </w:rPr>
  </w:style>
  <w:style w:type="character" w:customStyle="1" w:styleId="TableTextChar">
    <w:name w:val="Table Text Char"/>
    <w:link w:val="TableText"/>
    <w:locked/>
    <w:rsid w:val="00413F0B"/>
    <w:rPr>
      <w:rFonts w:ascii="Arial" w:eastAsia="Times New Roman" w:hAnsi="Arial" w:cs="Times New Roman"/>
      <w:sz w:val="16"/>
      <w:szCs w:val="24"/>
      <w:lang w:val="nl-NL"/>
    </w:rPr>
  </w:style>
  <w:style w:type="paragraph" w:customStyle="1" w:styleId="TableText">
    <w:name w:val="Table Text"/>
    <w:basedOn w:val="Normal"/>
    <w:link w:val="TableTextChar"/>
    <w:qFormat/>
    <w:rsid w:val="00413F0B"/>
    <w:pPr>
      <w:spacing w:after="0" w:line="280" w:lineRule="atLeast"/>
      <w:ind w:firstLine="0"/>
      <w:jc w:val="left"/>
    </w:pPr>
    <w:rPr>
      <w:rFonts w:ascii="Arial" w:eastAsia="Times New Roman" w:hAnsi="Arial"/>
      <w:sz w:val="16"/>
      <w:szCs w:val="24"/>
      <w:lang w:val="nl-NL"/>
    </w:rPr>
  </w:style>
  <w:style w:type="paragraph" w:styleId="BlockText">
    <w:name w:val="Block Text"/>
    <w:basedOn w:val="Normal"/>
    <w:semiHidden/>
    <w:unhideWhenUsed/>
    <w:rsid w:val="00413F0B"/>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customStyle="1" w:styleId="BlockTitle">
    <w:name w:val="Block Title"/>
    <w:basedOn w:val="BlockText"/>
    <w:next w:val="BlockText"/>
    <w:uiPriority w:val="99"/>
    <w:qFormat/>
    <w:rsid w:val="00413F0B"/>
    <w:pPr>
      <w:keepNext/>
      <w:pBdr>
        <w:top w:val="none" w:sz="0" w:space="0" w:color="auto"/>
        <w:left w:val="none" w:sz="0" w:space="0" w:color="auto"/>
        <w:bottom w:val="none" w:sz="0" w:space="0" w:color="auto"/>
        <w:right w:val="none" w:sz="0" w:space="0" w:color="auto"/>
      </w:pBdr>
      <w:spacing w:after="0" w:line="280" w:lineRule="atLeast"/>
      <w:ind w:left="567" w:right="0" w:firstLine="0"/>
      <w:jc w:val="left"/>
    </w:pPr>
    <w:rPr>
      <w:rFonts w:ascii="Arial" w:eastAsia="Times New Roman" w:hAnsi="Arial" w:cs="Times New Roman"/>
      <w:b/>
      <w:bCs/>
      <w:i w:val="0"/>
      <w:iCs w:val="0"/>
      <w:color w:val="auto"/>
      <w:sz w:val="16"/>
      <w:szCs w:val="24"/>
      <w:lang w:val="nl-NL"/>
    </w:rPr>
  </w:style>
  <w:style w:type="paragraph" w:customStyle="1" w:styleId="HeadingOther1">
    <w:name w:val="Heading Other 1"/>
    <w:basedOn w:val="Heading1"/>
    <w:next w:val="Normal"/>
    <w:uiPriority w:val="99"/>
    <w:qFormat/>
    <w:rsid w:val="00413F0B"/>
    <w:pPr>
      <w:keepLines w:val="0"/>
      <w:numPr>
        <w:numId w:val="0"/>
      </w:numPr>
      <w:spacing w:before="0" w:after="560" w:line="280" w:lineRule="atLeast"/>
      <w:outlineLvl w:val="9"/>
    </w:pPr>
    <w:rPr>
      <w:rFonts w:ascii="Times New Roman" w:eastAsia="Times New Roman" w:hAnsi="Times New Roman" w:cs="Arial"/>
      <w:b/>
      <w:bCs/>
      <w:sz w:val="36"/>
      <w:lang w:val="en-GB"/>
    </w:rPr>
  </w:style>
  <w:style w:type="paragraph" w:customStyle="1" w:styleId="HeadingOther2">
    <w:name w:val="Heading Other 2"/>
    <w:basedOn w:val="Heading2"/>
    <w:next w:val="Normal"/>
    <w:uiPriority w:val="99"/>
    <w:qFormat/>
    <w:rsid w:val="00413F0B"/>
    <w:pPr>
      <w:keepLines w:val="0"/>
      <w:numPr>
        <w:ilvl w:val="0"/>
        <w:numId w:val="0"/>
      </w:numPr>
      <w:spacing w:before="240" w:after="280" w:line="280" w:lineRule="atLeast"/>
      <w:outlineLvl w:val="9"/>
    </w:pPr>
    <w:rPr>
      <w:rFonts w:ascii="Times New Roman" w:eastAsia="Times New Roman" w:hAnsi="Times New Roman" w:cs="Arial"/>
      <w:b/>
      <w:bCs/>
      <w:iCs/>
      <w:smallCaps/>
      <w:sz w:val="30"/>
      <w:szCs w:val="28"/>
      <w:lang w:val="en-GB"/>
    </w:rPr>
  </w:style>
  <w:style w:type="paragraph" w:customStyle="1" w:styleId="TableHeading">
    <w:name w:val="Table Heading"/>
    <w:basedOn w:val="TableText"/>
    <w:uiPriority w:val="99"/>
    <w:qFormat/>
    <w:rsid w:val="00413F0B"/>
    <w:pPr>
      <w:keepNext/>
    </w:pPr>
    <w:rPr>
      <w:b/>
    </w:rPr>
  </w:style>
  <w:style w:type="paragraph" w:customStyle="1" w:styleId="indent-10px">
    <w:name w:val="indent-10px"/>
    <w:basedOn w:val="Normal"/>
    <w:uiPriority w:val="99"/>
    <w:qFormat/>
    <w:rsid w:val="00413F0B"/>
    <w:pPr>
      <w:spacing w:before="100" w:beforeAutospacing="1" w:after="100" w:afterAutospacing="1" w:line="240" w:lineRule="auto"/>
      <w:ind w:left="150" w:firstLine="0"/>
      <w:jc w:val="left"/>
    </w:pPr>
    <w:rPr>
      <w:rFonts w:ascii="Times New Roman" w:eastAsia="Times New Roman" w:hAnsi="Times New Roman"/>
      <w:sz w:val="24"/>
      <w:szCs w:val="24"/>
      <w:lang w:val="nl-NL" w:eastAsia="nl-NL"/>
    </w:rPr>
  </w:style>
  <w:style w:type="character" w:customStyle="1" w:styleId="list-number-color-tableChar">
    <w:name w:val="list-number-color-table Char"/>
    <w:link w:val="list-number-color-table"/>
    <w:uiPriority w:val="99"/>
    <w:locked/>
    <w:rsid w:val="00413F0B"/>
    <w:rPr>
      <w:rFonts w:ascii="Arial" w:eastAsia="Times New Roman" w:hAnsi="Arial" w:cs="Times New Roman"/>
      <w:sz w:val="16"/>
      <w:szCs w:val="24"/>
      <w:lang w:val="en-GB" w:eastAsia="nl-NL"/>
    </w:rPr>
  </w:style>
  <w:style w:type="paragraph" w:customStyle="1" w:styleId="list-number-color-table">
    <w:name w:val="list-number-color-table"/>
    <w:basedOn w:val="Normal"/>
    <w:link w:val="list-number-color-tableChar"/>
    <w:uiPriority w:val="99"/>
    <w:qFormat/>
    <w:rsid w:val="00413F0B"/>
    <w:pPr>
      <w:numPr>
        <w:numId w:val="16"/>
      </w:numPr>
      <w:spacing w:after="0" w:line="280" w:lineRule="atLeast"/>
      <w:jc w:val="left"/>
    </w:pPr>
    <w:rPr>
      <w:rFonts w:ascii="Arial" w:eastAsia="Times New Roman" w:hAnsi="Arial"/>
      <w:sz w:val="16"/>
      <w:szCs w:val="24"/>
      <w:lang w:val="en-GB" w:eastAsia="nl-NL"/>
    </w:rPr>
  </w:style>
  <w:style w:type="paragraph" w:customStyle="1" w:styleId="footnote">
    <w:name w:val="footnote"/>
    <w:basedOn w:val="Normal"/>
    <w:uiPriority w:val="99"/>
    <w:qFormat/>
    <w:rsid w:val="00413F0B"/>
    <w:pPr>
      <w:autoSpaceDE w:val="0"/>
      <w:autoSpaceDN w:val="0"/>
      <w:adjustRightInd w:val="0"/>
      <w:spacing w:after="0" w:line="240" w:lineRule="auto"/>
      <w:ind w:firstLine="0"/>
      <w:jc w:val="left"/>
    </w:pPr>
    <w:rPr>
      <w:rFonts w:ascii="Times New Roman" w:eastAsia="Times New Roman" w:hAnsi="Times New Roman"/>
      <w:sz w:val="16"/>
      <w:szCs w:val="16"/>
      <w:lang w:val="en-GB" w:eastAsia="ru-RU"/>
    </w:rPr>
  </w:style>
  <w:style w:type="paragraph" w:customStyle="1" w:styleId="a0">
    <w:name w:val="Абзац списка"/>
    <w:basedOn w:val="Normal"/>
    <w:uiPriority w:val="99"/>
    <w:qFormat/>
    <w:rsid w:val="00413F0B"/>
    <w:pPr>
      <w:spacing w:after="0" w:line="240" w:lineRule="auto"/>
      <w:ind w:left="720" w:firstLine="0"/>
      <w:contextualSpacing/>
      <w:jc w:val="left"/>
    </w:pPr>
    <w:rPr>
      <w:rFonts w:ascii="Times New Roman" w:eastAsia="Times New Roman" w:hAnsi="Times New Roman"/>
      <w:sz w:val="24"/>
      <w:szCs w:val="24"/>
      <w:lang w:val="en-GB" w:eastAsia="en-GB"/>
    </w:rPr>
  </w:style>
  <w:style w:type="paragraph" w:customStyle="1" w:styleId="table-text">
    <w:name w:val="table-text"/>
    <w:basedOn w:val="Normal"/>
    <w:uiPriority w:val="99"/>
    <w:qFormat/>
    <w:rsid w:val="00413F0B"/>
    <w:pPr>
      <w:spacing w:after="0" w:line="280" w:lineRule="atLeast"/>
      <w:ind w:firstLine="0"/>
      <w:jc w:val="left"/>
    </w:pPr>
    <w:rPr>
      <w:rFonts w:ascii="Arial" w:eastAsia="Times New Roman" w:hAnsi="Arial"/>
      <w:sz w:val="16"/>
      <w:szCs w:val="24"/>
      <w:lang w:val="en-GB" w:eastAsia="nl-NL"/>
    </w:rPr>
  </w:style>
  <w:style w:type="paragraph" w:customStyle="1" w:styleId="p1">
    <w:name w:val="p1"/>
    <w:basedOn w:val="Normal"/>
    <w:uiPriority w:val="99"/>
    <w:qFormat/>
    <w:rsid w:val="00413F0B"/>
    <w:pPr>
      <w:spacing w:after="0" w:line="240" w:lineRule="auto"/>
      <w:ind w:firstLine="0"/>
      <w:jc w:val="left"/>
    </w:pPr>
    <w:rPr>
      <w:rFonts w:ascii="Cambria" w:eastAsiaTheme="minorHAnsi" w:hAnsi="Cambria" w:cstheme="minorBidi"/>
      <w:sz w:val="17"/>
      <w:szCs w:val="17"/>
      <w:lang w:val="en-GB" w:eastAsia="en-GB"/>
    </w:rPr>
  </w:style>
  <w:style w:type="character" w:customStyle="1" w:styleId="CharCharCharCharCharCharChar">
    <w:name w:val="Char Char Char Char Char Char Char"/>
    <w:link w:val="CharCharCharCharCharChar"/>
    <w:uiPriority w:val="99"/>
    <w:locked/>
    <w:rsid w:val="00413F0B"/>
    <w:rPr>
      <w:rFonts w:ascii="Tahoma" w:eastAsia="MS Mincho" w:hAnsi="Tahoma" w:cs="Tahoma"/>
      <w:sz w:val="20"/>
      <w:szCs w:val="20"/>
    </w:rPr>
  </w:style>
  <w:style w:type="paragraph" w:customStyle="1" w:styleId="CharCharCharCharCharChar">
    <w:name w:val="Char Char Char Char Char Char"/>
    <w:basedOn w:val="Normal"/>
    <w:link w:val="CharCharCharCharCharCharChar"/>
    <w:uiPriority w:val="99"/>
    <w:qFormat/>
    <w:rsid w:val="00413F0B"/>
    <w:pPr>
      <w:spacing w:after="160" w:line="240" w:lineRule="exact"/>
      <w:ind w:firstLine="0"/>
      <w:jc w:val="left"/>
    </w:pPr>
    <w:rPr>
      <w:rFonts w:ascii="Tahoma" w:eastAsia="MS Mincho" w:hAnsi="Tahoma" w:cs="Tahoma"/>
      <w:sz w:val="20"/>
      <w:szCs w:val="20"/>
    </w:rPr>
  </w:style>
  <w:style w:type="paragraph" w:customStyle="1" w:styleId="listparagraph2">
    <w:name w:val="listparagraph"/>
    <w:basedOn w:val="Normal"/>
    <w:uiPriority w:val="99"/>
    <w:qFormat/>
    <w:rsid w:val="00413F0B"/>
    <w:pPr>
      <w:ind w:left="720" w:firstLine="0"/>
      <w:jc w:val="left"/>
    </w:pPr>
    <w:rPr>
      <w:rFonts w:eastAsia="MS Mincho"/>
    </w:rPr>
  </w:style>
  <w:style w:type="paragraph" w:customStyle="1" w:styleId="10">
    <w:name w:val="Абзац списка1"/>
    <w:basedOn w:val="Normal"/>
    <w:uiPriority w:val="99"/>
    <w:qFormat/>
    <w:rsid w:val="00413F0B"/>
    <w:pPr>
      <w:spacing w:after="0" w:line="240" w:lineRule="auto"/>
      <w:ind w:left="720" w:firstLine="0"/>
      <w:jc w:val="left"/>
    </w:pPr>
    <w:rPr>
      <w:rFonts w:ascii="Times New Roman" w:hAnsi="Times New Roman"/>
      <w:sz w:val="24"/>
      <w:szCs w:val="24"/>
      <w:lang w:val="ru-RU" w:eastAsia="ru-RU"/>
    </w:rPr>
  </w:style>
  <w:style w:type="character" w:styleId="CommentReference">
    <w:name w:val="annotation reference"/>
    <w:semiHidden/>
    <w:unhideWhenUsed/>
    <w:rsid w:val="00413F0B"/>
    <w:rPr>
      <w:sz w:val="16"/>
      <w:szCs w:val="16"/>
    </w:rPr>
  </w:style>
  <w:style w:type="character" w:styleId="LineNumber">
    <w:name w:val="line number"/>
    <w:semiHidden/>
    <w:unhideWhenUsed/>
    <w:rsid w:val="00413F0B"/>
    <w:rPr>
      <w:rFonts w:ascii="Tahoma" w:hAnsi="Tahoma" w:cs="Tahoma" w:hint="default"/>
      <w:sz w:val="22"/>
    </w:rPr>
  </w:style>
  <w:style w:type="character" w:styleId="EndnoteReference">
    <w:name w:val="endnote reference"/>
    <w:semiHidden/>
    <w:unhideWhenUsed/>
    <w:rsid w:val="00413F0B"/>
    <w:rPr>
      <w:vertAlign w:val="superscript"/>
    </w:rPr>
  </w:style>
  <w:style w:type="character" w:styleId="PlaceholderText">
    <w:name w:val="Placeholder Text"/>
    <w:uiPriority w:val="99"/>
    <w:semiHidden/>
    <w:rsid w:val="00413F0B"/>
    <w:rPr>
      <w:rFonts w:ascii="Times New Roman" w:hAnsi="Times New Roman" w:cs="Times New Roman" w:hint="default"/>
      <w:color w:val="808080"/>
    </w:rPr>
  </w:style>
  <w:style w:type="character" w:styleId="SubtleEmphasis">
    <w:name w:val="Subtle Emphasis"/>
    <w:uiPriority w:val="19"/>
    <w:qFormat/>
    <w:rsid w:val="00413F0B"/>
    <w:rPr>
      <w:i/>
      <w:iCs/>
      <w:color w:val="404040"/>
    </w:rPr>
  </w:style>
  <w:style w:type="character" w:styleId="IntenseEmphasis">
    <w:name w:val="Intense Emphasis"/>
    <w:uiPriority w:val="21"/>
    <w:qFormat/>
    <w:rsid w:val="00413F0B"/>
    <w:rPr>
      <w:b/>
      <w:bCs/>
      <w:i/>
      <w:iCs/>
      <w:color w:val="4F81BD"/>
      <w:sz w:val="24"/>
    </w:rPr>
  </w:style>
  <w:style w:type="character" w:styleId="IntenseReference">
    <w:name w:val="Intense Reference"/>
    <w:basedOn w:val="DefaultParagraphFont"/>
    <w:uiPriority w:val="32"/>
    <w:qFormat/>
    <w:rsid w:val="00413F0B"/>
    <w:rPr>
      <w:b/>
      <w:bCs/>
      <w:smallCaps/>
      <w:color w:val="5B9BD5" w:themeColor="accent1"/>
      <w:spacing w:val="5"/>
    </w:rPr>
  </w:style>
  <w:style w:type="character" w:styleId="BookTitle">
    <w:name w:val="Book Title"/>
    <w:uiPriority w:val="99"/>
    <w:qFormat/>
    <w:rsid w:val="00413F0B"/>
    <w:rPr>
      <w:b/>
      <w:bCs/>
      <w:smallCaps/>
      <w:spacing w:val="5"/>
    </w:rPr>
  </w:style>
  <w:style w:type="character" w:customStyle="1" w:styleId="Heading9Char1">
    <w:name w:val="Heading 9 Char1"/>
    <w:basedOn w:val="DefaultParagraphFont"/>
    <w:uiPriority w:val="9"/>
    <w:semiHidden/>
    <w:rsid w:val="00413F0B"/>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413F0B"/>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413F0B"/>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413F0B"/>
    <w:rPr>
      <w:rFonts w:ascii="Segoe UI" w:eastAsia="Calibri" w:hAnsi="Segoe UI" w:cs="Segoe UI"/>
      <w:sz w:val="18"/>
      <w:szCs w:val="18"/>
    </w:rPr>
  </w:style>
  <w:style w:type="paragraph" w:styleId="Header">
    <w:name w:val="header"/>
    <w:basedOn w:val="Normal"/>
    <w:link w:val="HeaderChar"/>
    <w:uiPriority w:val="99"/>
    <w:semiHidden/>
    <w:unhideWhenUsed/>
    <w:rsid w:val="00413F0B"/>
    <w:pPr>
      <w:tabs>
        <w:tab w:val="center" w:pos="4680"/>
        <w:tab w:val="right" w:pos="9360"/>
      </w:tabs>
      <w:spacing w:after="0" w:line="240" w:lineRule="auto"/>
    </w:pPr>
  </w:style>
  <w:style w:type="character" w:customStyle="1" w:styleId="HeaderChar1">
    <w:name w:val="Header Char1"/>
    <w:basedOn w:val="DefaultParagraphFont"/>
    <w:uiPriority w:val="99"/>
    <w:semiHidden/>
    <w:rsid w:val="00413F0B"/>
    <w:rPr>
      <w:rFonts w:ascii="Calibri" w:eastAsia="Calibri" w:hAnsi="Calibri" w:cs="Times New Roman"/>
    </w:rPr>
  </w:style>
  <w:style w:type="paragraph" w:styleId="Footer">
    <w:name w:val="footer"/>
    <w:basedOn w:val="Normal"/>
    <w:link w:val="FooterChar"/>
    <w:uiPriority w:val="99"/>
    <w:semiHidden/>
    <w:unhideWhenUsed/>
    <w:rsid w:val="00413F0B"/>
    <w:pPr>
      <w:tabs>
        <w:tab w:val="center" w:pos="4680"/>
        <w:tab w:val="right" w:pos="9360"/>
      </w:tabs>
      <w:spacing w:after="0" w:line="240" w:lineRule="auto"/>
    </w:pPr>
  </w:style>
  <w:style w:type="character" w:customStyle="1" w:styleId="FooterChar1">
    <w:name w:val="Footer Char1"/>
    <w:basedOn w:val="DefaultParagraphFont"/>
    <w:uiPriority w:val="99"/>
    <w:semiHidden/>
    <w:rsid w:val="00413F0B"/>
    <w:rPr>
      <w:rFonts w:ascii="Calibri" w:eastAsia="Calibri" w:hAnsi="Calibri" w:cs="Times New Roman"/>
    </w:rPr>
  </w:style>
  <w:style w:type="paragraph" w:styleId="Subtitle">
    <w:name w:val="Subtitle"/>
    <w:basedOn w:val="Normal"/>
    <w:next w:val="Normal"/>
    <w:link w:val="SubtitleChar"/>
    <w:qFormat/>
    <w:rsid w:val="00413F0B"/>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413F0B"/>
    <w:rPr>
      <w:rFonts w:eastAsiaTheme="minorEastAsia"/>
      <w:color w:val="5A5A5A" w:themeColor="text1" w:themeTint="A5"/>
      <w:spacing w:val="15"/>
    </w:rPr>
  </w:style>
  <w:style w:type="character" w:customStyle="1" w:styleId="apple-converted-space">
    <w:name w:val="apple-converted-space"/>
    <w:rsid w:val="00413F0B"/>
  </w:style>
  <w:style w:type="paragraph" w:styleId="BodyText3">
    <w:name w:val="Body Text 3"/>
    <w:basedOn w:val="Normal"/>
    <w:link w:val="BodyText3Char"/>
    <w:uiPriority w:val="99"/>
    <w:semiHidden/>
    <w:unhideWhenUsed/>
    <w:rsid w:val="00413F0B"/>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413F0B"/>
    <w:rPr>
      <w:rFonts w:ascii="Calibri" w:eastAsia="Calibri" w:hAnsi="Calibri" w:cs="Times New Roman"/>
      <w:sz w:val="16"/>
      <w:szCs w:val="16"/>
    </w:rPr>
  </w:style>
  <w:style w:type="character" w:customStyle="1" w:styleId="sb8d990e2">
    <w:name w:val="sb8d990e2"/>
    <w:basedOn w:val="DefaultParagraphFont"/>
    <w:rsid w:val="00413F0B"/>
  </w:style>
  <w:style w:type="character" w:customStyle="1" w:styleId="normal--char">
    <w:name w:val="normal--char"/>
    <w:basedOn w:val="DefaultParagraphFont"/>
    <w:rsid w:val="00413F0B"/>
  </w:style>
  <w:style w:type="character" w:customStyle="1" w:styleId="s7d2086b4">
    <w:name w:val="s7d2086b4"/>
    <w:basedOn w:val="DefaultParagraphFont"/>
    <w:uiPriority w:val="99"/>
    <w:rsid w:val="00413F0B"/>
  </w:style>
  <w:style w:type="character" w:customStyle="1" w:styleId="hps">
    <w:name w:val="hps"/>
    <w:basedOn w:val="DefaultParagraphFont"/>
    <w:rsid w:val="00413F0B"/>
  </w:style>
  <w:style w:type="character" w:customStyle="1" w:styleId="grame">
    <w:name w:val="grame"/>
    <w:rsid w:val="00413F0B"/>
    <w:rPr>
      <w:rFonts w:ascii="Times New Roman" w:hAnsi="Times New Roman" w:cs="Times New Roman" w:hint="default"/>
    </w:rPr>
  </w:style>
  <w:style w:type="character" w:customStyle="1" w:styleId="atn">
    <w:name w:val="atn"/>
    <w:basedOn w:val="DefaultParagraphFont"/>
    <w:rsid w:val="00413F0B"/>
  </w:style>
  <w:style w:type="paragraph" w:styleId="PlainText">
    <w:name w:val="Plain Text"/>
    <w:basedOn w:val="Normal"/>
    <w:link w:val="PlainTextChar"/>
    <w:uiPriority w:val="99"/>
    <w:semiHidden/>
    <w:unhideWhenUsed/>
    <w:rsid w:val="00413F0B"/>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413F0B"/>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413F0B"/>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413F0B"/>
    <w:rPr>
      <w:rFonts w:ascii="Segoe UI" w:eastAsia="Calibri" w:hAnsi="Segoe UI" w:cs="Segoe UI"/>
      <w:sz w:val="16"/>
      <w:szCs w:val="16"/>
    </w:rPr>
  </w:style>
  <w:style w:type="character" w:customStyle="1" w:styleId="longtext">
    <w:name w:val="long_text"/>
    <w:rsid w:val="00413F0B"/>
    <w:rPr>
      <w:rFonts w:ascii="Comic Sans MS" w:hAnsi="Comic Sans MS" w:hint="default"/>
      <w:b/>
      <w:bCs w:val="0"/>
      <w:sz w:val="96"/>
      <w:szCs w:val="24"/>
      <w:lang w:val="pl-PL" w:eastAsia="pl-PL" w:bidi="ar-SA"/>
    </w:rPr>
  </w:style>
  <w:style w:type="character" w:customStyle="1" w:styleId="Point1CharChar">
    <w:name w:val="Point 1 Char Char"/>
    <w:rsid w:val="00413F0B"/>
    <w:rPr>
      <w:sz w:val="24"/>
      <w:szCs w:val="24"/>
      <w:lang w:val="en-GB" w:eastAsia="en-GB" w:bidi="ar-SA"/>
    </w:rPr>
  </w:style>
  <w:style w:type="character" w:customStyle="1" w:styleId="apple-style-span">
    <w:name w:val="apple-style-span"/>
    <w:rsid w:val="00413F0B"/>
  </w:style>
  <w:style w:type="character" w:customStyle="1" w:styleId="CommentTextChar">
    <w:name w:val="Comment Text Char"/>
    <w:basedOn w:val="DefaultParagraphFont"/>
    <w:semiHidden/>
    <w:rsid w:val="00413F0B"/>
    <w:rPr>
      <w:rFonts w:ascii="Calibri" w:eastAsia="Calibri" w:hAnsi="Calibri" w:cs="Times New Roman"/>
    </w:rPr>
  </w:style>
  <w:style w:type="character" w:customStyle="1" w:styleId="CommentTextChar1">
    <w:name w:val="Comment Text Char1"/>
    <w:basedOn w:val="DefaultParagraphFont"/>
    <w:rsid w:val="00413F0B"/>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413F0B"/>
    <w:pPr>
      <w:spacing w:line="240" w:lineRule="auto"/>
    </w:pPr>
    <w:rPr>
      <w:sz w:val="20"/>
      <w:szCs w:val="20"/>
    </w:rPr>
  </w:style>
  <w:style w:type="character" w:customStyle="1" w:styleId="CommentTextChar2">
    <w:name w:val="Comment Text Char2"/>
    <w:basedOn w:val="DefaultParagraphFont"/>
    <w:link w:val="CommentText"/>
    <w:uiPriority w:val="99"/>
    <w:semiHidden/>
    <w:rsid w:val="00413F0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13F0B"/>
    <w:rPr>
      <w:b/>
      <w:bCs/>
    </w:rPr>
  </w:style>
  <w:style w:type="character" w:customStyle="1" w:styleId="CommentSubjectChar">
    <w:name w:val="Comment Subject Char"/>
    <w:basedOn w:val="CommentTextChar2"/>
    <w:link w:val="CommentSubject"/>
    <w:uiPriority w:val="99"/>
    <w:semiHidden/>
    <w:rsid w:val="00413F0B"/>
    <w:rPr>
      <w:rFonts w:ascii="Calibri" w:eastAsia="Calibri" w:hAnsi="Calibri" w:cs="Times New Roman"/>
      <w:b/>
      <w:bCs/>
      <w:sz w:val="20"/>
      <w:szCs w:val="20"/>
    </w:rPr>
  </w:style>
  <w:style w:type="paragraph" w:styleId="MacroText">
    <w:name w:val="macro"/>
    <w:link w:val="MacroTextChar"/>
    <w:semiHidden/>
    <w:unhideWhenUsed/>
    <w:rsid w:val="00413F0B"/>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413F0B"/>
    <w:rPr>
      <w:rFonts w:ascii="Consolas" w:eastAsia="Calibri" w:hAnsi="Consolas" w:cs="Times New Roman"/>
      <w:sz w:val="20"/>
      <w:szCs w:val="20"/>
    </w:rPr>
  </w:style>
  <w:style w:type="paragraph" w:styleId="Date">
    <w:name w:val="Date"/>
    <w:basedOn w:val="Normal"/>
    <w:next w:val="Normal"/>
    <w:link w:val="DateChar"/>
    <w:semiHidden/>
    <w:unhideWhenUsed/>
    <w:rsid w:val="00413F0B"/>
    <w:rPr>
      <w:rFonts w:ascii="Tahoma" w:eastAsia="Times New Roman" w:hAnsi="Tahoma"/>
      <w:lang w:val="de-AT" w:eastAsia="de-DE"/>
    </w:rPr>
  </w:style>
  <w:style w:type="character" w:customStyle="1" w:styleId="DateChar1">
    <w:name w:val="Date Char1"/>
    <w:basedOn w:val="DefaultParagraphFont"/>
    <w:semiHidden/>
    <w:rsid w:val="00413F0B"/>
    <w:rPr>
      <w:rFonts w:ascii="Calibri" w:eastAsia="Calibri" w:hAnsi="Calibri" w:cs="Times New Roman"/>
    </w:rPr>
  </w:style>
  <w:style w:type="character" w:customStyle="1" w:styleId="Emphasis1">
    <w:name w:val="Emphasis1"/>
    <w:semiHidden/>
    <w:rsid w:val="00413F0B"/>
  </w:style>
  <w:style w:type="paragraph" w:styleId="NoteHeading">
    <w:name w:val="Note Heading"/>
    <w:basedOn w:val="Normal"/>
    <w:next w:val="Normal"/>
    <w:link w:val="NoteHeadingChar"/>
    <w:semiHidden/>
    <w:unhideWhenUsed/>
    <w:rsid w:val="00413F0B"/>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413F0B"/>
    <w:rPr>
      <w:rFonts w:ascii="Calibri" w:eastAsia="Calibri" w:hAnsi="Calibri" w:cs="Times New Roman"/>
    </w:rPr>
  </w:style>
  <w:style w:type="paragraph" w:styleId="BodyTextFirstIndent2">
    <w:name w:val="Body Text First Indent 2"/>
    <w:basedOn w:val="BodyTextIndent"/>
    <w:link w:val="BodyTextFirstIndent2Char"/>
    <w:semiHidden/>
    <w:unhideWhenUsed/>
    <w:rsid w:val="00413F0B"/>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413F0B"/>
    <w:rPr>
      <w:rFonts w:ascii="Calibri" w:eastAsia="Calibri" w:hAnsi="Calibri" w:cs="Times New Roman"/>
    </w:rPr>
  </w:style>
  <w:style w:type="paragraph" w:styleId="Salutation">
    <w:name w:val="Salutation"/>
    <w:basedOn w:val="Normal"/>
    <w:next w:val="Normal"/>
    <w:link w:val="SalutationChar"/>
    <w:semiHidden/>
    <w:unhideWhenUsed/>
    <w:rsid w:val="00413F0B"/>
    <w:rPr>
      <w:rFonts w:ascii="Tahoma" w:eastAsia="Times New Roman" w:hAnsi="Tahoma"/>
      <w:lang w:val="de-AT" w:eastAsia="de-DE"/>
    </w:rPr>
  </w:style>
  <w:style w:type="character" w:customStyle="1" w:styleId="SalutationChar1">
    <w:name w:val="Salutation Char1"/>
    <w:basedOn w:val="DefaultParagraphFont"/>
    <w:semiHidden/>
    <w:rsid w:val="00413F0B"/>
    <w:rPr>
      <w:rFonts w:ascii="Calibri" w:eastAsia="Calibri" w:hAnsi="Calibri" w:cs="Times New Roman"/>
    </w:rPr>
  </w:style>
  <w:style w:type="paragraph" w:styleId="Closing">
    <w:name w:val="Closing"/>
    <w:basedOn w:val="Normal"/>
    <w:link w:val="ClosingChar"/>
    <w:semiHidden/>
    <w:unhideWhenUsed/>
    <w:rsid w:val="00413F0B"/>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413F0B"/>
    <w:rPr>
      <w:rFonts w:ascii="Calibri" w:eastAsia="Calibri" w:hAnsi="Calibri" w:cs="Times New Roman"/>
    </w:rPr>
  </w:style>
  <w:style w:type="paragraph" w:styleId="Signature">
    <w:name w:val="Signature"/>
    <w:basedOn w:val="Normal"/>
    <w:link w:val="SignatureChar"/>
    <w:semiHidden/>
    <w:unhideWhenUsed/>
    <w:rsid w:val="00413F0B"/>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413F0B"/>
    <w:rPr>
      <w:rFonts w:ascii="Calibri" w:eastAsia="Calibri" w:hAnsi="Calibri" w:cs="Times New Roman"/>
    </w:rPr>
  </w:style>
  <w:style w:type="paragraph" w:styleId="E-mailSignature">
    <w:name w:val="E-mail Signature"/>
    <w:basedOn w:val="Normal"/>
    <w:link w:val="E-mailSignatureChar"/>
    <w:semiHidden/>
    <w:unhideWhenUsed/>
    <w:rsid w:val="00413F0B"/>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413F0B"/>
    <w:rPr>
      <w:rFonts w:ascii="Calibri" w:eastAsia="Calibri" w:hAnsi="Calibri" w:cs="Times New Roman"/>
    </w:rPr>
  </w:style>
  <w:style w:type="paragraph" w:styleId="BodyText2">
    <w:name w:val="Body Text 2"/>
    <w:basedOn w:val="Normal"/>
    <w:link w:val="BodyText2Char"/>
    <w:uiPriority w:val="99"/>
    <w:semiHidden/>
    <w:unhideWhenUsed/>
    <w:rsid w:val="00413F0B"/>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413F0B"/>
    <w:rPr>
      <w:rFonts w:ascii="Calibri" w:eastAsia="Calibri" w:hAnsi="Calibri" w:cs="Times New Roman"/>
    </w:rPr>
  </w:style>
  <w:style w:type="paragraph" w:styleId="BodyTextIndent2">
    <w:name w:val="Body Text Indent 2"/>
    <w:basedOn w:val="Normal"/>
    <w:link w:val="BodyTextIndent2Char"/>
    <w:uiPriority w:val="99"/>
    <w:semiHidden/>
    <w:unhideWhenUsed/>
    <w:rsid w:val="00413F0B"/>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413F0B"/>
    <w:rPr>
      <w:rFonts w:ascii="Calibri" w:eastAsia="Calibri" w:hAnsi="Calibri" w:cs="Times New Roman"/>
    </w:rPr>
  </w:style>
  <w:style w:type="paragraph" w:styleId="BodyTextIndent3">
    <w:name w:val="Body Text Indent 3"/>
    <w:basedOn w:val="Normal"/>
    <w:link w:val="BodyTextIndent3Char"/>
    <w:uiPriority w:val="99"/>
    <w:semiHidden/>
    <w:unhideWhenUsed/>
    <w:rsid w:val="00413F0B"/>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413F0B"/>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413F0B"/>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413F0B"/>
    <w:rPr>
      <w:rFonts w:ascii="Calibri" w:eastAsia="Calibri" w:hAnsi="Calibri" w:cs="Times New Roman"/>
    </w:rPr>
  </w:style>
  <w:style w:type="character" w:customStyle="1" w:styleId="CharChar11">
    <w:name w:val="Char Char11"/>
    <w:semiHidden/>
    <w:locked/>
    <w:rsid w:val="00413F0B"/>
    <w:rPr>
      <w:rFonts w:ascii="Tahoma" w:hAnsi="Tahoma" w:cs="Tahoma" w:hint="default"/>
      <w:i/>
      <w:iCs/>
      <w:sz w:val="22"/>
      <w:szCs w:val="22"/>
      <w:lang w:val="de-AT" w:eastAsia="de-DE" w:bidi="ar-SA"/>
    </w:rPr>
  </w:style>
  <w:style w:type="character" w:customStyle="1" w:styleId="CharChar36">
    <w:name w:val="Char Char36"/>
    <w:locked/>
    <w:rsid w:val="00413F0B"/>
    <w:rPr>
      <w:rFonts w:ascii="Arial" w:hAnsi="Arial" w:cs="Arial" w:hint="default"/>
      <w:b/>
      <w:bCs/>
      <w:kern w:val="32"/>
      <w:sz w:val="32"/>
      <w:szCs w:val="32"/>
      <w:lang w:val="sq-AL" w:eastAsia="en-US" w:bidi="ar-SA"/>
    </w:rPr>
  </w:style>
  <w:style w:type="character" w:customStyle="1" w:styleId="CharChar35">
    <w:name w:val="Char Char35"/>
    <w:locked/>
    <w:rsid w:val="00413F0B"/>
    <w:rPr>
      <w:rFonts w:ascii="Arial" w:hAnsi="Arial" w:cs="Arial" w:hint="default"/>
      <w:b/>
      <w:bCs/>
      <w:i/>
      <w:iCs/>
      <w:sz w:val="28"/>
      <w:szCs w:val="28"/>
      <w:lang w:val="sq-AL" w:eastAsia="en-US" w:bidi="ar-SA"/>
    </w:rPr>
  </w:style>
  <w:style w:type="character" w:customStyle="1" w:styleId="CharChar34">
    <w:name w:val="Char Char34"/>
    <w:locked/>
    <w:rsid w:val="00413F0B"/>
    <w:rPr>
      <w:rFonts w:ascii="Tahoma" w:hAnsi="Tahoma" w:cs="Tahoma" w:hint="default"/>
      <w:b/>
      <w:bCs w:val="0"/>
      <w:kern w:val="28"/>
      <w:sz w:val="24"/>
      <w:szCs w:val="28"/>
      <w:lang w:val="de-AT" w:eastAsia="de-DE" w:bidi="ar-SA"/>
    </w:rPr>
  </w:style>
  <w:style w:type="character" w:customStyle="1" w:styleId="CharChar33">
    <w:name w:val="Char Char33"/>
    <w:locked/>
    <w:rsid w:val="00413F0B"/>
    <w:rPr>
      <w:rFonts w:ascii="Tahoma" w:hAnsi="Tahoma" w:cs="Tahoma" w:hint="default"/>
      <w:b/>
      <w:bCs w:val="0"/>
      <w:i/>
      <w:iCs w:val="0"/>
      <w:kern w:val="28"/>
      <w:sz w:val="22"/>
      <w:szCs w:val="22"/>
      <w:lang w:val="de-AT" w:eastAsia="de-DE" w:bidi="ar-SA"/>
    </w:rPr>
  </w:style>
  <w:style w:type="character" w:customStyle="1" w:styleId="CharChar32">
    <w:name w:val="Char Char32"/>
    <w:locked/>
    <w:rsid w:val="00413F0B"/>
    <w:rPr>
      <w:rFonts w:ascii="Tahoma" w:hAnsi="Tahoma" w:cs="Tahoma" w:hint="default"/>
      <w:b/>
      <w:bCs w:val="0"/>
      <w:i/>
      <w:iCs w:val="0"/>
      <w:kern w:val="28"/>
      <w:sz w:val="22"/>
      <w:szCs w:val="22"/>
      <w:lang w:val="de-AT" w:eastAsia="de-DE" w:bidi="ar-SA"/>
    </w:rPr>
  </w:style>
  <w:style w:type="character" w:customStyle="1" w:styleId="CharChar31">
    <w:name w:val="Char Char31"/>
    <w:locked/>
    <w:rsid w:val="00413F0B"/>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413F0B"/>
    <w:rPr>
      <w:rFonts w:ascii="Courier New" w:hAnsi="Courier New" w:cs="Courier New" w:hint="default"/>
      <w:szCs w:val="22"/>
      <w:lang w:val="de-AT" w:eastAsia="de-DE" w:bidi="ar-SA"/>
    </w:rPr>
  </w:style>
  <w:style w:type="character" w:customStyle="1" w:styleId="CharChar30">
    <w:name w:val="Char Char30"/>
    <w:locked/>
    <w:rsid w:val="00413F0B"/>
    <w:rPr>
      <w:rFonts w:ascii="Tahoma" w:hAnsi="Tahoma" w:cs="Tahoma" w:hint="default"/>
      <w:b/>
      <w:bCs w:val="0"/>
      <w:i/>
      <w:iCs w:val="0"/>
      <w:kern w:val="28"/>
      <w:sz w:val="22"/>
      <w:szCs w:val="22"/>
      <w:lang w:val="de-AT" w:eastAsia="de-DE" w:bidi="ar-SA"/>
    </w:rPr>
  </w:style>
  <w:style w:type="character" w:customStyle="1" w:styleId="CharChar29">
    <w:name w:val="Char Char29"/>
    <w:locked/>
    <w:rsid w:val="00413F0B"/>
    <w:rPr>
      <w:rFonts w:ascii="Tahoma" w:hAnsi="Tahoma" w:cs="Tahoma" w:hint="default"/>
      <w:b/>
      <w:bCs w:val="0"/>
      <w:i/>
      <w:iCs w:val="0"/>
      <w:kern w:val="28"/>
      <w:sz w:val="22"/>
      <w:szCs w:val="22"/>
      <w:lang w:val="de-AT" w:eastAsia="de-DE" w:bidi="ar-SA"/>
    </w:rPr>
  </w:style>
  <w:style w:type="character" w:customStyle="1" w:styleId="CharChar28">
    <w:name w:val="Char Char28"/>
    <w:locked/>
    <w:rsid w:val="00413F0B"/>
    <w:rPr>
      <w:rFonts w:ascii="Tahoma" w:hAnsi="Tahoma" w:cs="Tahoma" w:hint="default"/>
      <w:b/>
      <w:bCs w:val="0"/>
      <w:i/>
      <w:iCs w:val="0"/>
      <w:kern w:val="28"/>
      <w:sz w:val="22"/>
      <w:szCs w:val="22"/>
      <w:lang w:val="de-AT" w:eastAsia="de-DE" w:bidi="ar-SA"/>
    </w:rPr>
  </w:style>
  <w:style w:type="character" w:customStyle="1" w:styleId="CharChar27">
    <w:name w:val="Char Char27"/>
    <w:locked/>
    <w:rsid w:val="00413F0B"/>
    <w:rPr>
      <w:rFonts w:ascii="Calibri" w:eastAsia="Calibri" w:hAnsi="Calibri" w:hint="default"/>
      <w:lang w:val="sq-AL" w:eastAsia="en-US" w:bidi="ar-SA"/>
    </w:rPr>
  </w:style>
  <w:style w:type="character" w:customStyle="1" w:styleId="CharChar24">
    <w:name w:val="Char Char24"/>
    <w:locked/>
    <w:rsid w:val="00413F0B"/>
    <w:rPr>
      <w:rFonts w:ascii="Tahoma" w:hAnsi="Tahoma" w:cs="Tahoma" w:hint="default"/>
      <w:sz w:val="22"/>
      <w:szCs w:val="22"/>
      <w:lang w:val="de-AT" w:eastAsia="de-DE" w:bidi="ar-SA"/>
    </w:rPr>
  </w:style>
  <w:style w:type="character" w:customStyle="1" w:styleId="CharChar23">
    <w:name w:val="Char Char23"/>
    <w:locked/>
    <w:rsid w:val="00413F0B"/>
    <w:rPr>
      <w:rFonts w:ascii="Tahoma" w:hAnsi="Tahoma" w:cs="Tahoma" w:hint="default"/>
      <w:sz w:val="22"/>
      <w:szCs w:val="22"/>
      <w:lang w:val="de-AT" w:eastAsia="de-DE" w:bidi="ar-SA"/>
    </w:rPr>
  </w:style>
  <w:style w:type="character" w:customStyle="1" w:styleId="CharChar22">
    <w:name w:val="Char Char22"/>
    <w:semiHidden/>
    <w:locked/>
    <w:rsid w:val="00413F0B"/>
    <w:rPr>
      <w:rFonts w:ascii="Courier New" w:hAnsi="Courier New" w:cs="Courier New" w:hint="default"/>
      <w:sz w:val="22"/>
      <w:szCs w:val="22"/>
      <w:lang w:val="de-DE" w:eastAsia="de-DE" w:bidi="ar-SA"/>
    </w:rPr>
  </w:style>
  <w:style w:type="character" w:customStyle="1" w:styleId="CharChar21">
    <w:name w:val="Char Char21"/>
    <w:locked/>
    <w:rsid w:val="00413F0B"/>
    <w:rPr>
      <w:rFonts w:ascii="Tahoma" w:hAnsi="Tahoma" w:cs="Tahoma" w:hint="default"/>
      <w:b/>
      <w:bCs w:val="0"/>
      <w:kern w:val="28"/>
      <w:sz w:val="36"/>
      <w:szCs w:val="36"/>
      <w:lang w:val="de-AT" w:eastAsia="de-DE" w:bidi="ar-SA"/>
    </w:rPr>
  </w:style>
  <w:style w:type="character" w:customStyle="1" w:styleId="CharChar12">
    <w:name w:val="Char Char12"/>
    <w:semiHidden/>
    <w:locked/>
    <w:rsid w:val="00413F0B"/>
    <w:rPr>
      <w:rFonts w:ascii="Tahoma" w:hAnsi="Tahoma" w:cs="Tahoma" w:hint="default"/>
      <w:sz w:val="22"/>
      <w:szCs w:val="22"/>
      <w:lang w:val="de-AT" w:eastAsia="de-DE" w:bidi="ar-SA"/>
    </w:rPr>
  </w:style>
  <w:style w:type="character" w:customStyle="1" w:styleId="CharChar9">
    <w:name w:val="Char Char9"/>
    <w:semiHidden/>
    <w:locked/>
    <w:rsid w:val="00413F0B"/>
    <w:rPr>
      <w:rFonts w:ascii="Tahoma" w:hAnsi="Tahoma" w:cs="Tahoma" w:hint="default"/>
      <w:sz w:val="22"/>
      <w:szCs w:val="22"/>
      <w:lang w:val="de-AT" w:eastAsia="de-DE" w:bidi="ar-SA"/>
    </w:rPr>
  </w:style>
  <w:style w:type="character" w:customStyle="1" w:styleId="CharChar25">
    <w:name w:val="Char Char25"/>
    <w:semiHidden/>
    <w:locked/>
    <w:rsid w:val="00413F0B"/>
    <w:rPr>
      <w:rFonts w:ascii="Tahoma" w:hAnsi="Tahoma" w:cs="Tahoma" w:hint="default"/>
      <w:sz w:val="22"/>
      <w:szCs w:val="22"/>
      <w:lang w:val="de-AT" w:eastAsia="de-DE" w:bidi="ar-SA"/>
    </w:rPr>
  </w:style>
  <w:style w:type="character" w:customStyle="1" w:styleId="CharChar15">
    <w:name w:val="Char Char15"/>
    <w:semiHidden/>
    <w:locked/>
    <w:rsid w:val="00413F0B"/>
    <w:rPr>
      <w:rFonts w:ascii="Tahoma" w:hAnsi="Tahoma" w:cs="Tahoma" w:hint="default"/>
      <w:sz w:val="22"/>
      <w:szCs w:val="22"/>
      <w:lang w:val="de-AT" w:eastAsia="de-DE" w:bidi="ar-SA"/>
    </w:rPr>
  </w:style>
  <w:style w:type="character" w:customStyle="1" w:styleId="CharChar16">
    <w:name w:val="Char Char16"/>
    <w:semiHidden/>
    <w:locked/>
    <w:rsid w:val="00413F0B"/>
    <w:rPr>
      <w:rFonts w:ascii="Tahoma" w:hAnsi="Tahoma" w:cs="Arial" w:hint="default"/>
      <w:sz w:val="24"/>
      <w:szCs w:val="24"/>
      <w:lang w:val="de-AT" w:eastAsia="de-DE" w:bidi="ar-SA"/>
    </w:rPr>
  </w:style>
  <w:style w:type="character" w:customStyle="1" w:styleId="CharChar20">
    <w:name w:val="Char Char20"/>
    <w:locked/>
    <w:rsid w:val="00413F0B"/>
    <w:rPr>
      <w:rFonts w:ascii="Tahoma" w:hAnsi="Tahoma" w:cs="Tahoma" w:hint="default"/>
      <w:b/>
      <w:bCs w:val="0"/>
      <w:kern w:val="28"/>
      <w:sz w:val="32"/>
      <w:szCs w:val="36"/>
      <w:lang w:val="de-AT" w:eastAsia="de-DE" w:bidi="ar-SA"/>
    </w:rPr>
  </w:style>
  <w:style w:type="character" w:customStyle="1" w:styleId="CharChar13">
    <w:name w:val="Char Char13"/>
    <w:semiHidden/>
    <w:locked/>
    <w:rsid w:val="00413F0B"/>
    <w:rPr>
      <w:rFonts w:ascii="Tahoma" w:hAnsi="Tahoma" w:cs="Tahoma" w:hint="default"/>
      <w:sz w:val="22"/>
      <w:szCs w:val="22"/>
      <w:lang w:val="de-AT" w:eastAsia="de-DE" w:bidi="ar-SA"/>
    </w:rPr>
  </w:style>
  <w:style w:type="character" w:customStyle="1" w:styleId="CharChar19">
    <w:name w:val="Char Char19"/>
    <w:semiHidden/>
    <w:locked/>
    <w:rsid w:val="00413F0B"/>
    <w:rPr>
      <w:rFonts w:ascii="Tahoma" w:hAnsi="Tahoma" w:cs="Tahoma" w:hint="default"/>
      <w:sz w:val="22"/>
      <w:szCs w:val="22"/>
      <w:lang w:val="de-AT" w:eastAsia="de-DE" w:bidi="ar-SA"/>
    </w:rPr>
  </w:style>
  <w:style w:type="character" w:customStyle="1" w:styleId="CharChar3">
    <w:name w:val="Char Char3"/>
    <w:semiHidden/>
    <w:locked/>
    <w:rsid w:val="00413F0B"/>
  </w:style>
  <w:style w:type="character" w:customStyle="1" w:styleId="CharChar14">
    <w:name w:val="Char Char14"/>
    <w:semiHidden/>
    <w:locked/>
    <w:rsid w:val="00413F0B"/>
  </w:style>
  <w:style w:type="character" w:customStyle="1" w:styleId="CharChar17">
    <w:name w:val="Char Char17"/>
    <w:locked/>
    <w:rsid w:val="00413F0B"/>
    <w:rPr>
      <w:rFonts w:ascii="Tahoma" w:hAnsi="Tahoma" w:cs="Tahoma" w:hint="default"/>
      <w:sz w:val="22"/>
      <w:szCs w:val="22"/>
      <w:lang w:val="de-AT" w:eastAsia="de-DE" w:bidi="ar-SA"/>
    </w:rPr>
  </w:style>
  <w:style w:type="character" w:customStyle="1" w:styleId="CharChar7">
    <w:name w:val="Char Char7"/>
    <w:semiHidden/>
    <w:locked/>
    <w:rsid w:val="00413F0B"/>
    <w:rPr>
      <w:rFonts w:ascii="Tahoma" w:hAnsi="Tahoma" w:cs="Tahoma" w:hint="default"/>
      <w:sz w:val="22"/>
      <w:szCs w:val="22"/>
      <w:lang w:val="de-AT" w:eastAsia="de-DE" w:bidi="ar-SA"/>
    </w:rPr>
  </w:style>
  <w:style w:type="character" w:customStyle="1" w:styleId="CharChar6">
    <w:name w:val="Char Char6"/>
    <w:semiHidden/>
    <w:locked/>
    <w:rsid w:val="00413F0B"/>
    <w:rPr>
      <w:rFonts w:ascii="Tahoma" w:hAnsi="Tahoma" w:cs="Tahoma" w:hint="default"/>
      <w:sz w:val="16"/>
      <w:szCs w:val="16"/>
      <w:lang w:val="de-AT" w:eastAsia="de-DE" w:bidi="ar-SA"/>
    </w:rPr>
  </w:style>
  <w:style w:type="character" w:customStyle="1" w:styleId="CharChar5">
    <w:name w:val="Char Char5"/>
    <w:semiHidden/>
    <w:locked/>
    <w:rsid w:val="00413F0B"/>
    <w:rPr>
      <w:rFonts w:ascii="Tahoma" w:hAnsi="Tahoma" w:cs="Tahoma" w:hint="default"/>
      <w:sz w:val="22"/>
      <w:szCs w:val="22"/>
      <w:lang w:val="de-AT" w:eastAsia="de-DE" w:bidi="ar-SA"/>
    </w:rPr>
  </w:style>
  <w:style w:type="character" w:customStyle="1" w:styleId="CharChar4">
    <w:name w:val="Char Char4"/>
    <w:semiHidden/>
    <w:locked/>
    <w:rsid w:val="00413F0B"/>
    <w:rPr>
      <w:rFonts w:ascii="Tahoma" w:hAnsi="Tahoma" w:cs="Tahoma" w:hint="default"/>
      <w:sz w:val="16"/>
      <w:szCs w:val="16"/>
      <w:lang w:val="de-AT" w:eastAsia="de-DE" w:bidi="ar-SA"/>
    </w:rPr>
  </w:style>
  <w:style w:type="character" w:customStyle="1" w:styleId="CharChar18">
    <w:name w:val="Char Char18"/>
    <w:semiHidden/>
    <w:locked/>
    <w:rsid w:val="00413F0B"/>
    <w:rPr>
      <w:rFonts w:ascii="Tahoma" w:hAnsi="Tahoma" w:cs="Tahoma" w:hint="default"/>
      <w:sz w:val="22"/>
      <w:szCs w:val="22"/>
      <w:lang w:val="de-AT" w:eastAsia="de-DE" w:bidi="ar-SA"/>
    </w:rPr>
  </w:style>
  <w:style w:type="character" w:customStyle="1" w:styleId="CharChar8">
    <w:name w:val="Char Char8"/>
    <w:locked/>
    <w:rsid w:val="00413F0B"/>
    <w:rPr>
      <w:rFonts w:ascii="Tahoma" w:hAnsi="Tahoma" w:cs="Tahoma" w:hint="default"/>
      <w:sz w:val="22"/>
      <w:szCs w:val="22"/>
      <w:lang w:val="de-AT" w:eastAsia="de-DE" w:bidi="ar-SA"/>
    </w:rPr>
  </w:style>
  <w:style w:type="character" w:customStyle="1" w:styleId="CharChar2">
    <w:name w:val="Char Char2"/>
    <w:locked/>
    <w:rsid w:val="00413F0B"/>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413F0B"/>
    <w:rPr>
      <w:rFonts w:ascii="Tahoma" w:hAnsi="Tahoma" w:cs="Tahoma" w:hint="default"/>
      <w:sz w:val="16"/>
      <w:szCs w:val="16"/>
      <w:lang w:val="sq-AL" w:eastAsia="en-US" w:bidi="ar-SA"/>
    </w:rPr>
  </w:style>
  <w:style w:type="character" w:customStyle="1" w:styleId="CommentTextChar11">
    <w:name w:val="Comment Text Char11"/>
    <w:aliases w:val="Char Char37"/>
    <w:semiHidden/>
    <w:rsid w:val="00413F0B"/>
    <w:rPr>
      <w:rFonts w:ascii="Calibri" w:hAnsi="Calibri" w:hint="default"/>
      <w:lang w:val="sq-AL"/>
    </w:rPr>
  </w:style>
  <w:style w:type="paragraph" w:styleId="NormalIndent">
    <w:name w:val="Normal Indent"/>
    <w:basedOn w:val="Normal"/>
    <w:link w:val="NormalIndentChar"/>
    <w:semiHidden/>
    <w:unhideWhenUsed/>
    <w:rsid w:val="00413F0B"/>
    <w:pPr>
      <w:ind w:left="720"/>
    </w:pPr>
    <w:rPr>
      <w:rFonts w:ascii="Tahoma" w:eastAsia="Times New Roman" w:hAnsi="Tahoma"/>
      <w:lang w:val="de-AT" w:eastAsia="de-DE"/>
    </w:rPr>
  </w:style>
  <w:style w:type="character" w:customStyle="1" w:styleId="DeltaViewInsertion">
    <w:name w:val="DeltaView Insertion"/>
    <w:uiPriority w:val="99"/>
    <w:rsid w:val="00413F0B"/>
    <w:rPr>
      <w:color w:val="0000FF"/>
      <w:spacing w:val="0"/>
      <w:u w:val="double"/>
    </w:rPr>
  </w:style>
  <w:style w:type="character" w:customStyle="1" w:styleId="az12">
    <w:name w:val="az12"/>
    <w:uiPriority w:val="99"/>
    <w:rsid w:val="00413F0B"/>
    <w:rPr>
      <w:rFonts w:ascii="Times New Roman" w:hAnsi="Times New Roman" w:cs="Times New Roman" w:hint="default"/>
      <w:sz w:val="24"/>
    </w:rPr>
  </w:style>
  <w:style w:type="character" w:customStyle="1" w:styleId="Style20">
    <w:name w:val="Style2"/>
    <w:basedOn w:val="Point1Char"/>
    <w:uiPriority w:val="1"/>
    <w:qFormat/>
    <w:rsid w:val="00413F0B"/>
    <w:rPr>
      <w:rFonts w:ascii="Calibri" w:eastAsia="Times New Roman" w:hAnsi="Calibri" w:cs="Times New Roman"/>
      <w:sz w:val="24"/>
      <w:szCs w:val="24"/>
      <w:lang w:val="en-GB" w:eastAsia="en-GB"/>
    </w:rPr>
  </w:style>
  <w:style w:type="character" w:customStyle="1" w:styleId="Style2Char">
    <w:name w:val="Style2 Char"/>
    <w:locked/>
    <w:rsid w:val="00413F0B"/>
    <w:rPr>
      <w:rFonts w:ascii="Times New Roman" w:eastAsia="Times New Roman" w:hAnsi="Times New Roman" w:cs="Times New Roman" w:hint="default"/>
      <w:color w:val="0070C0"/>
      <w:sz w:val="28"/>
      <w:szCs w:val="24"/>
      <w:lang w:val="sq-AL"/>
    </w:rPr>
  </w:style>
  <w:style w:type="character" w:customStyle="1" w:styleId="longtext1">
    <w:name w:val="long_text1"/>
    <w:rsid w:val="00413F0B"/>
    <w:rPr>
      <w:sz w:val="20"/>
      <w:szCs w:val="20"/>
    </w:rPr>
  </w:style>
  <w:style w:type="character" w:customStyle="1" w:styleId="En-tteoupieddepage0">
    <w:name w:val="En-tête ou pied de page"/>
    <w:basedOn w:val="En-tteoupieddepage"/>
    <w:uiPriority w:val="99"/>
    <w:rsid w:val="00413F0B"/>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413F0B"/>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413F0B"/>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413F0B"/>
    <w:rPr>
      <w:rFonts w:ascii="Times New Roman" w:hAnsi="Times New Roman" w:cs="Times New Roman"/>
      <w:u w:val="single"/>
      <w:shd w:val="clear" w:color="auto" w:fill="FFFFFF"/>
    </w:rPr>
  </w:style>
  <w:style w:type="character" w:customStyle="1" w:styleId="super">
    <w:name w:val="super"/>
    <w:basedOn w:val="DefaultParagraphFont"/>
    <w:rsid w:val="00413F0B"/>
  </w:style>
  <w:style w:type="character" w:customStyle="1" w:styleId="italic">
    <w:name w:val="italic"/>
    <w:basedOn w:val="DefaultParagraphFont"/>
    <w:rsid w:val="00413F0B"/>
  </w:style>
  <w:style w:type="character" w:customStyle="1" w:styleId="shorttext">
    <w:name w:val="short_text"/>
    <w:basedOn w:val="DefaultParagraphFont"/>
    <w:uiPriority w:val="99"/>
    <w:rsid w:val="00413F0B"/>
  </w:style>
  <w:style w:type="character" w:customStyle="1" w:styleId="boldface">
    <w:name w:val="boldface"/>
    <w:basedOn w:val="DefaultParagraphFont"/>
    <w:rsid w:val="00413F0B"/>
  </w:style>
  <w:style w:type="character" w:customStyle="1" w:styleId="italics">
    <w:name w:val="italics"/>
    <w:basedOn w:val="DefaultParagraphFont"/>
    <w:rsid w:val="00413F0B"/>
  </w:style>
  <w:style w:type="character" w:customStyle="1" w:styleId="superscript">
    <w:name w:val="superscript"/>
    <w:basedOn w:val="DefaultParagraphFont"/>
    <w:rsid w:val="00413F0B"/>
  </w:style>
  <w:style w:type="character" w:customStyle="1" w:styleId="ParagrafiCharChar">
    <w:name w:val="Paragrafi Char Char"/>
    <w:rsid w:val="00413F0B"/>
    <w:rPr>
      <w:rFonts w:ascii="CG Times" w:hAnsi="CG Times" w:hint="default"/>
      <w:sz w:val="22"/>
      <w:lang w:val="en-US" w:eastAsia="en-US" w:bidi="ar-SA"/>
    </w:rPr>
  </w:style>
  <w:style w:type="character" w:customStyle="1" w:styleId="st">
    <w:name w:val="st"/>
    <w:basedOn w:val="DefaultParagraphFont"/>
    <w:rsid w:val="00413F0B"/>
  </w:style>
  <w:style w:type="character" w:customStyle="1" w:styleId="TitleChar2">
    <w:name w:val="Title Char2"/>
    <w:uiPriority w:val="99"/>
    <w:locked/>
    <w:rsid w:val="00413F0B"/>
    <w:rPr>
      <w:rFonts w:ascii="Arrus BT" w:eastAsia="MS Mincho" w:hAnsi="Arrus BT" w:cs="Arrus BT" w:hint="default"/>
      <w:b/>
      <w:bCs/>
      <w:sz w:val="32"/>
      <w:szCs w:val="32"/>
      <w:lang w:val="en-US" w:eastAsia="en-US"/>
    </w:rPr>
  </w:style>
  <w:style w:type="character" w:customStyle="1" w:styleId="MessageHeaderLabel">
    <w:name w:val="Message Header Label"/>
    <w:rsid w:val="00413F0B"/>
    <w:rPr>
      <w:rFonts w:ascii="Arial Black" w:hAnsi="Arial Black" w:hint="default"/>
      <w:spacing w:val="-10"/>
      <w:sz w:val="18"/>
    </w:rPr>
  </w:style>
  <w:style w:type="character" w:customStyle="1" w:styleId="FontStyle85">
    <w:name w:val="Font Style85"/>
    <w:basedOn w:val="DefaultParagraphFont"/>
    <w:uiPriority w:val="99"/>
    <w:rsid w:val="00413F0B"/>
    <w:rPr>
      <w:rFonts w:ascii="Garamond" w:hAnsi="Garamond" w:cs="Garamond" w:hint="default"/>
      <w:sz w:val="22"/>
      <w:szCs w:val="22"/>
    </w:rPr>
  </w:style>
  <w:style w:type="character" w:customStyle="1" w:styleId="arial14">
    <w:name w:val="arial14"/>
    <w:rsid w:val="00413F0B"/>
  </w:style>
  <w:style w:type="character" w:customStyle="1" w:styleId="ju-005fpara--char">
    <w:name w:val="ju-005fpara--char"/>
    <w:basedOn w:val="DefaultParagraphFont"/>
    <w:rsid w:val="00413F0B"/>
  </w:style>
  <w:style w:type="character" w:customStyle="1" w:styleId="eheadnotes">
    <w:name w:val="eheadnotes"/>
    <w:rsid w:val="00413F0B"/>
    <w:rPr>
      <w:rFonts w:ascii="Times New Roman" w:hAnsi="Times New Roman" w:cs="Times New Roman" w:hint="default"/>
    </w:rPr>
  </w:style>
  <w:style w:type="character" w:customStyle="1" w:styleId="edate">
    <w:name w:val="edate"/>
    <w:rsid w:val="00413F0B"/>
    <w:rPr>
      <w:rFonts w:ascii="Times New Roman" w:hAnsi="Times New Roman" w:cs="Times New Roman" w:hint="default"/>
    </w:rPr>
  </w:style>
  <w:style w:type="character" w:customStyle="1" w:styleId="enumber">
    <w:name w:val="enumber"/>
    <w:rsid w:val="00413F0B"/>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413F0B"/>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413F0B"/>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413F0B"/>
  </w:style>
  <w:style w:type="character" w:customStyle="1" w:styleId="bumpedfont15">
    <w:name w:val="bumpedfont15"/>
    <w:rsid w:val="00413F0B"/>
  </w:style>
  <w:style w:type="character" w:customStyle="1" w:styleId="bold">
    <w:name w:val="bold"/>
    <w:basedOn w:val="DefaultParagraphFont"/>
    <w:rsid w:val="00413F0B"/>
  </w:style>
  <w:style w:type="character" w:customStyle="1" w:styleId="sub">
    <w:name w:val="sub"/>
    <w:basedOn w:val="DefaultParagraphFont"/>
    <w:rsid w:val="00413F0B"/>
  </w:style>
  <w:style w:type="character" w:customStyle="1" w:styleId="yshortcuts">
    <w:name w:val="yshortcuts"/>
    <w:basedOn w:val="DefaultParagraphFont"/>
    <w:rsid w:val="00413F0B"/>
  </w:style>
  <w:style w:type="character" w:customStyle="1" w:styleId="css-9sn2pa">
    <w:name w:val="css-9sn2pa"/>
    <w:rsid w:val="00413F0B"/>
  </w:style>
  <w:style w:type="paragraph" w:styleId="IntenseQuote">
    <w:name w:val="Intense Quote"/>
    <w:basedOn w:val="Normal"/>
    <w:next w:val="Normal"/>
    <w:link w:val="IntenseQuoteChar"/>
    <w:uiPriority w:val="30"/>
    <w:qFormat/>
    <w:rsid w:val="00413F0B"/>
    <w:pPr>
      <w:pBdr>
        <w:top w:val="single" w:sz="4" w:space="10" w:color="5B9BD5" w:themeColor="accent1"/>
        <w:bottom w:val="single" w:sz="4" w:space="10" w:color="5B9BD5" w:themeColor="accent1"/>
      </w:pBdr>
      <w:spacing w:before="360" w:after="360"/>
      <w:ind w:left="864" w:right="864"/>
      <w:jc w:val="center"/>
    </w:pPr>
    <w:rPr>
      <w:rFonts w:ascii="Times New Roman" w:eastAsiaTheme="minorHAnsi" w:hAnsi="Times New Roman"/>
      <w:i/>
      <w:iCs/>
      <w:color w:val="5B9BD5" w:themeColor="accent1"/>
      <w:sz w:val="24"/>
      <w:szCs w:val="24"/>
    </w:rPr>
  </w:style>
  <w:style w:type="character" w:customStyle="1" w:styleId="IntenseQuoteChar1">
    <w:name w:val="Intense Quote Char1"/>
    <w:basedOn w:val="DefaultParagraphFont"/>
    <w:uiPriority w:val="30"/>
    <w:rsid w:val="00413F0B"/>
    <w:rPr>
      <w:rFonts w:ascii="Calibri" w:eastAsia="Calibri" w:hAnsi="Calibri" w:cs="Times New Roman"/>
      <w:i/>
      <w:iCs/>
      <w:color w:val="5B9BD5" w:themeColor="accent1"/>
    </w:rPr>
  </w:style>
  <w:style w:type="paragraph" w:styleId="Caption">
    <w:name w:val="caption"/>
    <w:basedOn w:val="Normal"/>
    <w:next w:val="Normal"/>
    <w:link w:val="CaptionChar"/>
    <w:semiHidden/>
    <w:unhideWhenUsed/>
    <w:qFormat/>
    <w:rsid w:val="00413F0B"/>
    <w:pPr>
      <w:spacing w:line="240" w:lineRule="auto"/>
    </w:pPr>
    <w:rPr>
      <w:rFonts w:ascii="Tahoma" w:eastAsia="Times New Roman" w:hAnsi="Tahoma"/>
      <w:sz w:val="16"/>
      <w:lang w:val="de-AT" w:eastAsia="de-DE"/>
    </w:rPr>
  </w:style>
  <w:style w:type="character" w:customStyle="1" w:styleId="Style3Char">
    <w:name w:val="Style3 Char"/>
    <w:basedOn w:val="DefaultParagraphFont"/>
    <w:rsid w:val="00413F0B"/>
    <w:rPr>
      <w:rFonts w:ascii="Garamond" w:eastAsiaTheme="minorHAnsi" w:hAnsi="Garamond" w:hint="default"/>
      <w:b/>
      <w:bCs w:val="0"/>
      <w:i/>
      <w:iCs w:val="0"/>
      <w:color w:val="44546A" w:themeColor="text2"/>
      <w:lang w:val="en-GB"/>
    </w:rPr>
  </w:style>
  <w:style w:type="character" w:customStyle="1" w:styleId="CommentSubjectChar1">
    <w:name w:val="Comment Subject Char1"/>
    <w:uiPriority w:val="99"/>
    <w:semiHidden/>
    <w:rsid w:val="00413F0B"/>
    <w:rPr>
      <w:rFonts w:ascii="Times New Roman" w:eastAsia="MS Mincho" w:hAnsi="Times New Roman" w:cs="Times New Roman" w:hint="default"/>
      <w:b/>
      <w:bCs/>
      <w:sz w:val="20"/>
      <w:szCs w:val="20"/>
    </w:rPr>
  </w:style>
  <w:style w:type="character" w:customStyle="1" w:styleId="longtext0">
    <w:name w:val="longtext"/>
    <w:uiPriority w:val="99"/>
    <w:rsid w:val="00413F0B"/>
    <w:rPr>
      <w:rFonts w:ascii="Times New Roman" w:hAnsi="Times New Roman" w:cs="Times New Roman" w:hint="default"/>
    </w:rPr>
  </w:style>
  <w:style w:type="character" w:customStyle="1" w:styleId="subtleemphasis0">
    <w:name w:val="subtleemphasis"/>
    <w:uiPriority w:val="99"/>
    <w:rsid w:val="00413F0B"/>
    <w:rPr>
      <w:rFonts w:ascii="Times New Roman" w:hAnsi="Times New Roman" w:cs="Times New Roman" w:hint="default"/>
      <w:i/>
      <w:iCs/>
      <w:color w:val="808080"/>
    </w:rPr>
  </w:style>
  <w:style w:type="table" w:styleId="TableSimple1">
    <w:name w:val="Table Simple 1"/>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13F0B"/>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13F0B"/>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13F0B"/>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13F0B"/>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13F0B"/>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13F0B"/>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13F0B"/>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13F0B"/>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413F0B"/>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13F0B"/>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13F0B"/>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13F0B"/>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13F0B"/>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413F0B"/>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13F0B"/>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13F0B"/>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413F0B"/>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13F0B"/>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413F0B"/>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13F0B"/>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13F0B"/>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aliases w:val="TabelEcorys"/>
    <w:basedOn w:val="TableNormal"/>
    <w:rsid w:val="00413F0B"/>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413F0B"/>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413F0B"/>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413F0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413F0B"/>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413F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413F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413F0B"/>
    <w:pPr>
      <w:spacing w:after="0" w:line="240" w:lineRule="auto"/>
    </w:pPr>
    <w:rPr>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413F0B"/>
    <w:pPr>
      <w:numPr>
        <w:numId w:val="1"/>
      </w:numPr>
      <w:contextualSpacing/>
    </w:pPr>
  </w:style>
  <w:style w:type="paragraph" w:styleId="ListBullet">
    <w:name w:val="List Bullet"/>
    <w:basedOn w:val="Normal"/>
    <w:semiHidden/>
    <w:unhideWhenUsed/>
    <w:rsid w:val="00413F0B"/>
    <w:pPr>
      <w:numPr>
        <w:numId w:val="3"/>
      </w:numPr>
      <w:contextualSpacing/>
    </w:pPr>
  </w:style>
  <w:style w:type="paragraph" w:styleId="ListBullet2">
    <w:name w:val="List Bullet 2"/>
    <w:basedOn w:val="Normal"/>
    <w:semiHidden/>
    <w:unhideWhenUsed/>
    <w:rsid w:val="00413F0B"/>
    <w:pPr>
      <w:numPr>
        <w:numId w:val="5"/>
      </w:numPr>
      <w:contextualSpacing/>
    </w:pPr>
  </w:style>
  <w:style w:type="paragraph" w:styleId="ListBullet3">
    <w:name w:val="List Bullet 3"/>
    <w:basedOn w:val="Normal"/>
    <w:semiHidden/>
    <w:unhideWhenUsed/>
    <w:rsid w:val="00413F0B"/>
    <w:pPr>
      <w:numPr>
        <w:numId w:val="6"/>
      </w:numPr>
      <w:contextualSpacing/>
    </w:pPr>
  </w:style>
  <w:style w:type="paragraph" w:styleId="ListBullet4">
    <w:name w:val="List Bullet 4"/>
    <w:basedOn w:val="Normal"/>
    <w:semiHidden/>
    <w:unhideWhenUsed/>
    <w:rsid w:val="00413F0B"/>
    <w:pPr>
      <w:numPr>
        <w:numId w:val="7"/>
      </w:numPr>
      <w:contextualSpacing/>
    </w:pPr>
  </w:style>
  <w:style w:type="paragraph" w:styleId="ListBullet5">
    <w:name w:val="List Bullet 5"/>
    <w:basedOn w:val="Normal"/>
    <w:semiHidden/>
    <w:unhideWhenUsed/>
    <w:rsid w:val="00413F0B"/>
    <w:pPr>
      <w:numPr>
        <w:numId w:val="8"/>
      </w:numPr>
      <w:contextualSpacing/>
    </w:pPr>
  </w:style>
  <w:style w:type="paragraph" w:styleId="ListNumber2">
    <w:name w:val="List Number 2"/>
    <w:basedOn w:val="Normal"/>
    <w:semiHidden/>
    <w:unhideWhenUsed/>
    <w:rsid w:val="00413F0B"/>
    <w:pPr>
      <w:numPr>
        <w:numId w:val="9"/>
      </w:numPr>
      <w:contextualSpacing/>
    </w:pPr>
  </w:style>
  <w:style w:type="paragraph" w:styleId="ListNumber3">
    <w:name w:val="List Number 3"/>
    <w:basedOn w:val="Normal"/>
    <w:semiHidden/>
    <w:unhideWhenUsed/>
    <w:rsid w:val="00413F0B"/>
    <w:pPr>
      <w:numPr>
        <w:numId w:val="10"/>
      </w:numPr>
      <w:contextualSpacing/>
    </w:pPr>
  </w:style>
  <w:style w:type="paragraph" w:styleId="ListNumber4">
    <w:name w:val="List Number 4"/>
    <w:basedOn w:val="Normal"/>
    <w:semiHidden/>
    <w:unhideWhenUsed/>
    <w:rsid w:val="00413F0B"/>
    <w:pPr>
      <w:numPr>
        <w:numId w:val="11"/>
      </w:numPr>
      <w:contextualSpacing/>
    </w:pPr>
  </w:style>
  <w:style w:type="numbering" w:customStyle="1" w:styleId="list-heading-blue">
    <w:name w:val="list-heading-blue"/>
    <w:rsid w:val="00413F0B"/>
    <w:pPr>
      <w:numPr>
        <w:numId w:val="17"/>
      </w:numPr>
    </w:pPr>
  </w:style>
  <w:style w:type="numbering" w:styleId="111111">
    <w:name w:val="Outline List 2"/>
    <w:basedOn w:val="NoList"/>
    <w:semiHidden/>
    <w:unhideWhenUsed/>
    <w:rsid w:val="00413F0B"/>
    <w:pPr>
      <w:numPr>
        <w:numId w:val="18"/>
      </w:numPr>
    </w:pPr>
  </w:style>
  <w:style w:type="numbering" w:customStyle="1" w:styleId="aAhs">
    <w:name w:val="aAhs"/>
    <w:uiPriority w:val="99"/>
    <w:rsid w:val="00413F0B"/>
    <w:pPr>
      <w:numPr>
        <w:numId w:val="19"/>
      </w:numPr>
    </w:pPr>
  </w:style>
  <w:style w:type="numbering" w:customStyle="1" w:styleId="Style3">
    <w:name w:val="Style3"/>
    <w:rsid w:val="00413F0B"/>
    <w:pPr>
      <w:numPr>
        <w:numId w:val="20"/>
      </w:numPr>
    </w:pPr>
  </w:style>
  <w:style w:type="numbering" w:styleId="ArticleSection">
    <w:name w:val="Outline List 3"/>
    <w:basedOn w:val="NoList"/>
    <w:semiHidden/>
    <w:unhideWhenUsed/>
    <w:rsid w:val="00413F0B"/>
    <w:pPr>
      <w:numPr>
        <w:numId w:val="21"/>
      </w:numPr>
    </w:pPr>
  </w:style>
  <w:style w:type="numbering" w:styleId="1ai">
    <w:name w:val="Outline List 1"/>
    <w:basedOn w:val="NoList"/>
    <w:semiHidden/>
    <w:unhideWhenUsed/>
    <w:rsid w:val="00413F0B"/>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69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22</Pages>
  <Words>9450</Words>
  <Characters>53870</Characters>
  <Application>Microsoft Office Word</Application>
  <DocSecurity>0</DocSecurity>
  <Lines>448</Lines>
  <Paragraphs>126</Paragraphs>
  <ScaleCrop>false</ScaleCrop>
  <Company/>
  <LinksUpToDate>false</LinksUpToDate>
  <CharactersWithSpaces>63194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2018-09-03T13:34:00Z</dcterms:created>
  <dcterms:modified xsi:type="dcterms:W3CDTF">2018-09-03T13:37:00Z</dcterms:modified>
</cp:coreProperties>
</file>