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CCA" w:rsidRDefault="004E4CCA" w:rsidP="004E4CCA">
      <w:pPr>
        <w:pStyle w:val="NeniTitull"/>
        <w:rPr>
          <w:lang w:val="sq-AL"/>
        </w:rPr>
      </w:pPr>
      <w:r>
        <w:rPr>
          <w:lang w:val="sq-AL"/>
        </w:rPr>
        <w:t>UDHËZIM</w:t>
      </w:r>
    </w:p>
    <w:p w:rsidR="004E4CCA" w:rsidRDefault="004E4CCA" w:rsidP="004E4CCA">
      <w:pPr>
        <w:pStyle w:val="NeniTitull"/>
        <w:rPr>
          <w:lang w:val="sq-AL"/>
        </w:rPr>
      </w:pPr>
      <w:r>
        <w:rPr>
          <w:lang w:val="sq-AL"/>
        </w:rPr>
        <w:t xml:space="preserve">Nr. </w:t>
      </w:r>
      <w:bookmarkStart w:id="0" w:name="_GoBack"/>
      <w:r>
        <w:rPr>
          <w:lang w:val="sq-AL"/>
        </w:rPr>
        <w:t>9, datë 11.3.2019</w:t>
      </w:r>
      <w:bookmarkEnd w:id="0"/>
    </w:p>
    <w:p w:rsidR="004E4CCA" w:rsidRDefault="004E4CCA" w:rsidP="004E4CCA">
      <w:pPr>
        <w:pStyle w:val="NeniTitull"/>
        <w:rPr>
          <w:sz w:val="12"/>
          <w:lang w:val="sq-AL"/>
        </w:rPr>
      </w:pPr>
    </w:p>
    <w:p w:rsidR="004E4CCA" w:rsidRDefault="004E4CCA" w:rsidP="004E4CCA">
      <w:pPr>
        <w:pStyle w:val="NeniTitull"/>
        <w:rPr>
          <w:lang w:val="sq-AL"/>
        </w:rPr>
      </w:pPr>
      <w:r>
        <w:rPr>
          <w:lang w:val="sq-AL"/>
        </w:rPr>
        <w:t>MBI MODALITETET E TRANSFERIMITPRANË ADMINISTRATËS DOGANORE TË TË DHËNAVE PËR SUBJEKTET E AKCIZËS TË CILËT REZULTOJNË ME DETYRIME TË PAPAGUARA</w:t>
      </w:r>
    </w:p>
    <w:p w:rsidR="004E4CCA" w:rsidRDefault="004E4CCA" w:rsidP="004E4CCA">
      <w:pPr>
        <w:pStyle w:val="Paragrafi"/>
        <w:rPr>
          <w:sz w:val="12"/>
          <w:lang w:val="sq-AL"/>
        </w:rPr>
      </w:pPr>
    </w:p>
    <w:p w:rsidR="004E4CCA" w:rsidRDefault="004E4CCA" w:rsidP="004E4CCA">
      <w:pPr>
        <w:pStyle w:val="Paragrafi"/>
        <w:rPr>
          <w:spacing w:val="-4"/>
          <w:lang w:val="sq-AL"/>
        </w:rPr>
      </w:pPr>
      <w:r>
        <w:rPr>
          <w:spacing w:val="-4"/>
          <w:lang w:val="sq-AL"/>
        </w:rPr>
        <w:t>Në mbështetje të pikës 4, të nenit 102 të Kushtetutës së Republikës së Shqipërisë, në zbatim të pikave 7 dhe 9, të nenit 157, të vendimit nr. 612, datë 5.9.2012, të Këshillit të Ministrave, “Për dispozitat zbatuese të ligjit për akcizat në Republikën e Shqipërisë” i ndryshuar, ministri i Financave dhe Ekonomisë</w:t>
      </w:r>
    </w:p>
    <w:p w:rsidR="004E4CCA" w:rsidRDefault="004E4CCA" w:rsidP="004E4CCA">
      <w:pPr>
        <w:pStyle w:val="Paragrafi"/>
        <w:rPr>
          <w:spacing w:val="-4"/>
          <w:sz w:val="12"/>
          <w:lang w:val="sq-AL"/>
        </w:rPr>
      </w:pPr>
    </w:p>
    <w:p w:rsidR="004E4CCA" w:rsidRDefault="004E4CCA" w:rsidP="004E4CCA">
      <w:pPr>
        <w:pStyle w:val="NeniNr"/>
        <w:rPr>
          <w:spacing w:val="-4"/>
          <w:lang w:val="sq-AL"/>
        </w:rPr>
      </w:pPr>
      <w:r>
        <w:rPr>
          <w:spacing w:val="-4"/>
          <w:lang w:val="sq-AL"/>
        </w:rPr>
        <w:t>UDHËZON:</w:t>
      </w:r>
    </w:p>
    <w:p w:rsidR="004E4CCA" w:rsidRDefault="004E4CCA" w:rsidP="004E4CCA">
      <w:pPr>
        <w:pStyle w:val="Paragrafi"/>
        <w:rPr>
          <w:spacing w:val="-4"/>
          <w:sz w:val="12"/>
          <w:lang w:val="sq-AL"/>
        </w:rPr>
      </w:pPr>
    </w:p>
    <w:p w:rsidR="004E4CCA" w:rsidRDefault="004E4CCA" w:rsidP="004E4CCA">
      <w:pPr>
        <w:pStyle w:val="Paragrafi"/>
        <w:rPr>
          <w:spacing w:val="-4"/>
          <w:lang w:val="sq-AL"/>
        </w:rPr>
      </w:pPr>
      <w:r>
        <w:rPr>
          <w:spacing w:val="-4"/>
          <w:lang w:val="sq-AL"/>
        </w:rPr>
        <w:t xml:space="preserve">1. Qëllimi i këtij udhëzimi është përcaktimi i rregullave të detyrueshme mbi transferimin nga administrata tatimore për ndjekje nga administrata doganore të të gjitha detyrimeve të papaguara të akcizës, të periudhës pas vitit 2010, që janë kontabilizuar në administratën tatimore para datës 1 tetor 2012, si dhe për borxhet pas datës 1 tetor 2012, për detyrimet e akcizës që i përkasin periudhës para datës 1 tetor 2012. </w:t>
      </w:r>
    </w:p>
    <w:p w:rsidR="004E4CCA" w:rsidRDefault="004E4CCA" w:rsidP="004E4CCA">
      <w:pPr>
        <w:pStyle w:val="Paragrafi"/>
        <w:rPr>
          <w:spacing w:val="-4"/>
          <w:lang w:val="sq-AL"/>
        </w:rPr>
      </w:pPr>
      <w:r>
        <w:rPr>
          <w:spacing w:val="-4"/>
          <w:lang w:val="sq-AL"/>
        </w:rPr>
        <w:t>2. Të gjitha detyrimet e papaguara të akcizës, të periudhës pas vitit 2010, që janë kontabilizuar në administratën tatimore para datës 1 tetor 2012, si dhe për borxhet e lindura pas datës 1 Tetor 2012, për detyrimet e akcizës që i përkasin periudhës para datës 1 tetor 2012, kalojnë në ndjekje të administratës doganore. Administrata tatimore përcjell menjëherë të gjithë informacionin në lidhje me detyrimet e prapambetura të akcizës. Ky proces përfundon në datë 7.5.2019.</w:t>
      </w:r>
    </w:p>
    <w:p w:rsidR="004E4CCA" w:rsidRDefault="004E4CCA" w:rsidP="004E4CCA">
      <w:pPr>
        <w:pStyle w:val="Paragrafi"/>
        <w:rPr>
          <w:spacing w:val="-4"/>
          <w:lang w:val="sq-AL"/>
        </w:rPr>
      </w:pPr>
      <w:r>
        <w:rPr>
          <w:spacing w:val="-4"/>
          <w:lang w:val="sq-AL"/>
        </w:rPr>
        <w:t xml:space="preserve">3. Drejtoritë rajonale tatimore shqyrtojnë paraprakisht respektimin e hapave proceduriale për secilën dosje të subjekteve debitorë të akcizës dhe afatet e parashkrimit të së drejtës për fillimin e procedurave për zbatimin e masave shtrënguese në harmoni me kërkesat e legjislacionit tatimor dhe atij doganor në fuqi. </w:t>
      </w:r>
    </w:p>
    <w:p w:rsidR="004E4CCA" w:rsidRDefault="004E4CCA" w:rsidP="004E4CCA">
      <w:pPr>
        <w:pStyle w:val="Paragrafi"/>
        <w:rPr>
          <w:spacing w:val="-4"/>
          <w:lang w:val="sq-AL"/>
        </w:rPr>
      </w:pPr>
      <w:r>
        <w:rPr>
          <w:spacing w:val="-4"/>
          <w:lang w:val="sq-AL"/>
        </w:rPr>
        <w:t>4. Për subjektet të cilët plotësojnë kushtet ligjore për mbledhjen me forcë të borxhit, sipas pikës 3 të këtij udhëzimi, bëhet paraprakisht edhe evidentimi nëse këto subjekte aktualisht janë me status aktiviteti “aktiv” apo “pasiv”. Drejtoritë rajonale tatimore duhet të përgatisin informacionin e detajuar të të dhënave që përmban dosja e detyrimeve të papaguara, bashkë me dokumentacionin mbështetës, si dhe hapat e ndjekura nga këta të fundit sipas legjislacionit tatimor në fuqi.</w:t>
      </w:r>
    </w:p>
    <w:p w:rsidR="004E4CCA" w:rsidRDefault="004E4CCA" w:rsidP="004E4CCA">
      <w:pPr>
        <w:pStyle w:val="Paragrafi"/>
        <w:rPr>
          <w:spacing w:val="-4"/>
          <w:lang w:val="sq-AL"/>
        </w:rPr>
      </w:pPr>
      <w:r>
        <w:rPr>
          <w:spacing w:val="-4"/>
          <w:lang w:val="sq-AL"/>
        </w:rPr>
        <w:t xml:space="preserve">5. Transferimi sipas rregullave të arkivit për detyrimet e papaguara të akcizës kryhet nëpërmjet kalimit të dosjeve respektivisht për secilin debitor (dokumentacioni mbështetës provues për çdo hap te ndjekur nga ana e administratës tatimore, korrespondencën me institucione të tjera lidhur me ndjekjen e borxhit etj.), shoqëruar me formularët e transferimit të detyrimeve të papaguara të akcizës, bashkëlidhur pjesë përbërëse e këtij udhëzimi). </w:t>
      </w:r>
    </w:p>
    <w:p w:rsidR="004E4CCA" w:rsidRDefault="004E4CCA" w:rsidP="004E4CCA">
      <w:pPr>
        <w:pStyle w:val="Paragrafi"/>
        <w:rPr>
          <w:spacing w:val="-4"/>
          <w:lang w:val="sq-AL"/>
        </w:rPr>
      </w:pPr>
      <w:r>
        <w:rPr>
          <w:spacing w:val="-4"/>
          <w:lang w:val="sq-AL"/>
        </w:rPr>
        <w:t>Këto formularë përgatiten nga strukturat përgjegjëse për mbledhjen me forcë në drejtoritë rajonale tatimore. Në formularët e transferimit përfshihet informacioni mbi të dhënat e subjektit, si dhe të dhëna të detajuara ku specifikohet: shuma e papaguar (ndarë në zëra dhe totale), nr./dt. e vendimit, nr./dt. e njoftim vlerësimit, data e kontabilizimit, statusi i subjektit, si dhe informacioni në lidhje me proceset gjyqesore.</w:t>
      </w:r>
    </w:p>
    <w:p w:rsidR="004E4CCA" w:rsidRDefault="004E4CCA" w:rsidP="004E4CCA">
      <w:pPr>
        <w:pStyle w:val="Paragrafi"/>
        <w:rPr>
          <w:spacing w:val="-4"/>
          <w:lang w:val="sq-AL"/>
        </w:rPr>
      </w:pPr>
      <w:r>
        <w:rPr>
          <w:spacing w:val="-4"/>
          <w:lang w:val="sq-AL"/>
        </w:rPr>
        <w:t>Në shumën e detyrimit të papaguar përfshihen edhe kamatëvonesat e llogaritura deri në datën e plotësimit të formularit të transferimit. Llogaritja e kamatëvonesave bëhet nga Strukturat përgjegjëse për Analizën dhe Kontabilitetin në drejtoritë rajonale tatimore.</w:t>
      </w:r>
    </w:p>
    <w:p w:rsidR="004E4CCA" w:rsidRDefault="004E4CCA" w:rsidP="004E4CCA">
      <w:pPr>
        <w:pStyle w:val="Paragrafi"/>
        <w:rPr>
          <w:spacing w:val="-4"/>
          <w:lang w:val="sq-AL"/>
        </w:rPr>
      </w:pPr>
      <w:r>
        <w:rPr>
          <w:spacing w:val="-4"/>
          <w:lang w:val="sq-AL"/>
        </w:rPr>
        <w:t>6. Të dhënat e detajuara në formularin e transferimit, për çdo rast do të rakordohen me të dhënat e administruara nga drejtoritë e kontrollit, Drejtoria e Kontabilitetit dhe Drejtoria e Borxhit pranë drejtorive rajonale tatimore, të cilat administrojnë tatimpaguesit e akcizës si subjekt të detyrimit të papaguar.</w:t>
      </w:r>
    </w:p>
    <w:p w:rsidR="004E4CCA" w:rsidRDefault="004E4CCA" w:rsidP="004E4CCA">
      <w:pPr>
        <w:pStyle w:val="Paragrafi"/>
        <w:rPr>
          <w:spacing w:val="-4"/>
          <w:lang w:val="sq-AL"/>
        </w:rPr>
      </w:pPr>
      <w:r>
        <w:rPr>
          <w:spacing w:val="-4"/>
          <w:lang w:val="sq-AL"/>
        </w:rPr>
        <w:t>7. Formularët e transferimit për subjektet e akcizës me detyrime të papaguara, do të dërgohen nga ana e drejtorive rajonale tatimore përkatëse në Drejtorinë e Përgjithshme të Tatimeve.</w:t>
      </w:r>
    </w:p>
    <w:p w:rsidR="004E4CCA" w:rsidRDefault="004E4CCA" w:rsidP="004E4CCA">
      <w:pPr>
        <w:pStyle w:val="Paragrafi"/>
        <w:rPr>
          <w:spacing w:val="-4"/>
          <w:lang w:val="sq-AL"/>
        </w:rPr>
      </w:pPr>
      <w:r>
        <w:rPr>
          <w:spacing w:val="-4"/>
          <w:lang w:val="sq-AL"/>
        </w:rPr>
        <w:t xml:space="preserve">8. Drejtoria e Përgjithshme e Tatimeve, do të dërgojë të gjithë dosjet dhe formularët e transferimit të subjekteve të akcizës me detyrime të papaguara, sipas përcaktimeve të pikave 4, 5 dhe 6 të këtij udhëzimi, në Drejtorinë e Përgjithshme të Doganave në përputhje edhe me legjislacionin mbi arkivën. </w:t>
      </w:r>
    </w:p>
    <w:p w:rsidR="004E4CCA" w:rsidRDefault="004E4CCA" w:rsidP="004E4CCA">
      <w:pPr>
        <w:pStyle w:val="Paragrafi"/>
        <w:rPr>
          <w:spacing w:val="-4"/>
          <w:lang w:val="sq-AL"/>
        </w:rPr>
      </w:pPr>
      <w:r>
        <w:rPr>
          <w:spacing w:val="-4"/>
          <w:lang w:val="sq-AL"/>
        </w:rPr>
        <w:t>9. Drejtoria e Përgjithshme e Doganave në varësi të adresës ku subjekti debitor ka selinë, urdhëron degët doganore përkatëse për marrjen në evidencë dhe kontabilizimin e borxhit të akcizës, si dhe ndjekjen e të gjitha procedurave deri në mbledhjen dhe shuarjen e këtij borxhi.</w:t>
      </w:r>
    </w:p>
    <w:p w:rsidR="004E4CCA" w:rsidRDefault="004E4CCA" w:rsidP="004E4CCA">
      <w:pPr>
        <w:pStyle w:val="Paragrafi"/>
        <w:rPr>
          <w:spacing w:val="-4"/>
          <w:lang w:val="sq-AL"/>
        </w:rPr>
      </w:pPr>
      <w:r>
        <w:rPr>
          <w:spacing w:val="-4"/>
          <w:lang w:val="sq-AL"/>
        </w:rPr>
        <w:t>Ky udhëzim hyn në fuqi menjëherë pasi botohet në Fletoren Zyrtare.</w:t>
      </w:r>
    </w:p>
    <w:p w:rsidR="004E4CCA" w:rsidRDefault="004E4CCA" w:rsidP="004E4CCA">
      <w:pPr>
        <w:pStyle w:val="Paragrafi"/>
        <w:rPr>
          <w:sz w:val="10"/>
          <w:lang w:val="sq-AL"/>
        </w:rPr>
      </w:pPr>
    </w:p>
    <w:p w:rsidR="004E4CCA" w:rsidRDefault="004E4CCA" w:rsidP="004E4CCA">
      <w:pPr>
        <w:pStyle w:val="Paragrafi"/>
        <w:jc w:val="right"/>
        <w:rPr>
          <w:lang w:val="sq-AL"/>
        </w:rPr>
      </w:pPr>
      <w:r>
        <w:rPr>
          <w:lang w:val="sq-AL"/>
        </w:rPr>
        <w:t xml:space="preserve">MINISTRI I FINANCAVE </w:t>
      </w:r>
    </w:p>
    <w:p w:rsidR="004E4CCA" w:rsidRDefault="004E4CCA" w:rsidP="004E4CCA">
      <w:pPr>
        <w:pStyle w:val="Paragrafi"/>
        <w:jc w:val="right"/>
        <w:rPr>
          <w:lang w:val="sq-AL"/>
        </w:rPr>
      </w:pPr>
      <w:r>
        <w:rPr>
          <w:lang w:val="sq-AL"/>
        </w:rPr>
        <w:t>DHE EKONOMISË</w:t>
      </w:r>
    </w:p>
    <w:p w:rsidR="004E4CCA" w:rsidRDefault="004E4CCA" w:rsidP="004E4CCA">
      <w:pPr>
        <w:pStyle w:val="Paragrafi"/>
        <w:jc w:val="right"/>
        <w:rPr>
          <w:b/>
          <w:lang w:val="sq-AL"/>
        </w:rPr>
      </w:pPr>
      <w:r>
        <w:rPr>
          <w:b/>
          <w:lang w:val="sq-AL"/>
        </w:rPr>
        <w:t xml:space="preserve"> Anila Denaj</w:t>
      </w:r>
    </w:p>
    <w:p w:rsidR="004E4CCA" w:rsidRDefault="004E4CCA" w:rsidP="004E4CCA">
      <w:pPr>
        <w:pStyle w:val="Paragrafi"/>
        <w:jc w:val="right"/>
        <w:rPr>
          <w:b/>
          <w:lang w:val="sq-AL"/>
        </w:rPr>
      </w:pPr>
    </w:p>
    <w:p w:rsidR="004E4CCA" w:rsidRDefault="004E4CCA" w:rsidP="004E4CCA">
      <w:pPr>
        <w:pStyle w:val="Paragrafi"/>
        <w:jc w:val="right"/>
        <w:rPr>
          <w:b/>
          <w:lang w:val="sq-AL"/>
        </w:rPr>
        <w:sectPr w:rsidR="004E4CCA" w:rsidSect="004E4CCA">
          <w:pgSz w:w="11907" w:h="16840"/>
          <w:pgMar w:top="720" w:right="1134" w:bottom="720" w:left="1134" w:header="851" w:footer="851" w:gutter="0"/>
          <w:cols w:space="454"/>
        </w:sectPr>
      </w:pPr>
    </w:p>
    <w:p w:rsidR="004E4CCA" w:rsidRDefault="004E4CCA" w:rsidP="004E4CCA">
      <w:pPr>
        <w:pStyle w:val="Paragrafi"/>
        <w:jc w:val="right"/>
        <w:rPr>
          <w:b/>
          <w:lang w:val="sq-AL"/>
        </w:rPr>
      </w:pPr>
    </w:p>
    <w:p w:rsidR="004E4CCA" w:rsidRDefault="004E4CCA" w:rsidP="004E4CCA">
      <w:pPr>
        <w:autoSpaceDE w:val="0"/>
        <w:autoSpaceDN w:val="0"/>
        <w:adjustRightInd w:val="0"/>
        <w:spacing w:after="0" w:line="240" w:lineRule="auto"/>
        <w:rPr>
          <w:rFonts w:ascii="Garamond" w:hAnsi="Garamond"/>
          <w:bCs/>
        </w:rPr>
      </w:pPr>
    </w:p>
    <w:p w:rsidR="004E4CCA" w:rsidRDefault="004E4CCA" w:rsidP="004E4CCA">
      <w:pPr>
        <w:pStyle w:val="NeniTitull"/>
      </w:pPr>
      <w:proofErr w:type="spellStart"/>
      <w:r>
        <w:t>Formulari</w:t>
      </w:r>
      <w:proofErr w:type="spellEnd"/>
      <w:r>
        <w:t xml:space="preserve"> </w:t>
      </w:r>
      <w:proofErr w:type="spellStart"/>
      <w:r>
        <w:t>i</w:t>
      </w:r>
      <w:proofErr w:type="spellEnd"/>
      <w:r>
        <w:t xml:space="preserve"> </w:t>
      </w:r>
      <w:proofErr w:type="spellStart"/>
      <w:r>
        <w:t>Transferimit</w:t>
      </w:r>
      <w:proofErr w:type="spellEnd"/>
      <w:r>
        <w:t xml:space="preserve"> </w:t>
      </w:r>
      <w:proofErr w:type="spellStart"/>
      <w:r>
        <w:t>të</w:t>
      </w:r>
      <w:proofErr w:type="spellEnd"/>
      <w:r>
        <w:t xml:space="preserve"> </w:t>
      </w:r>
      <w:proofErr w:type="spellStart"/>
      <w:r>
        <w:t>të</w:t>
      </w:r>
      <w:proofErr w:type="spellEnd"/>
      <w:r>
        <w:t xml:space="preserve"> </w:t>
      </w:r>
      <w:proofErr w:type="spellStart"/>
      <w:r>
        <w:t>Dhënave</w:t>
      </w:r>
      <w:proofErr w:type="spellEnd"/>
      <w:r>
        <w:t xml:space="preserve"> </w:t>
      </w:r>
      <w:proofErr w:type="spellStart"/>
      <w:r>
        <w:t>të</w:t>
      </w:r>
      <w:proofErr w:type="spellEnd"/>
      <w:r>
        <w:t xml:space="preserve"> </w:t>
      </w:r>
      <w:proofErr w:type="spellStart"/>
      <w:r>
        <w:t>Tatimpaguesve</w:t>
      </w:r>
      <w:proofErr w:type="spellEnd"/>
      <w:r>
        <w:t xml:space="preserve"> </w:t>
      </w:r>
      <w:proofErr w:type="spellStart"/>
      <w:r>
        <w:t>lidhur</w:t>
      </w:r>
      <w:proofErr w:type="spellEnd"/>
      <w:r>
        <w:t xml:space="preserve"> me </w:t>
      </w:r>
      <w:proofErr w:type="spellStart"/>
      <w:r>
        <w:t>detyrimet</w:t>
      </w:r>
      <w:proofErr w:type="spellEnd"/>
      <w:r>
        <w:t xml:space="preserve"> e </w:t>
      </w:r>
      <w:proofErr w:type="spellStart"/>
      <w:r>
        <w:t>papaguara</w:t>
      </w:r>
      <w:proofErr w:type="spellEnd"/>
      <w:r>
        <w:t xml:space="preserve"> </w:t>
      </w:r>
      <w:proofErr w:type="spellStart"/>
      <w:r>
        <w:t>te</w:t>
      </w:r>
      <w:proofErr w:type="spellEnd"/>
      <w:r>
        <w:t xml:space="preserve"> </w:t>
      </w:r>
      <w:proofErr w:type="spellStart"/>
      <w:r>
        <w:t>akcizës</w:t>
      </w:r>
      <w:proofErr w:type="spellEnd"/>
      <w:r>
        <w:t xml:space="preserve"> </w:t>
      </w:r>
      <w:proofErr w:type="spellStart"/>
      <w:r>
        <w:t>sipas</w:t>
      </w:r>
      <w:proofErr w:type="spellEnd"/>
      <w:r>
        <w:t xml:space="preserve"> </w:t>
      </w:r>
      <w:proofErr w:type="spellStart"/>
      <w:r>
        <w:t>të</w:t>
      </w:r>
      <w:proofErr w:type="spellEnd"/>
      <w:r>
        <w:t xml:space="preserve"> </w:t>
      </w:r>
      <w:proofErr w:type="spellStart"/>
      <w:r>
        <w:t>Dhënave</w:t>
      </w:r>
      <w:proofErr w:type="spellEnd"/>
      <w:r>
        <w:t xml:space="preserve"> </w:t>
      </w:r>
      <w:proofErr w:type="spellStart"/>
      <w:r>
        <w:t>në</w:t>
      </w:r>
      <w:proofErr w:type="spellEnd"/>
      <w:r>
        <w:t xml:space="preserve"> DRT</w:t>
      </w:r>
    </w:p>
    <w:p w:rsidR="004E4CCA" w:rsidRDefault="004E4CCA" w:rsidP="004E4CCA">
      <w:pPr>
        <w:autoSpaceDE w:val="0"/>
        <w:autoSpaceDN w:val="0"/>
        <w:adjustRightInd w:val="0"/>
        <w:spacing w:after="0" w:line="240" w:lineRule="auto"/>
        <w:rPr>
          <w:rFonts w:ascii="Garamond" w:hAnsi="Garamond"/>
          <w:bCs/>
          <w:sz w:val="10"/>
        </w:rPr>
      </w:pPr>
    </w:p>
    <w:p w:rsidR="004E4CCA" w:rsidRDefault="004E4CCA" w:rsidP="004E4CCA">
      <w:pPr>
        <w:autoSpaceDE w:val="0"/>
        <w:autoSpaceDN w:val="0"/>
        <w:adjustRightInd w:val="0"/>
        <w:spacing w:after="0" w:line="240" w:lineRule="auto"/>
        <w:rPr>
          <w:rFonts w:ascii="Garamond" w:hAnsi="Garamond"/>
          <w:i/>
        </w:rPr>
      </w:pPr>
      <w:r>
        <w:rPr>
          <w:rFonts w:ascii="Garamond" w:hAnsi="Garamond"/>
          <w:bCs/>
        </w:rPr>
        <w:t xml:space="preserve">Ky formular duhet të plotësohet dhe firmoset nga drejtoritë rajonale tatimore që kërkojnë të transferojnë të dhëna për subjektet e akcizës të cilët rezultojnë me detyrime të papaguara. </w:t>
      </w:r>
    </w:p>
    <w:p w:rsidR="004E4CCA" w:rsidRDefault="004E4CCA" w:rsidP="004E4CCA">
      <w:pPr>
        <w:spacing w:after="0" w:line="240" w:lineRule="auto"/>
        <w:rPr>
          <w:rFonts w:ascii="Garamond" w:hAnsi="Garamond"/>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-92075</wp:posOffset>
                </wp:positionH>
                <wp:positionV relativeFrom="paragraph">
                  <wp:posOffset>93345</wp:posOffset>
                </wp:positionV>
                <wp:extent cx="5543550" cy="716280"/>
                <wp:effectExtent l="0" t="0" r="19050" b="266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716280"/>
                        </a:xfrm>
                        <a:prstGeom prst="rect">
                          <a:avLst/>
                        </a:prstGeom>
                        <a:solidFill>
                          <a:srgbClr val="FFFFFF"/>
                        </a:solidFill>
                        <a:ln w="9525">
                          <a:solidFill>
                            <a:srgbClr val="000000"/>
                          </a:solidFill>
                          <a:miter lim="800000"/>
                          <a:headEnd/>
                          <a:tailEnd/>
                        </a:ln>
                      </wps:spPr>
                      <wps:txbx>
                        <w:txbxContent>
                          <w:p w:rsidR="004E4CCA" w:rsidRDefault="004E4CCA" w:rsidP="004E4CCA">
                            <w:pPr>
                              <w:pStyle w:val="Paragrafi"/>
                            </w:pPr>
                            <w:r>
                              <w:t>1. DREJTORIA RAJONALE NGA BËHET TRANSFERIMI</w:t>
                            </w:r>
                          </w:p>
                          <w:p w:rsidR="004E4CCA" w:rsidRDefault="004E4CCA" w:rsidP="004E4CCA">
                            <w:pPr>
                              <w:pStyle w:val="Paragrafi"/>
                            </w:pPr>
                          </w:p>
                          <w:p w:rsidR="004E4CCA" w:rsidRDefault="004E4CCA" w:rsidP="004E4CCA">
                            <w:pPr>
                              <w:ind w:left="720"/>
                              <w:rPr>
                                <w:b/>
                              </w:rPr>
                            </w:pPr>
                            <w:r>
                              <w:rPr>
                                <w:b/>
                              </w:rPr>
                              <w:t>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7.25pt;margin-top:7.35pt;width:436.5pt;height:5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">
                <v:textbox>
                  <w:txbxContent>
                    <w:p w:rsidR="004E4CCA" w:rsidRDefault="004E4CCA" w:rsidP="004E4CCA">
                      <w:pPr>
                        <w:pStyle w:val="Paragrafi"/>
                      </w:pPr>
                      <w:r>
                        <w:t>1. DREJTORIA RAJONALE NGA BËHET TRANSFERIMI</w:t>
                      </w:r>
                    </w:p>
                    <w:p w:rsidR="004E4CCA" w:rsidRDefault="004E4CCA" w:rsidP="004E4CCA">
                      <w:pPr>
                        <w:pStyle w:val="Paragrafi"/>
                      </w:pPr>
                    </w:p>
                    <w:p w:rsidR="004E4CCA" w:rsidRDefault="004E4CCA" w:rsidP="004E4CCA">
                      <w:pPr>
                        <w:ind w:left="720"/>
                        <w:rPr>
                          <w:b/>
                        </w:rPr>
                      </w:pPr>
                      <w:r>
                        <w:rPr>
                          <w:b/>
                        </w:rPr>
                        <w:t>________________________________________________________________</w:t>
                      </w:r>
                    </w:p>
                  </w:txbxContent>
                </v:textbox>
              </v:rect>
            </w:pict>
          </mc:Fallback>
        </mc:AlternateContent>
      </w:r>
    </w:p>
    <w:p w:rsidR="004E4CCA" w:rsidRDefault="004E4CCA" w:rsidP="004E4CCA">
      <w:pPr>
        <w:spacing w:after="0" w:line="240" w:lineRule="auto"/>
        <w:rPr>
          <w:rFonts w:ascii="Garamond" w:hAnsi="Garamond"/>
        </w:rPr>
      </w:pPr>
    </w:p>
    <w:p w:rsidR="004E4CCA" w:rsidRDefault="004E4CCA" w:rsidP="004E4CCA">
      <w:pPr>
        <w:spacing w:after="0" w:line="240" w:lineRule="auto"/>
        <w:rPr>
          <w:rFonts w:ascii="Garamond" w:hAnsi="Garamond"/>
          <w:b/>
        </w:rPr>
      </w:pPr>
    </w:p>
    <w:p w:rsidR="004E4CCA" w:rsidRDefault="004E4CCA" w:rsidP="004E4CCA">
      <w:pPr>
        <w:spacing w:after="0" w:line="240" w:lineRule="auto"/>
        <w:rPr>
          <w:rFonts w:ascii="Garamond" w:hAnsi="Garamond"/>
          <w:b/>
        </w:rPr>
      </w:pPr>
    </w:p>
    <w:p w:rsidR="004E4CCA" w:rsidRDefault="004E4CCA" w:rsidP="004E4CCA">
      <w:pPr>
        <w:spacing w:after="0" w:line="240" w:lineRule="auto"/>
        <w:rPr>
          <w:rFonts w:ascii="Garamond" w:hAnsi="Garamond"/>
          <w:b/>
        </w:rPr>
      </w:pPr>
    </w:p>
    <w:p w:rsidR="004E4CCA" w:rsidRDefault="004E4CCA" w:rsidP="004E4CCA">
      <w:pPr>
        <w:spacing w:after="0" w:line="240" w:lineRule="auto"/>
        <w:rPr>
          <w:rFonts w:ascii="Garamond" w:hAnsi="Garamond"/>
          <w:b/>
        </w:rPr>
      </w:pPr>
    </w:p>
    <w:tbl>
      <w:tblPr>
        <w:tblW w:w="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8748"/>
      </w:tblGrid>
      <w:tr w:rsidR="004E4CCA" w:rsidTr="004E4CCA">
        <w:trPr>
          <w:trHeight w:val="2406"/>
        </w:trPr>
        <w:tc>
          <w:tcPr>
            <w:tcW w:w="8748" w:type="dxa"/>
            <w:tcBorders>
              <w:top w:val="single" w:sz="4" w:space="0" w:color="auto"/>
              <w:left w:val="single" w:sz="4" w:space="0" w:color="auto"/>
              <w:bottom w:val="single" w:sz="4" w:space="0" w:color="auto"/>
              <w:right w:val="single" w:sz="4" w:space="0" w:color="auto"/>
            </w:tcBorders>
          </w:tcPr>
          <w:p w:rsidR="004E4CCA" w:rsidRDefault="004E4CCA">
            <w:pPr>
              <w:spacing w:after="0" w:line="240" w:lineRule="auto"/>
              <w:rPr>
                <w:rFonts w:ascii="Garamond" w:hAnsi="Garamond"/>
                <w:b/>
              </w:rPr>
            </w:pPr>
          </w:p>
          <w:p w:rsidR="004E4CCA" w:rsidRDefault="004E4CCA">
            <w:pPr>
              <w:spacing w:after="0" w:line="240" w:lineRule="auto"/>
              <w:rPr>
                <w:rFonts w:ascii="Garamond" w:hAnsi="Garamond"/>
                <w:b/>
              </w:rPr>
            </w:pPr>
            <w:r>
              <w:rPr>
                <w:rFonts w:ascii="Garamond" w:hAnsi="Garamond"/>
                <w:b/>
              </w:rPr>
              <w:t xml:space="preserve">2. INFORMACION MBITATIMPAGUESIT </w:t>
            </w:r>
          </w:p>
          <w:p w:rsidR="004E4CCA" w:rsidRDefault="004E4CCA" w:rsidP="00E97F0C">
            <w:pPr>
              <w:numPr>
                <w:ilvl w:val="0"/>
                <w:numId w:val="1"/>
              </w:numPr>
              <w:spacing w:after="0" w:line="240" w:lineRule="auto"/>
              <w:ind w:left="0" w:firstLine="0"/>
              <w:jc w:val="both"/>
              <w:rPr>
                <w:rFonts w:ascii="Garamond" w:hAnsi="Garamond"/>
              </w:rPr>
            </w:pPr>
            <w:r>
              <w:rPr>
                <w:rFonts w:ascii="Garamond" w:hAnsi="Garamond"/>
              </w:rPr>
              <w:t>Emri i subjektit _________________________________________</w:t>
            </w:r>
          </w:p>
          <w:p w:rsidR="004E4CCA" w:rsidRDefault="004E4CCA" w:rsidP="00E97F0C">
            <w:pPr>
              <w:numPr>
                <w:ilvl w:val="0"/>
                <w:numId w:val="1"/>
              </w:numPr>
              <w:spacing w:after="0" w:line="240" w:lineRule="auto"/>
              <w:ind w:left="0" w:firstLine="0"/>
              <w:jc w:val="both"/>
              <w:rPr>
                <w:rFonts w:ascii="Garamond" w:hAnsi="Garamond"/>
              </w:rPr>
            </w:pPr>
            <w:r>
              <w:rPr>
                <w:rFonts w:ascii="Garamond" w:hAnsi="Garamond"/>
              </w:rPr>
              <w:t>Adresa (rruga, numri, kodi postal, qyteti): ______________________________</w:t>
            </w:r>
          </w:p>
          <w:p w:rsidR="004E4CCA" w:rsidRDefault="004E4CCA" w:rsidP="00E97F0C">
            <w:pPr>
              <w:numPr>
                <w:ilvl w:val="0"/>
                <w:numId w:val="1"/>
              </w:numPr>
              <w:spacing w:after="0" w:line="240" w:lineRule="auto"/>
              <w:ind w:left="0" w:firstLine="0"/>
              <w:jc w:val="both"/>
              <w:rPr>
                <w:rFonts w:ascii="Garamond" w:hAnsi="Garamond"/>
              </w:rPr>
            </w:pPr>
            <w:r>
              <w:rPr>
                <w:rFonts w:ascii="Garamond" w:hAnsi="Garamond"/>
              </w:rPr>
              <w:t>NIPT: ________________________________________________</w:t>
            </w:r>
          </w:p>
          <w:p w:rsidR="004E4CCA" w:rsidRDefault="004E4CCA" w:rsidP="00E97F0C">
            <w:pPr>
              <w:numPr>
                <w:ilvl w:val="0"/>
                <w:numId w:val="1"/>
              </w:numPr>
              <w:spacing w:after="0" w:line="240" w:lineRule="auto"/>
              <w:ind w:left="0" w:firstLine="0"/>
              <w:jc w:val="both"/>
              <w:rPr>
                <w:rFonts w:ascii="Garamond" w:hAnsi="Garamond"/>
              </w:rPr>
            </w:pPr>
            <w:r>
              <w:rPr>
                <w:rFonts w:ascii="Garamond" w:hAnsi="Garamond"/>
              </w:rPr>
              <w:t>Aktiviteti: _______________________________________</w:t>
            </w:r>
          </w:p>
          <w:p w:rsidR="004E4CCA" w:rsidRDefault="004E4CCA" w:rsidP="00E97F0C">
            <w:pPr>
              <w:numPr>
                <w:ilvl w:val="0"/>
                <w:numId w:val="1"/>
              </w:numPr>
              <w:spacing w:after="0" w:line="240" w:lineRule="auto"/>
              <w:ind w:left="0" w:firstLine="0"/>
              <w:rPr>
                <w:rFonts w:ascii="Garamond" w:hAnsi="Garamond"/>
              </w:rPr>
            </w:pPr>
            <w:r>
              <w:rPr>
                <w:rFonts w:ascii="Garamond" w:hAnsi="Garamond"/>
              </w:rPr>
              <w:t>Formaorganizative:_______________________________________________</w:t>
            </w:r>
          </w:p>
          <w:p w:rsidR="004E4CCA" w:rsidRDefault="004E4CCA" w:rsidP="00E97F0C">
            <w:pPr>
              <w:numPr>
                <w:ilvl w:val="0"/>
                <w:numId w:val="1"/>
              </w:numPr>
              <w:spacing w:after="0" w:line="240" w:lineRule="auto"/>
              <w:ind w:left="0" w:firstLine="0"/>
              <w:jc w:val="both"/>
              <w:rPr>
                <w:rFonts w:ascii="Garamond" w:hAnsi="Garamond"/>
              </w:rPr>
            </w:pPr>
            <w:r>
              <w:rPr>
                <w:rFonts w:ascii="Garamond" w:hAnsi="Garamond"/>
              </w:rPr>
              <w:t>Administratori____________________________________________________</w:t>
            </w:r>
          </w:p>
          <w:p w:rsidR="004E4CCA" w:rsidRDefault="004E4CCA" w:rsidP="00E97F0C">
            <w:pPr>
              <w:numPr>
                <w:ilvl w:val="0"/>
                <w:numId w:val="1"/>
              </w:numPr>
              <w:spacing w:after="0" w:line="240" w:lineRule="auto"/>
              <w:ind w:left="0" w:firstLine="0"/>
              <w:rPr>
                <w:rFonts w:ascii="Garamond" w:hAnsi="Garamond"/>
              </w:rPr>
            </w:pPr>
            <w:r>
              <w:rPr>
                <w:rFonts w:ascii="Garamond" w:hAnsi="Garamond"/>
              </w:rPr>
              <w:t>Telefoni/adresa e postës elektronike (e-mail):__________________________</w:t>
            </w:r>
          </w:p>
          <w:p w:rsidR="004E4CCA" w:rsidRDefault="004E4CCA" w:rsidP="00E97F0C">
            <w:pPr>
              <w:numPr>
                <w:ilvl w:val="0"/>
                <w:numId w:val="1"/>
              </w:numPr>
              <w:spacing w:after="0" w:line="240" w:lineRule="auto"/>
              <w:ind w:left="0" w:firstLine="0"/>
              <w:jc w:val="both"/>
              <w:rPr>
                <w:rFonts w:ascii="Garamond" w:hAnsi="Garamond"/>
              </w:rPr>
            </w:pPr>
            <w:r>
              <w:rPr>
                <w:rFonts w:ascii="Garamond" w:hAnsi="Garamond"/>
              </w:rPr>
              <w:t>Statusi___________________________________________________________</w:t>
            </w:r>
          </w:p>
          <w:p w:rsidR="004E4CCA" w:rsidRDefault="004E4CCA">
            <w:pPr>
              <w:spacing w:after="0" w:line="240" w:lineRule="auto"/>
              <w:rPr>
                <w:rFonts w:ascii="Garamond" w:hAnsi="Garamond"/>
              </w:rPr>
            </w:pPr>
          </w:p>
          <w:p w:rsidR="004E4CCA" w:rsidRDefault="004E4CCA">
            <w:pPr>
              <w:spacing w:after="0" w:line="240" w:lineRule="auto"/>
              <w:rPr>
                <w:rFonts w:ascii="Garamond" w:hAnsi="Garamond"/>
                <w:b/>
              </w:rPr>
            </w:pPr>
          </w:p>
        </w:tc>
      </w:tr>
    </w:tbl>
    <w:p w:rsidR="004E4CCA" w:rsidRDefault="004E4CCA" w:rsidP="004E4CCA">
      <w:pPr>
        <w:spacing w:after="0" w:line="240" w:lineRule="auto"/>
        <w:rPr>
          <w:rFonts w:ascii="Garamond" w:hAnsi="Garamond"/>
          <w:b/>
        </w:rPr>
      </w:pPr>
    </w:p>
    <w:p w:rsidR="004E4CCA" w:rsidRDefault="004E4CCA" w:rsidP="004E4CCA">
      <w:pPr>
        <w:spacing w:after="0" w:line="240" w:lineRule="auto"/>
        <w:rPr>
          <w:rFonts w:ascii="Garamond" w:hAnsi="Garamond"/>
          <w:b/>
        </w:rPr>
      </w:pPr>
      <w:r>
        <w:rPr>
          <w:rFonts w:ascii="Garamond" w:hAnsi="Garamond"/>
          <w:b/>
        </w:rPr>
        <w:t>3. INFORMACION PËR DETYRIMET E TATIMPAGUESIT</w:t>
      </w:r>
    </w:p>
    <w:p w:rsidR="004E4CCA" w:rsidRDefault="004E4CCA" w:rsidP="004E4CCA">
      <w:pPr>
        <w:spacing w:after="0" w:line="240" w:lineRule="auto"/>
        <w:rPr>
          <w:rFonts w:ascii="Garamond" w:hAnsi="Garamond"/>
          <w:b/>
        </w:rPr>
      </w:pPr>
    </w:p>
    <w:p w:rsidR="004E4CCA" w:rsidRDefault="004E4CCA" w:rsidP="004E4CCA">
      <w:pPr>
        <w:spacing w:after="0" w:line="240" w:lineRule="auto"/>
        <w:rPr>
          <w:rFonts w:ascii="Garamond" w:hAnsi="Garamond"/>
          <w:b/>
        </w:rPr>
      </w:pPr>
      <w:r>
        <w:rPr>
          <w:rFonts w:ascii="Garamond" w:hAnsi="Garamond"/>
          <w:noProof/>
          <w:lang w:val="en-US"/>
        </w:rPr>
        <w:drawing>
          <wp:inline distT="0" distB="0" distL="0" distR="0">
            <wp:extent cx="6315075" cy="3543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15075" cy="3543300"/>
                    </a:xfrm>
                    <a:prstGeom prst="rect">
                      <a:avLst/>
                    </a:prstGeom>
                    <a:noFill/>
                    <a:ln>
                      <a:noFill/>
                    </a:ln>
                  </pic:spPr>
                </pic:pic>
              </a:graphicData>
            </a:graphic>
          </wp:inline>
        </w:drawing>
      </w:r>
    </w:p>
    <w:p w:rsidR="004E4CCA" w:rsidRDefault="004E4CCA" w:rsidP="004E4CCA">
      <w:pPr>
        <w:spacing w:after="0" w:line="240" w:lineRule="auto"/>
        <w:rPr>
          <w:rFonts w:ascii="Garamond" w:hAnsi="Garamond"/>
          <w:b/>
          <w:sz w:val="14"/>
        </w:rPr>
      </w:pPr>
    </w:p>
    <w:p w:rsidR="004E4CCA" w:rsidRDefault="004E4CCA" w:rsidP="004E4CCA">
      <w:pPr>
        <w:spacing w:after="0" w:line="240" w:lineRule="auto"/>
        <w:rPr>
          <w:rFonts w:ascii="Garamond" w:hAnsi="Garamond"/>
          <w:b/>
        </w:rPr>
      </w:pPr>
    </w:p>
    <w:p w:rsidR="004E4CCA" w:rsidRDefault="004E4CCA" w:rsidP="004E4CCA">
      <w:pPr>
        <w:spacing w:after="0" w:line="240" w:lineRule="auto"/>
        <w:rPr>
          <w:rFonts w:ascii="Garamond" w:hAnsi="Garamond"/>
          <w:b/>
        </w:rPr>
      </w:pPr>
      <w:r>
        <w:rPr>
          <w:rFonts w:ascii="Garamond" w:hAnsi="Garamond"/>
          <w:b/>
        </w:rPr>
        <w:lastRenderedPageBreak/>
        <w:t xml:space="preserve">4. </w:t>
      </w:r>
      <w:r>
        <w:rPr>
          <w:rFonts w:ascii="Garamond" w:hAnsi="Garamond"/>
          <w:b/>
          <w:caps/>
        </w:rPr>
        <w:t>Dosja e Subjektit</w:t>
      </w:r>
    </w:p>
    <w:p w:rsidR="004E4CCA" w:rsidRDefault="004E4CCA" w:rsidP="004E4CCA">
      <w:pPr>
        <w:spacing w:after="0" w:line="240" w:lineRule="auto"/>
        <w:rPr>
          <w:rFonts w:ascii="Garamond" w:hAnsi="Garamond"/>
          <w:b/>
          <w:sz w:val="12"/>
        </w:rPr>
      </w:pPr>
    </w:p>
    <w:p w:rsidR="004E4CCA" w:rsidRDefault="004E4CCA" w:rsidP="004E4CCA">
      <w:pPr>
        <w:spacing w:after="0" w:line="240" w:lineRule="auto"/>
        <w:rPr>
          <w:rFonts w:ascii="Garamond" w:hAnsi="Garamond"/>
          <w:b/>
        </w:rPr>
      </w:pPr>
      <w:r>
        <w:rPr>
          <w:rFonts w:ascii="Garamond" w:hAnsi="Garamond"/>
          <w:b/>
        </w:rPr>
        <w:t>Proces verbal i inventarit të dosjes</w:t>
      </w:r>
    </w:p>
    <w:p w:rsidR="004E4CCA" w:rsidRDefault="004E4CCA" w:rsidP="004E4CCA">
      <w:pPr>
        <w:spacing w:after="0" w:line="240" w:lineRule="auto"/>
        <w:rPr>
          <w:rFonts w:ascii="Garamond" w:hAnsi="Garamond"/>
          <w:b/>
          <w:sz w:val="12"/>
        </w:rPr>
      </w:pPr>
    </w:p>
    <w:p w:rsidR="004E4CCA" w:rsidRDefault="004E4CCA" w:rsidP="004E4CCA">
      <w:pPr>
        <w:spacing w:after="0" w:line="240" w:lineRule="auto"/>
        <w:rPr>
          <w:rFonts w:ascii="Garamond" w:hAnsi="Garamond"/>
          <w:b/>
        </w:rPr>
      </w:pPr>
      <w:r>
        <w:rPr>
          <w:rFonts w:ascii="Garamond" w:hAnsi="Garamond"/>
          <w:b/>
        </w:rPr>
        <w:t>Për sa më sipër, për llogari të kontrolluesit konfirmoj të dhënat të cilat transferohen, deklaroj vërtetësinë dhe garantoj se është përfshirë i gjithë dokumentacioni përkatës.</w:t>
      </w:r>
    </w:p>
    <w:p w:rsidR="004E4CCA" w:rsidRDefault="004E4CCA" w:rsidP="004E4CCA">
      <w:pPr>
        <w:spacing w:after="0" w:line="240" w:lineRule="auto"/>
        <w:rPr>
          <w:rFonts w:ascii="Garamond" w:hAnsi="Garamond"/>
          <w:sz w:val="12"/>
        </w:rPr>
      </w:pPr>
    </w:p>
    <w:p w:rsidR="004E4CCA" w:rsidRDefault="004E4CCA" w:rsidP="004E4CCA">
      <w:pPr>
        <w:autoSpaceDE w:val="0"/>
        <w:autoSpaceDN w:val="0"/>
        <w:adjustRightInd w:val="0"/>
        <w:spacing w:after="0" w:line="240" w:lineRule="auto"/>
        <w:rPr>
          <w:rFonts w:ascii="Garamond" w:hAnsi="Garamond"/>
          <w:b/>
        </w:rPr>
      </w:pPr>
      <w:r>
        <w:rPr>
          <w:rFonts w:ascii="Garamond" w:hAnsi="Garamond"/>
          <w:b/>
        </w:rPr>
        <w:t>Emri:</w:t>
      </w:r>
    </w:p>
    <w:p w:rsidR="004E4CCA" w:rsidRDefault="004E4CCA" w:rsidP="004E4CCA">
      <w:pPr>
        <w:autoSpaceDE w:val="0"/>
        <w:autoSpaceDN w:val="0"/>
        <w:adjustRightInd w:val="0"/>
        <w:spacing w:after="0" w:line="240" w:lineRule="auto"/>
        <w:rPr>
          <w:rFonts w:ascii="Garamond" w:hAnsi="Garamond"/>
          <w:b/>
        </w:rPr>
      </w:pPr>
      <w:r>
        <w:rPr>
          <w:rFonts w:ascii="Garamond" w:hAnsi="Garamond"/>
          <w:b/>
        </w:rPr>
        <w:t>Data:</w:t>
      </w:r>
    </w:p>
    <w:p w:rsidR="004E4CCA" w:rsidRDefault="004E4CCA" w:rsidP="004E4CCA">
      <w:pPr>
        <w:autoSpaceDE w:val="0"/>
        <w:autoSpaceDN w:val="0"/>
        <w:adjustRightInd w:val="0"/>
        <w:spacing w:after="0" w:line="240" w:lineRule="auto"/>
        <w:rPr>
          <w:rFonts w:ascii="Garamond" w:hAnsi="Garamond"/>
          <w:b/>
        </w:rPr>
      </w:pPr>
      <w:r>
        <w:rPr>
          <w:rFonts w:ascii="Garamond" w:hAnsi="Garamond"/>
          <w:b/>
        </w:rPr>
        <w:t>Firma:</w:t>
      </w:r>
    </w:p>
    <w:p w:rsidR="000B0224" w:rsidRDefault="000B0224"/>
    <w:sectPr w:rsidR="000B02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196130"/>
    <w:multiLevelType w:val="hybridMultilevel"/>
    <w:tmpl w:val="15A6E5A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CA"/>
    <w:rsid w:val="000B0224"/>
    <w:rsid w:val="004E4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F1CA24D-FEF8-46C0-98E8-6FB64B6C3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CCA"/>
    <w:pPr>
      <w:spacing w:line="25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E4CCA"/>
    <w:rPr>
      <w:rFonts w:ascii="Garamond" w:eastAsia="MS Mincho" w:hAnsi="Garamond" w:cs="CG Times"/>
      <w:sz w:val="24"/>
    </w:rPr>
  </w:style>
  <w:style w:type="paragraph" w:customStyle="1" w:styleId="Paragrafi">
    <w:name w:val="Paragrafi"/>
    <w:link w:val="ParagrafiChar"/>
    <w:qFormat/>
    <w:rsid w:val="004E4CC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E4CCA"/>
    <w:rPr>
      <w:rFonts w:ascii="Garamond" w:eastAsia="MS Mincho" w:hAnsi="Garamond" w:cs="CG Times"/>
      <w:sz w:val="24"/>
      <w:lang w:val="en-GB"/>
    </w:rPr>
  </w:style>
  <w:style w:type="paragraph" w:customStyle="1" w:styleId="NeniNr">
    <w:name w:val="Neni_Nr"/>
    <w:next w:val="Normal"/>
    <w:link w:val="NeniNrChar"/>
    <w:rsid w:val="004E4CC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E4CCA"/>
    <w:rPr>
      <w:rFonts w:ascii="Garamond" w:eastAsia="MS Mincho" w:hAnsi="Garamond" w:cs="CG Times"/>
      <w:b/>
      <w:bCs/>
      <w:sz w:val="24"/>
      <w:lang w:val="en-GB"/>
    </w:rPr>
  </w:style>
  <w:style w:type="paragraph" w:customStyle="1" w:styleId="NeniTitull">
    <w:name w:val="Neni_Titull"/>
    <w:next w:val="Normal"/>
    <w:link w:val="NeniTitullChar"/>
    <w:rsid w:val="004E4CC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74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4855</Characters>
  <Application>Microsoft Office Word</Application>
  <DocSecurity>0</DocSecurity>
  <Lines>40</Lines>
  <Paragraphs>11</Paragraphs>
  <ScaleCrop>false</ScaleCrop>
  <Company/>
  <LinksUpToDate>false</LinksUpToDate>
  <CharactersWithSpaces>5695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2019-03-26T14:26:00Z</dcterms:created>
  <dcterms:modified xsi:type="dcterms:W3CDTF">2019-03-26T14:27:00Z</dcterms:modified>
</cp:coreProperties>
</file>