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79190" w14:textId="20900DDC" w:rsidR="00A5255B" w:rsidRPr="004023D1" w:rsidRDefault="001E721D" w:rsidP="001E72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23D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2D185D2" w14:textId="4BF79C90" w:rsidR="00B70653" w:rsidRPr="00EB0205" w:rsidRDefault="001E721D" w:rsidP="001E72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23D1">
        <w:rPr>
          <w:rFonts w:ascii="Garamond" w:hAnsi="Garamond"/>
          <w:b/>
          <w:sz w:val="24"/>
          <w:szCs w:val="24"/>
          <w:lang w:val="sq-AL"/>
        </w:rPr>
        <w:t>Nr.</w:t>
      </w:r>
      <w:r w:rsidR="00EB0205" w:rsidRPr="004023D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023D1">
        <w:rPr>
          <w:rFonts w:ascii="Garamond" w:hAnsi="Garamond"/>
          <w:b/>
          <w:sz w:val="24"/>
          <w:szCs w:val="24"/>
          <w:lang w:val="sq-AL"/>
        </w:rPr>
        <w:t>6/1, datë 15.5.2019</w:t>
      </w:r>
    </w:p>
    <w:p w14:paraId="4DC823E3" w14:textId="77777777" w:rsidR="00A5255B" w:rsidRPr="00EB0205" w:rsidRDefault="00A5255B" w:rsidP="001E72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15ABC9" w14:textId="747447E2" w:rsidR="00A5255B" w:rsidRPr="00EB0205" w:rsidRDefault="001E721D" w:rsidP="001E72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0205">
        <w:rPr>
          <w:rFonts w:ascii="Garamond" w:hAnsi="Garamond"/>
          <w:b/>
          <w:sz w:val="24"/>
          <w:szCs w:val="24"/>
          <w:lang w:val="sq-AL"/>
        </w:rPr>
        <w:t>PËR NJË NDRYSHIM NË UDHËZIMIN NR. 6, DATË 25.2.2019 “PËR FUNKSIONET, AUTORITETIN DHE PËRGJEGJËSITË E AVOKATIT TË TATIMPAGUESVE, PROCEDURAT QË DO TË ZBATOHEN PREJ TIJ NË MBROJTJE TË INTERESAVE TË TATIMPAGUESVE, SI DHE PROCEDURAT QË DUHET TË NDIQEN NGA TATIMPAGUESIT, PËR TË PËRFITUAR MBROJTJEN E TË DREJTAVE TË TYRE NGA AVOKATI I TATIMPAGUESVE”</w:t>
      </w:r>
    </w:p>
    <w:p w14:paraId="4B4CDD97" w14:textId="77777777" w:rsidR="00D66F14" w:rsidRPr="00EB0205" w:rsidRDefault="00D66F14" w:rsidP="00D66F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DD992" w14:textId="120A90A1" w:rsidR="00D66F14" w:rsidRPr="00EB0205" w:rsidRDefault="00D66F14" w:rsidP="001E7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0205">
        <w:rPr>
          <w:rFonts w:ascii="Garamond" w:hAnsi="Garamond"/>
          <w:sz w:val="24"/>
          <w:szCs w:val="24"/>
          <w:lang w:val="sq-AL"/>
        </w:rPr>
        <w:t>Në mbështetje të nenit 102</w:t>
      </w:r>
      <w:r w:rsidR="00CE656A">
        <w:rPr>
          <w:rFonts w:ascii="Garamond" w:hAnsi="Garamond"/>
          <w:sz w:val="24"/>
          <w:szCs w:val="24"/>
          <w:lang w:val="sq-AL"/>
        </w:rPr>
        <w:t>,</w:t>
      </w:r>
      <w:r w:rsidRPr="00EB0205">
        <w:rPr>
          <w:rFonts w:ascii="Garamond" w:hAnsi="Garamond"/>
          <w:sz w:val="24"/>
          <w:szCs w:val="24"/>
          <w:lang w:val="sq-AL"/>
        </w:rPr>
        <w:t xml:space="preserve"> pika 4</w:t>
      </w:r>
      <w:r w:rsidR="00CE656A">
        <w:rPr>
          <w:rFonts w:ascii="Garamond" w:hAnsi="Garamond"/>
          <w:sz w:val="24"/>
          <w:szCs w:val="24"/>
          <w:lang w:val="sq-AL"/>
        </w:rPr>
        <w:t>,</w:t>
      </w:r>
      <w:r w:rsidRPr="00EB0205">
        <w:rPr>
          <w:rFonts w:ascii="Garamond" w:hAnsi="Garamond"/>
          <w:sz w:val="24"/>
          <w:szCs w:val="24"/>
          <w:lang w:val="sq-AL"/>
        </w:rPr>
        <w:t xml:space="preserve"> të Kushtetutës së Republikës së Shqipërisë dhe në zbatim të nenit 105/2</w:t>
      </w:r>
      <w:r w:rsidR="00CE656A">
        <w:rPr>
          <w:rFonts w:ascii="Garamond" w:hAnsi="Garamond"/>
          <w:sz w:val="24"/>
          <w:szCs w:val="24"/>
          <w:lang w:val="sq-AL"/>
        </w:rPr>
        <w:t>,</w:t>
      </w:r>
      <w:r w:rsidRPr="00EB0205">
        <w:rPr>
          <w:rFonts w:ascii="Garamond" w:hAnsi="Garamond"/>
          <w:sz w:val="24"/>
          <w:szCs w:val="24"/>
          <w:lang w:val="sq-AL"/>
        </w:rPr>
        <w:t xml:space="preserve"> të ligjit nr. 9920, datë 19.5.2008 “Për procedurat tatimore në Republikën e Shqipërisë</w:t>
      </w:r>
      <w:r w:rsidR="001E721D" w:rsidRPr="00EB0205">
        <w:rPr>
          <w:rFonts w:ascii="Garamond" w:hAnsi="Garamond"/>
          <w:sz w:val="24"/>
          <w:szCs w:val="24"/>
          <w:lang w:val="sq-AL"/>
        </w:rPr>
        <w:t>”</w:t>
      </w:r>
      <w:r w:rsidRPr="00EB0205">
        <w:rPr>
          <w:rFonts w:ascii="Garamond" w:hAnsi="Garamond"/>
          <w:sz w:val="24"/>
          <w:szCs w:val="24"/>
          <w:lang w:val="sq-AL"/>
        </w:rPr>
        <w:t xml:space="preserve">, i </w:t>
      </w:r>
      <w:r w:rsidR="001E721D" w:rsidRPr="00EB0205">
        <w:rPr>
          <w:rFonts w:ascii="Garamond" w:hAnsi="Garamond"/>
          <w:sz w:val="24"/>
          <w:szCs w:val="24"/>
          <w:lang w:val="sq-AL"/>
        </w:rPr>
        <w:t>ndryshuar, si dhe vend</w:t>
      </w:r>
      <w:r w:rsidRPr="00EB0205">
        <w:rPr>
          <w:rFonts w:ascii="Garamond" w:hAnsi="Garamond"/>
          <w:sz w:val="24"/>
          <w:szCs w:val="24"/>
          <w:lang w:val="sq-AL"/>
        </w:rPr>
        <w:t>imin e Këshillit të Ministrave nr.</w:t>
      </w:r>
      <w:r w:rsidR="004023D1">
        <w:rPr>
          <w:rFonts w:ascii="Garamond" w:hAnsi="Garamond"/>
          <w:sz w:val="24"/>
          <w:szCs w:val="24"/>
          <w:lang w:val="sq-AL"/>
        </w:rPr>
        <w:t xml:space="preserve"> 648,</w:t>
      </w:r>
      <w:bookmarkStart w:id="0" w:name="_GoBack"/>
      <w:bookmarkEnd w:id="0"/>
      <w:r w:rsidR="004023D1">
        <w:rPr>
          <w:rFonts w:ascii="Garamond" w:hAnsi="Garamond"/>
          <w:sz w:val="24"/>
          <w:szCs w:val="24"/>
          <w:lang w:val="sq-AL"/>
        </w:rPr>
        <w:t xml:space="preserve"> datë</w:t>
      </w:r>
      <w:r w:rsidRPr="00EB0205">
        <w:rPr>
          <w:rFonts w:ascii="Garamond" w:hAnsi="Garamond"/>
          <w:sz w:val="24"/>
          <w:szCs w:val="24"/>
          <w:lang w:val="sq-AL"/>
        </w:rPr>
        <w:t xml:space="preserve"> 28.7.2010 “Për Avokatin e Tatimpaguesve”, i ndryshuar, Ministri i Financave dhe Ekonomisë</w:t>
      </w:r>
    </w:p>
    <w:p w14:paraId="0787108F" w14:textId="77777777" w:rsidR="00D66F14" w:rsidRPr="00EB0205" w:rsidRDefault="00D66F14" w:rsidP="001E7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F72344" w14:textId="6168E6B1" w:rsidR="00D66F14" w:rsidRPr="00EB0205" w:rsidRDefault="001E721D" w:rsidP="001E72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B0205">
        <w:rPr>
          <w:rFonts w:ascii="Garamond" w:hAnsi="Garamond"/>
          <w:sz w:val="24"/>
          <w:szCs w:val="24"/>
          <w:lang w:val="sq-AL"/>
        </w:rPr>
        <w:t>UDHËZON:</w:t>
      </w:r>
    </w:p>
    <w:p w14:paraId="2210A599" w14:textId="77777777" w:rsidR="00D66F14" w:rsidRPr="00EB0205" w:rsidRDefault="00D66F14" w:rsidP="001E7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FCD8CB" w14:textId="13197DFA" w:rsidR="00D66F14" w:rsidRPr="00EB0205" w:rsidRDefault="00D66F14" w:rsidP="001E7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0205">
        <w:rPr>
          <w:rFonts w:ascii="Garamond" w:hAnsi="Garamond"/>
          <w:sz w:val="24"/>
          <w:szCs w:val="24"/>
          <w:lang w:val="sq-AL"/>
        </w:rPr>
        <w:t>1. Në pikën 2 “Organizimi i</w:t>
      </w:r>
      <w:r w:rsidR="00EB0205">
        <w:rPr>
          <w:rFonts w:ascii="Garamond" w:hAnsi="Garamond"/>
          <w:sz w:val="24"/>
          <w:szCs w:val="24"/>
          <w:lang w:val="sq-AL"/>
        </w:rPr>
        <w:t xml:space="preserve"> </w:t>
      </w:r>
      <w:r w:rsidRPr="00EB0205">
        <w:rPr>
          <w:rFonts w:ascii="Garamond" w:hAnsi="Garamond"/>
          <w:sz w:val="24"/>
          <w:szCs w:val="24"/>
          <w:lang w:val="sq-AL"/>
        </w:rPr>
        <w:t>Avokatit të Tatimpaguesit”</w:t>
      </w:r>
      <w:r w:rsidR="001E721D" w:rsidRPr="00EB0205">
        <w:rPr>
          <w:rFonts w:ascii="Garamond" w:hAnsi="Garamond"/>
          <w:sz w:val="24"/>
          <w:szCs w:val="24"/>
          <w:lang w:val="sq-AL"/>
        </w:rPr>
        <w:t>, pika 2.4</w:t>
      </w:r>
      <w:r w:rsidR="00EB0205">
        <w:rPr>
          <w:rFonts w:ascii="Garamond" w:hAnsi="Garamond"/>
          <w:sz w:val="24"/>
          <w:szCs w:val="24"/>
          <w:lang w:val="sq-AL"/>
        </w:rPr>
        <w:t>,</w:t>
      </w:r>
      <w:r w:rsidR="001E721D" w:rsidRPr="00EB0205">
        <w:rPr>
          <w:rFonts w:ascii="Garamond" w:hAnsi="Garamond"/>
          <w:sz w:val="24"/>
          <w:szCs w:val="24"/>
          <w:lang w:val="sq-AL"/>
        </w:rPr>
        <w:t xml:space="preserve"> germa </w:t>
      </w:r>
      <w:r w:rsidR="00EB0205">
        <w:rPr>
          <w:rFonts w:ascii="Garamond" w:hAnsi="Garamond"/>
          <w:sz w:val="24"/>
          <w:szCs w:val="24"/>
          <w:lang w:val="sq-AL"/>
        </w:rPr>
        <w:t>“</w:t>
      </w:r>
      <w:r w:rsidR="001E721D" w:rsidRPr="00EB0205">
        <w:rPr>
          <w:rFonts w:ascii="Garamond" w:hAnsi="Garamond"/>
          <w:sz w:val="24"/>
          <w:szCs w:val="24"/>
          <w:lang w:val="sq-AL"/>
        </w:rPr>
        <w:t>b</w:t>
      </w:r>
      <w:r w:rsidR="00EB0205">
        <w:rPr>
          <w:rFonts w:ascii="Garamond" w:hAnsi="Garamond"/>
          <w:sz w:val="24"/>
          <w:szCs w:val="24"/>
          <w:lang w:val="sq-AL"/>
        </w:rPr>
        <w:t>”</w:t>
      </w:r>
      <w:r w:rsidR="001E721D" w:rsidRPr="00EB0205">
        <w:rPr>
          <w:rFonts w:ascii="Garamond" w:hAnsi="Garamond"/>
          <w:sz w:val="24"/>
          <w:szCs w:val="24"/>
          <w:lang w:val="sq-AL"/>
        </w:rPr>
        <w:t>, nd</w:t>
      </w:r>
      <w:r w:rsidRPr="00EB0205">
        <w:rPr>
          <w:rFonts w:ascii="Garamond" w:hAnsi="Garamond"/>
          <w:sz w:val="24"/>
          <w:szCs w:val="24"/>
          <w:lang w:val="sq-AL"/>
        </w:rPr>
        <w:t xml:space="preserve">ryshohet me këtë </w:t>
      </w:r>
      <w:r w:rsidR="00EB0205" w:rsidRPr="00EB0205">
        <w:rPr>
          <w:rFonts w:ascii="Garamond" w:hAnsi="Garamond"/>
          <w:sz w:val="24"/>
          <w:szCs w:val="24"/>
          <w:lang w:val="sq-AL"/>
        </w:rPr>
        <w:t>përmbajtje</w:t>
      </w:r>
      <w:r w:rsidRPr="00EB0205">
        <w:rPr>
          <w:rFonts w:ascii="Garamond" w:hAnsi="Garamond"/>
          <w:sz w:val="24"/>
          <w:szCs w:val="24"/>
          <w:lang w:val="sq-AL"/>
        </w:rPr>
        <w:t>:</w:t>
      </w:r>
    </w:p>
    <w:p w14:paraId="2308A1F8" w14:textId="2E34D5E9" w:rsidR="00D66F14" w:rsidRPr="00EB0205" w:rsidRDefault="00D66F14" w:rsidP="001E7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0205">
        <w:rPr>
          <w:rFonts w:ascii="Garamond" w:hAnsi="Garamond"/>
          <w:sz w:val="24"/>
          <w:szCs w:val="24"/>
          <w:lang w:val="sq-AL"/>
        </w:rPr>
        <w:t xml:space="preserve">“b) të ketë </w:t>
      </w:r>
      <w:r w:rsidR="00CE656A" w:rsidRPr="00EB0205">
        <w:rPr>
          <w:rFonts w:ascii="Garamond" w:hAnsi="Garamond"/>
          <w:sz w:val="24"/>
          <w:szCs w:val="24"/>
          <w:lang w:val="sq-AL"/>
        </w:rPr>
        <w:t>eksperiencë</w:t>
      </w:r>
      <w:r w:rsidRPr="00EB0205">
        <w:rPr>
          <w:rFonts w:ascii="Garamond" w:hAnsi="Garamond"/>
          <w:sz w:val="24"/>
          <w:szCs w:val="24"/>
          <w:lang w:val="sq-AL"/>
        </w:rPr>
        <w:t xml:space="preserve"> pune në administratën tatimore dhe/ose në pozicione pune që mbulojnë funksione politik</w:t>
      </w:r>
      <w:r w:rsidR="00CE656A">
        <w:rPr>
          <w:rFonts w:ascii="Garamond" w:hAnsi="Garamond"/>
          <w:sz w:val="24"/>
          <w:szCs w:val="24"/>
          <w:lang w:val="sq-AL"/>
        </w:rPr>
        <w:t>ë</w:t>
      </w:r>
      <w:r w:rsidRPr="00EB0205">
        <w:rPr>
          <w:rFonts w:ascii="Garamond" w:hAnsi="Garamond"/>
          <w:sz w:val="24"/>
          <w:szCs w:val="24"/>
          <w:lang w:val="sq-AL"/>
        </w:rPr>
        <w:t>bërëse, rregullatore apo çështje juridike të administratës tatimore në ministrinë përgjegjëse për financat.”</w:t>
      </w:r>
      <w:r w:rsidR="00876FF1">
        <w:rPr>
          <w:rFonts w:ascii="Garamond" w:hAnsi="Garamond"/>
          <w:sz w:val="24"/>
          <w:szCs w:val="24"/>
          <w:lang w:val="sq-AL"/>
        </w:rPr>
        <w:t>.</w:t>
      </w:r>
    </w:p>
    <w:p w14:paraId="69E7AD15" w14:textId="38C5684D" w:rsidR="00D66F14" w:rsidRPr="00EB0205" w:rsidRDefault="00D66F14" w:rsidP="001E7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0205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77E7F1F1" w14:textId="77777777" w:rsidR="00D66F14" w:rsidRPr="00EB0205" w:rsidRDefault="00D66F14" w:rsidP="001E72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BABE11" w14:textId="413C7846" w:rsidR="00D66F14" w:rsidRPr="00EB0205" w:rsidRDefault="00EB0205" w:rsidP="001E72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B0205">
        <w:rPr>
          <w:rFonts w:ascii="Garamond" w:hAnsi="Garamond"/>
          <w:sz w:val="24"/>
          <w:szCs w:val="24"/>
          <w:lang w:val="sq-AL"/>
        </w:rPr>
        <w:t>MINISTËR</w:t>
      </w:r>
      <w:r w:rsidR="00BB251E" w:rsidRPr="00EB0205">
        <w:rPr>
          <w:rFonts w:ascii="Garamond" w:hAnsi="Garamond"/>
          <w:sz w:val="24"/>
          <w:szCs w:val="24"/>
          <w:lang w:val="sq-AL"/>
        </w:rPr>
        <w:t xml:space="preserve"> I FINANCAVE DHE EKONOMISË</w:t>
      </w:r>
    </w:p>
    <w:p w14:paraId="77F8DE53" w14:textId="474AB527" w:rsidR="00D66F14" w:rsidRPr="00EB0205" w:rsidRDefault="00D66F14" w:rsidP="001E72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B0205">
        <w:rPr>
          <w:rFonts w:ascii="Garamond" w:hAnsi="Garamond"/>
          <w:b/>
          <w:sz w:val="24"/>
          <w:szCs w:val="24"/>
          <w:lang w:val="sq-AL"/>
        </w:rPr>
        <w:t>Anila Denaj</w:t>
      </w:r>
    </w:p>
    <w:sectPr w:rsidR="00D66F14" w:rsidRPr="00EB0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87E"/>
    <w:rsid w:val="001E721D"/>
    <w:rsid w:val="00210378"/>
    <w:rsid w:val="004023D1"/>
    <w:rsid w:val="0052560B"/>
    <w:rsid w:val="00616FA2"/>
    <w:rsid w:val="00876FF1"/>
    <w:rsid w:val="008B55B6"/>
    <w:rsid w:val="0090687E"/>
    <w:rsid w:val="00A5255B"/>
    <w:rsid w:val="00B70653"/>
    <w:rsid w:val="00BB251E"/>
    <w:rsid w:val="00CE656A"/>
    <w:rsid w:val="00D66F14"/>
    <w:rsid w:val="00EB0205"/>
    <w:rsid w:val="00F5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85D2"/>
  <w15:docId w15:val="{A575CB7E-5EF2-4189-8C9B-522E08C6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6-1</Nr_x002e__x0020_akti>
    <Data_x0020_e_x0020_Krijimit xmlns="0e656187-b300-4fb0-8bf4-3a50f872073c">2019-05-17T10:18:21Z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një ndryshim në udhëzimin nr. 6, datë 25.02.2019 "Për funksionet, autoritetin dhe përgjegjësitë e avokatit të tatimpaguesve, procedurat qëdo të zbatohen prej tij në mbrojtje të interesave të tatimpaguesve, si dhe procedurat që duhet të ndiqen nga tatimpaguesit, për të përfituar mbrojtjen e të drejtave të tyre nga avokati i tatimpaguesve"</Titulli>
    <Modifikuesi xmlns="0e656187-b300-4fb0-8bf4-3a50f872073c">jorina.kryeziu</Modifikuesi>
    <Nr_x002e__x0020_prot_x0020_QBZ xmlns="0e656187-b300-4fb0-8bf4-3a50f872073c">745</Nr_x002e__x0020_prot_x0020_QBZ>
    <Data_x0020_e_x0020_Modifikimit xmlns="0e656187-b300-4fb0-8bf4-3a50f872073c">2019-05-20T09:30:49Z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3148/3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06F079260F47DDA97C45060DD9F8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06F079260F47DDA97C45060DD9F8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AD730F-950B-4C0B-85F4-3CD895CE093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21DD615-FB58-4359-9732-9387BF5EC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871215-3247-41A8-85A3-031D35F10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9B423C-87BB-4ABA-9A6F-F3331C1DE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1A58D1-6B5B-4C53-8445-8D2E3F1A0F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6, datë 25.02.2019 "Për funksionet, autoritetin dhe përgjegjësitë e avokatit të tatimpaguesve, procedurat qëdo të zbatohen prej tij në mbrojtje të interesave të tatimpaguesve, si dhe procedurat që duhet të ndiqen nga tati</vt:lpstr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6, datë 25.02.2019 "Për funksionet, autoritetin dhe përgjegjësitë e avokatit të tatimpaguesve, procedurat qëdo të zbatohen prej tij në mbrojtje të interesave të tatimpaguesve, si dhe procedurat që duhet të ndiqen nga tatimpaguesit, për të përfituar mbrojtjen e të drejtave të tyre nga avokati i tatimpaguesve"</dc:title>
  <dc:creator>Entela Suli</dc:creator>
  <cp:lastModifiedBy>Amarilda Halilaj</cp:lastModifiedBy>
  <cp:revision>11</cp:revision>
  <dcterms:created xsi:type="dcterms:W3CDTF">2019-05-17T10:16:00Z</dcterms:created>
  <dcterms:modified xsi:type="dcterms:W3CDTF">2019-05-20T09:38:00Z</dcterms:modified>
</cp:coreProperties>
</file>