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3CDE5" w14:textId="6020FDBD" w:rsidR="00A33017" w:rsidRPr="0056703C" w:rsidRDefault="001A147A" w:rsidP="001A14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703C">
        <w:rPr>
          <w:rFonts w:ascii="Garamond" w:hAnsi="Garamond"/>
          <w:b/>
          <w:sz w:val="24"/>
          <w:szCs w:val="24"/>
        </w:rPr>
        <w:t>UDHËZIM</w:t>
      </w:r>
    </w:p>
    <w:p w14:paraId="70BBFB37" w14:textId="63E55866" w:rsidR="0007187C" w:rsidRPr="0056703C" w:rsidRDefault="001A147A" w:rsidP="001A14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703C">
        <w:rPr>
          <w:rFonts w:ascii="Garamond" w:hAnsi="Garamond"/>
          <w:b/>
          <w:sz w:val="24"/>
          <w:szCs w:val="24"/>
        </w:rPr>
        <w:t>Nr.</w:t>
      </w:r>
      <w:r w:rsidR="0056703C">
        <w:rPr>
          <w:rFonts w:ascii="Garamond" w:hAnsi="Garamond"/>
          <w:b/>
          <w:sz w:val="24"/>
          <w:szCs w:val="24"/>
        </w:rPr>
        <w:t xml:space="preserve"> </w:t>
      </w:r>
      <w:r w:rsidRPr="0056703C">
        <w:rPr>
          <w:rFonts w:ascii="Garamond" w:hAnsi="Garamond"/>
          <w:b/>
          <w:sz w:val="24"/>
          <w:szCs w:val="24"/>
        </w:rPr>
        <w:t>44, datë 9.11.2020</w:t>
      </w:r>
    </w:p>
    <w:p w14:paraId="2E346FCA" w14:textId="77777777" w:rsidR="003045A2" w:rsidRPr="0056703C" w:rsidRDefault="003045A2" w:rsidP="001A14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B169AE" w14:textId="03D6DF24" w:rsidR="003045A2" w:rsidRPr="0056703C" w:rsidRDefault="001A147A" w:rsidP="001A14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703C">
        <w:rPr>
          <w:rFonts w:ascii="Garamond" w:hAnsi="Garamond"/>
          <w:b/>
          <w:sz w:val="24"/>
          <w:szCs w:val="24"/>
        </w:rPr>
        <w:t>PËR NJË</w:t>
      </w:r>
      <w:r w:rsidR="0056703C">
        <w:rPr>
          <w:rFonts w:ascii="Garamond" w:hAnsi="Garamond"/>
          <w:b/>
          <w:sz w:val="24"/>
          <w:szCs w:val="24"/>
        </w:rPr>
        <w:t xml:space="preserve"> </w:t>
      </w:r>
      <w:r w:rsidRPr="0056703C">
        <w:rPr>
          <w:rFonts w:ascii="Garamond" w:hAnsi="Garamond"/>
          <w:b/>
          <w:sz w:val="24"/>
          <w:szCs w:val="24"/>
        </w:rPr>
        <w:t>NDRY</w:t>
      </w:r>
      <w:r w:rsidR="0056703C">
        <w:rPr>
          <w:rFonts w:ascii="Garamond" w:hAnsi="Garamond"/>
          <w:b/>
          <w:sz w:val="24"/>
          <w:szCs w:val="24"/>
        </w:rPr>
        <w:t>SHIM NË UDHËZIMIN NR. 24, DATË 2.</w:t>
      </w:r>
      <w:r w:rsidRPr="0056703C">
        <w:rPr>
          <w:rFonts w:ascii="Garamond" w:hAnsi="Garamond"/>
          <w:b/>
          <w:sz w:val="24"/>
          <w:szCs w:val="24"/>
        </w:rPr>
        <w:t>9.2008</w:t>
      </w:r>
      <w:r w:rsidR="0056703C">
        <w:rPr>
          <w:rFonts w:ascii="Garamond" w:hAnsi="Garamond"/>
          <w:b/>
          <w:sz w:val="24"/>
          <w:szCs w:val="24"/>
        </w:rPr>
        <w:t>,</w:t>
      </w:r>
      <w:r w:rsidRPr="0056703C">
        <w:rPr>
          <w:rFonts w:ascii="Garamond" w:hAnsi="Garamond"/>
          <w:b/>
          <w:sz w:val="24"/>
          <w:szCs w:val="24"/>
        </w:rPr>
        <w:t xml:space="preserve"> </w:t>
      </w:r>
      <w:r w:rsidR="0056703C">
        <w:rPr>
          <w:rFonts w:ascii="Garamond" w:hAnsi="Garamond"/>
          <w:b/>
          <w:sz w:val="24"/>
          <w:szCs w:val="24"/>
        </w:rPr>
        <w:t>“</w:t>
      </w:r>
      <w:r w:rsidRPr="0056703C">
        <w:rPr>
          <w:rFonts w:ascii="Garamond" w:hAnsi="Garamond"/>
          <w:b/>
          <w:sz w:val="24"/>
          <w:szCs w:val="24"/>
        </w:rPr>
        <w:t>PËR PROCEDURAT TATIMORE NË REPUBLIKËN E SHQIPËRISË</w:t>
      </w:r>
      <w:r w:rsidR="0056703C">
        <w:rPr>
          <w:rFonts w:ascii="Garamond" w:hAnsi="Garamond"/>
          <w:b/>
          <w:sz w:val="24"/>
          <w:szCs w:val="24"/>
        </w:rPr>
        <w:t>”</w:t>
      </w:r>
      <w:r w:rsidRPr="0056703C">
        <w:rPr>
          <w:rFonts w:ascii="Garamond" w:hAnsi="Garamond"/>
          <w:b/>
          <w:sz w:val="24"/>
          <w:szCs w:val="24"/>
        </w:rPr>
        <w:t xml:space="preserve">, </w:t>
      </w:r>
      <w:r w:rsidR="0056703C">
        <w:rPr>
          <w:rFonts w:ascii="Garamond" w:hAnsi="Garamond"/>
          <w:b/>
          <w:sz w:val="24"/>
          <w:szCs w:val="24"/>
        </w:rPr>
        <w:t xml:space="preserve">TË </w:t>
      </w:r>
      <w:r w:rsidRPr="0056703C">
        <w:rPr>
          <w:rFonts w:ascii="Garamond" w:hAnsi="Garamond"/>
          <w:b/>
          <w:sz w:val="24"/>
          <w:szCs w:val="24"/>
        </w:rPr>
        <w:t>NDRYSHUAR</w:t>
      </w:r>
    </w:p>
    <w:p w14:paraId="48C40C63" w14:textId="77777777" w:rsidR="001A147A" w:rsidRPr="0056703C" w:rsidRDefault="001A147A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301520" w14:textId="3EBB00C1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Në mbështetje të nenit 102, pika 4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Kushtetutës së Republikës së Shqipërisë, të nenit 10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pika 1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ligjit nr.</w:t>
      </w:r>
      <w:r w:rsidR="0056703C">
        <w:rPr>
          <w:rFonts w:ascii="Garamond" w:hAnsi="Garamond"/>
          <w:sz w:val="24"/>
          <w:szCs w:val="24"/>
        </w:rPr>
        <w:t xml:space="preserve"> 9920, datë 19.</w:t>
      </w:r>
      <w:r w:rsidRPr="0056703C">
        <w:rPr>
          <w:rFonts w:ascii="Garamond" w:hAnsi="Garamond"/>
          <w:sz w:val="24"/>
          <w:szCs w:val="24"/>
        </w:rPr>
        <w:t>5.2008</w:t>
      </w:r>
      <w:r w:rsidR="0056703C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“Për </w:t>
      </w:r>
      <w:r w:rsidR="006275E7" w:rsidRPr="0056703C">
        <w:rPr>
          <w:rFonts w:ascii="Garamond" w:hAnsi="Garamond"/>
          <w:sz w:val="24"/>
          <w:szCs w:val="24"/>
        </w:rPr>
        <w:t>procedurat tatimore në Republikën</w:t>
      </w:r>
      <w:r w:rsidR="006275E7">
        <w:rPr>
          <w:rFonts w:ascii="Garamond" w:hAnsi="Garamond"/>
          <w:sz w:val="24"/>
          <w:szCs w:val="24"/>
        </w:rPr>
        <w:t xml:space="preserve"> e Shqipërisë”, të</w:t>
      </w:r>
      <w:r w:rsidRPr="0056703C">
        <w:rPr>
          <w:rFonts w:ascii="Garamond" w:hAnsi="Garamond"/>
          <w:sz w:val="24"/>
          <w:szCs w:val="24"/>
        </w:rPr>
        <w:t xml:space="preserve"> ndryshuar, </w:t>
      </w:r>
      <w:r w:rsidR="006275E7" w:rsidRPr="0056703C">
        <w:rPr>
          <w:rFonts w:ascii="Garamond" w:hAnsi="Garamond"/>
          <w:sz w:val="24"/>
          <w:szCs w:val="24"/>
        </w:rPr>
        <w:t xml:space="preserve">ministri </w:t>
      </w:r>
      <w:r w:rsidR="006275E7">
        <w:rPr>
          <w:rFonts w:ascii="Garamond" w:hAnsi="Garamond"/>
          <w:sz w:val="24"/>
          <w:szCs w:val="24"/>
        </w:rPr>
        <w:t>i Financave dhe Ekonomisë</w:t>
      </w:r>
    </w:p>
    <w:p w14:paraId="241C1ED6" w14:textId="77777777" w:rsidR="001A147A" w:rsidRPr="0056703C" w:rsidRDefault="001A147A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72918" w14:textId="77777777" w:rsidR="003045A2" w:rsidRPr="0056703C" w:rsidRDefault="003045A2" w:rsidP="001A14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UDHËZON</w:t>
      </w:r>
    </w:p>
    <w:p w14:paraId="65D7CEA8" w14:textId="77777777" w:rsidR="001A147A" w:rsidRPr="0056703C" w:rsidRDefault="001A147A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E04799" w14:textId="612E6339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Në udhëzimin nr.</w:t>
      </w:r>
      <w:r w:rsidR="0056703C">
        <w:rPr>
          <w:rFonts w:ascii="Garamond" w:hAnsi="Garamond"/>
          <w:sz w:val="24"/>
          <w:szCs w:val="24"/>
        </w:rPr>
        <w:t xml:space="preserve"> </w:t>
      </w:r>
      <w:r w:rsidR="006275E7">
        <w:rPr>
          <w:rFonts w:ascii="Garamond" w:hAnsi="Garamond"/>
          <w:sz w:val="24"/>
          <w:szCs w:val="24"/>
        </w:rPr>
        <w:t>24, datë 2.</w:t>
      </w:r>
      <w:r w:rsidRPr="0056703C">
        <w:rPr>
          <w:rFonts w:ascii="Garamond" w:hAnsi="Garamond"/>
          <w:sz w:val="24"/>
          <w:szCs w:val="24"/>
        </w:rPr>
        <w:t>9.2008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“Për procedurat tatimore në Republikën e Shqipërisë”, </w:t>
      </w:r>
      <w:r w:rsidR="006275E7">
        <w:rPr>
          <w:rFonts w:ascii="Garamond" w:hAnsi="Garamond"/>
          <w:sz w:val="24"/>
          <w:szCs w:val="24"/>
        </w:rPr>
        <w:t>të</w:t>
      </w:r>
      <w:r w:rsidRPr="0056703C">
        <w:rPr>
          <w:rFonts w:ascii="Garamond" w:hAnsi="Garamond"/>
          <w:sz w:val="24"/>
          <w:szCs w:val="24"/>
        </w:rPr>
        <w:t xml:space="preserve"> ndryshuar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bëhen këto ndryshime:</w:t>
      </w:r>
    </w:p>
    <w:p w14:paraId="6BB8C470" w14:textId="382DD416" w:rsidR="003045A2" w:rsidRPr="0056703C" w:rsidRDefault="002810D0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1. </w:t>
      </w:r>
      <w:r w:rsidR="003045A2" w:rsidRPr="0056703C">
        <w:rPr>
          <w:rFonts w:ascii="Garamond" w:hAnsi="Garamond"/>
          <w:sz w:val="24"/>
          <w:szCs w:val="24"/>
        </w:rPr>
        <w:t>Pika 90.1 ndryshon me këtë përmbajtje:</w:t>
      </w:r>
    </w:p>
    <w:p w14:paraId="174321ED" w14:textId="0DAC15BF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 w:rsidDel="00A13736">
        <w:rPr>
          <w:rFonts w:ascii="Garamond" w:hAnsi="Garamond"/>
          <w:sz w:val="24"/>
          <w:szCs w:val="24"/>
        </w:rPr>
        <w:t xml:space="preserve"> </w:t>
      </w:r>
      <w:r w:rsidR="006275E7">
        <w:rPr>
          <w:rFonts w:ascii="Garamond" w:hAnsi="Garamond"/>
          <w:sz w:val="24"/>
          <w:szCs w:val="24"/>
        </w:rPr>
        <w:t>“</w:t>
      </w:r>
      <w:r w:rsidRPr="0056703C">
        <w:rPr>
          <w:rFonts w:ascii="Garamond" w:hAnsi="Garamond"/>
          <w:sz w:val="24"/>
          <w:szCs w:val="24"/>
        </w:rPr>
        <w:t>90.1 Në kuptim të paragrafit 1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nenit 90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si datë e mospagimit në mënyrë vullnetare të detyrimeve tatimore do të merret dita e parë e punës mbas datës së vendosur në njoftimin e bërë nga ana e administratës tatimore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sipas paragrafit 1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nenit 89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ligjit dhe procedurave dhe afateve të parashikuara në paragrafin 3</w:t>
      </w:r>
      <w:r w:rsidR="006275E7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nenit 23. </w:t>
      </w:r>
    </w:p>
    <w:p w14:paraId="172D4E34" w14:textId="15E0DE5A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rast se në këtë datë nga ana e tatimpaguesit nuk është paguar detyrimi tatimor, drejtori i drejtorisë përgjegjëse për mbledhjen e detyrimeve të papaguara apo drejtuesi i njësisë së ngjashme me të, apo titullari i zyrës tatimore të qeverisjes vendore, nxjerr </w:t>
      </w:r>
      <w:proofErr w:type="spellStart"/>
      <w:r w:rsidR="006275E7" w:rsidRPr="0056703C">
        <w:rPr>
          <w:rFonts w:ascii="Garamond" w:hAnsi="Garamond"/>
          <w:sz w:val="24"/>
          <w:szCs w:val="24"/>
        </w:rPr>
        <w:t>urdhërbllokimin</w:t>
      </w:r>
      <w:proofErr w:type="spellEnd"/>
      <w:r w:rsidR="006275E7" w:rsidRP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 xml:space="preserve">e llogarive bankare dhe të llogarive depozitë të tatimpaguesit, si masë për garantimin e mbledhjes me forcë të detyrimit tatimor. Ky </w:t>
      </w:r>
      <w:r w:rsidR="008A7C56" w:rsidRPr="0056703C">
        <w:rPr>
          <w:rFonts w:ascii="Garamond" w:hAnsi="Garamond"/>
          <w:sz w:val="24"/>
          <w:szCs w:val="24"/>
        </w:rPr>
        <w:t xml:space="preserve">urdhër bllokimi </w:t>
      </w:r>
      <w:r w:rsidR="008A7C56">
        <w:rPr>
          <w:rFonts w:ascii="Garamond" w:hAnsi="Garamond"/>
          <w:sz w:val="24"/>
          <w:szCs w:val="24"/>
        </w:rPr>
        <w:t>u</w:t>
      </w:r>
      <w:r w:rsidRPr="0056703C">
        <w:rPr>
          <w:rFonts w:ascii="Garamond" w:hAnsi="Garamond"/>
          <w:sz w:val="24"/>
          <w:szCs w:val="24"/>
        </w:rPr>
        <w:t xml:space="preserve"> dërgohet bankave te të cilat administrata tatimore ka dijeni se tatimpaguesi ka llogarinë e tij.</w:t>
      </w:r>
      <w:r w:rsidR="0056703C">
        <w:rPr>
          <w:rFonts w:ascii="Garamond" w:hAnsi="Garamond"/>
          <w:sz w:val="24"/>
          <w:szCs w:val="24"/>
        </w:rPr>
        <w:t xml:space="preserve"> </w:t>
      </w:r>
    </w:p>
    <w:p w14:paraId="570F21CA" w14:textId="3326898E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Urdhri i </w:t>
      </w:r>
      <w:r w:rsidR="008A7C56" w:rsidRPr="0056703C">
        <w:rPr>
          <w:rFonts w:ascii="Garamond" w:hAnsi="Garamond"/>
          <w:sz w:val="24"/>
          <w:szCs w:val="24"/>
        </w:rPr>
        <w:t xml:space="preserve">bllokimit </w:t>
      </w:r>
      <w:r w:rsidRPr="0056703C">
        <w:rPr>
          <w:rFonts w:ascii="Garamond" w:hAnsi="Garamond"/>
          <w:sz w:val="24"/>
          <w:szCs w:val="24"/>
        </w:rPr>
        <w:t>mund të dërgohet me postë ose në rrugë elektronike (në adresat e postës elektronike që administrata tatimore dh</w:t>
      </w:r>
      <w:r w:rsidR="008A7C56">
        <w:rPr>
          <w:rFonts w:ascii="Garamond" w:hAnsi="Garamond"/>
          <w:sz w:val="24"/>
          <w:szCs w:val="24"/>
        </w:rPr>
        <w:t>e banka i kanë komunikuar njëra-</w:t>
      </w:r>
      <w:r w:rsidRPr="0056703C">
        <w:rPr>
          <w:rFonts w:ascii="Garamond" w:hAnsi="Garamond"/>
          <w:sz w:val="24"/>
          <w:szCs w:val="24"/>
        </w:rPr>
        <w:t>tjetrës zyrtarisht).</w:t>
      </w:r>
      <w:r w:rsidR="0056703C">
        <w:rPr>
          <w:rFonts w:ascii="Garamond" w:hAnsi="Garamond"/>
          <w:sz w:val="24"/>
          <w:szCs w:val="24"/>
        </w:rPr>
        <w:t xml:space="preserve"> </w:t>
      </w:r>
    </w:p>
    <w:p w14:paraId="0607A357" w14:textId="15A5A4DE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rast se administrata tatimore lëshon </w:t>
      </w:r>
      <w:r w:rsidR="0056703C" w:rsidRPr="0056703C">
        <w:rPr>
          <w:rFonts w:ascii="Garamond" w:hAnsi="Garamond"/>
          <w:sz w:val="24"/>
          <w:szCs w:val="24"/>
        </w:rPr>
        <w:t xml:space="preserve">urdhra bllokimi </w:t>
      </w:r>
      <w:r w:rsidRPr="0056703C">
        <w:rPr>
          <w:rFonts w:ascii="Garamond" w:hAnsi="Garamond"/>
          <w:sz w:val="24"/>
          <w:szCs w:val="24"/>
        </w:rPr>
        <w:t>për më shumë se 20 tatimpagues, në të njëjtën ditë, at</w:t>
      </w:r>
      <w:r w:rsidR="008A7C56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duhet të dërgohen në format elektronik. Në të dyja rastet, çdo </w:t>
      </w:r>
      <w:r w:rsidR="008A7C56" w:rsidRPr="0056703C">
        <w:rPr>
          <w:rFonts w:ascii="Garamond" w:hAnsi="Garamond"/>
          <w:sz w:val="24"/>
          <w:szCs w:val="24"/>
        </w:rPr>
        <w:t xml:space="preserve">urdhër bllokimi </w:t>
      </w:r>
      <w:r w:rsidRPr="0056703C">
        <w:rPr>
          <w:rFonts w:ascii="Garamond" w:hAnsi="Garamond"/>
          <w:sz w:val="24"/>
          <w:szCs w:val="24"/>
        </w:rPr>
        <w:t>duhet të përmbajë të gjith</w:t>
      </w:r>
      <w:r w:rsidR="008A7C56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element</w:t>
      </w:r>
      <w:r w:rsidR="008A7C56">
        <w:rPr>
          <w:rFonts w:ascii="Garamond" w:hAnsi="Garamond"/>
          <w:sz w:val="24"/>
          <w:szCs w:val="24"/>
        </w:rPr>
        <w:t>e</w:t>
      </w:r>
      <w:r w:rsidRPr="0056703C">
        <w:rPr>
          <w:rFonts w:ascii="Garamond" w:hAnsi="Garamond"/>
          <w:sz w:val="24"/>
          <w:szCs w:val="24"/>
        </w:rPr>
        <w:t>t e përshkruar</w:t>
      </w:r>
      <w:r w:rsidR="00DC0B53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si më poshtë.</w:t>
      </w:r>
    </w:p>
    <w:p w14:paraId="02895E8C" w14:textId="6EBEDD36" w:rsidR="003045A2" w:rsidRPr="0056703C" w:rsidRDefault="003045A2" w:rsidP="002810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urdhër përshkruhet identiteti i plotë i tatimpaguesit (personit juridik, personit fizik tregtar apo individit), llogaritë e të cilit preken nga dalja e këtij urdhri, që duhet të përmbajë detyrimisht emrin e plotë dhe </w:t>
      </w:r>
      <w:proofErr w:type="spellStart"/>
      <w:r w:rsidRPr="0056703C">
        <w:rPr>
          <w:rFonts w:ascii="Garamond" w:hAnsi="Garamond"/>
          <w:sz w:val="24"/>
          <w:szCs w:val="24"/>
        </w:rPr>
        <w:t>NIPT</w:t>
      </w:r>
      <w:proofErr w:type="spellEnd"/>
      <w:r w:rsidRPr="0056703C">
        <w:rPr>
          <w:rFonts w:ascii="Garamond" w:hAnsi="Garamond"/>
          <w:sz w:val="24"/>
          <w:szCs w:val="24"/>
        </w:rPr>
        <w:t>-in përkatës të</w:t>
      </w:r>
      <w:r w:rsid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 xml:space="preserve">subjekteve tregtare. Urdhri i </w:t>
      </w:r>
      <w:r w:rsidR="008A7C56" w:rsidRPr="0056703C">
        <w:rPr>
          <w:rFonts w:ascii="Garamond" w:hAnsi="Garamond"/>
          <w:sz w:val="24"/>
          <w:szCs w:val="24"/>
        </w:rPr>
        <w:t xml:space="preserve">bllokimit </w:t>
      </w:r>
      <w:r w:rsidRPr="0056703C">
        <w:rPr>
          <w:rFonts w:ascii="Garamond" w:hAnsi="Garamond"/>
          <w:sz w:val="24"/>
          <w:szCs w:val="24"/>
        </w:rPr>
        <w:t>duhet të përmbajë shkakun e nxjerrjes së tij, llojin e detyrimit që po ekzekutohet, datën kur tatimpaguesi duhej ta kishte paguar vetë detyrimin tatimor</w:t>
      </w:r>
      <w:r w:rsidR="008A7C56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si dhe shumën që bankat duhet të bllokojnë (në çdo rast, shuma që kërkohet të bllokohet nga </w:t>
      </w:r>
      <w:r w:rsidR="002810D0" w:rsidRPr="0056703C">
        <w:rPr>
          <w:rFonts w:ascii="Garamond" w:hAnsi="Garamond"/>
          <w:sz w:val="24"/>
          <w:szCs w:val="24"/>
        </w:rPr>
        <w:t xml:space="preserve">bankat, është shuma më e vogël </w:t>
      </w:r>
      <w:r w:rsidRPr="0056703C">
        <w:rPr>
          <w:rFonts w:ascii="Garamond" w:hAnsi="Garamond"/>
          <w:sz w:val="24"/>
          <w:szCs w:val="24"/>
        </w:rPr>
        <w:t xml:space="preserve">ndërmjet shumës që administrata tatimore kërkon të marrë me shumën që rezulton në llogarinë bankare të tatimpaguesit në momentin e nxjerrjes së </w:t>
      </w:r>
      <w:proofErr w:type="spellStart"/>
      <w:r w:rsidR="008A7C56" w:rsidRPr="0056703C">
        <w:rPr>
          <w:rFonts w:ascii="Garamond" w:hAnsi="Garamond"/>
          <w:sz w:val="24"/>
          <w:szCs w:val="24"/>
        </w:rPr>
        <w:t>urdhërbllokimit</w:t>
      </w:r>
      <w:proofErr w:type="spellEnd"/>
      <w:r w:rsidRPr="0056703C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</w:p>
    <w:p w14:paraId="7E906E40" w14:textId="62D282CE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Nëse </w:t>
      </w:r>
      <w:r w:rsidR="008A7C56" w:rsidRPr="0056703C">
        <w:rPr>
          <w:rFonts w:ascii="Garamond" w:hAnsi="Garamond"/>
          <w:sz w:val="24"/>
          <w:szCs w:val="24"/>
        </w:rPr>
        <w:t xml:space="preserve">urdhri i bllokimit </w:t>
      </w:r>
      <w:r w:rsidRPr="0056703C">
        <w:rPr>
          <w:rFonts w:ascii="Garamond" w:hAnsi="Garamond"/>
          <w:sz w:val="24"/>
          <w:szCs w:val="24"/>
        </w:rPr>
        <w:t>nuk përmban elementet e përcaktuar</w:t>
      </w:r>
      <w:r w:rsidR="008A7C56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si më sipër dhe banka e ka të pamundur të identifikojë saktë subjektin, ajo nuk vendos masën e bllokimit të llogarive /depozitave, por njofton administratën tatimore në lidhje me mangësitë e konstatuara. </w:t>
      </w:r>
    </w:p>
    <w:p w14:paraId="61255832" w14:textId="656728AF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Kur </w:t>
      </w:r>
      <w:r w:rsidR="008A7C56" w:rsidRPr="0056703C">
        <w:rPr>
          <w:rFonts w:ascii="Garamond" w:hAnsi="Garamond"/>
          <w:sz w:val="24"/>
          <w:szCs w:val="24"/>
        </w:rPr>
        <w:t xml:space="preserve">urdhri i bllokimit </w:t>
      </w:r>
      <w:r w:rsidRPr="0056703C">
        <w:rPr>
          <w:rFonts w:ascii="Garamond" w:hAnsi="Garamond"/>
          <w:sz w:val="24"/>
          <w:szCs w:val="24"/>
        </w:rPr>
        <w:t>përmban elementet e përcaktuar</w:t>
      </w:r>
      <w:r w:rsidR="008A7C56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si më sipër, Banka, brenda ditës së nesërme të punës nga dita e marrjes së </w:t>
      </w:r>
      <w:r w:rsidR="008A7C56" w:rsidRPr="0056703C">
        <w:rPr>
          <w:rFonts w:ascii="Garamond" w:hAnsi="Garamond"/>
          <w:sz w:val="24"/>
          <w:szCs w:val="24"/>
        </w:rPr>
        <w:t>urdhrit</w:t>
      </w:r>
      <w:r w:rsidRPr="0056703C">
        <w:rPr>
          <w:rFonts w:ascii="Garamond" w:hAnsi="Garamond"/>
          <w:sz w:val="24"/>
          <w:szCs w:val="24"/>
        </w:rPr>
        <w:t>, bën bllokimin e llogarive/depozitave të tatimpaguesit, deri në shumën e detyrimit tatimor të papaguar dhe brenda 5 ditë</w:t>
      </w:r>
      <w:r w:rsidR="008A7C56">
        <w:rPr>
          <w:rFonts w:ascii="Garamond" w:hAnsi="Garamond"/>
          <w:sz w:val="24"/>
          <w:szCs w:val="24"/>
        </w:rPr>
        <w:t>ve</w:t>
      </w:r>
      <w:r w:rsidRPr="0056703C">
        <w:rPr>
          <w:rFonts w:ascii="Garamond" w:hAnsi="Garamond"/>
          <w:sz w:val="24"/>
          <w:szCs w:val="24"/>
        </w:rPr>
        <w:t xml:space="preserve"> pune nga marrja e </w:t>
      </w:r>
      <w:r w:rsidR="008A7C56" w:rsidRPr="0056703C">
        <w:rPr>
          <w:rFonts w:ascii="Garamond" w:hAnsi="Garamond"/>
          <w:sz w:val="24"/>
          <w:szCs w:val="24"/>
        </w:rPr>
        <w:t xml:space="preserve">urdhrit </w:t>
      </w:r>
      <w:r w:rsidRPr="0056703C">
        <w:rPr>
          <w:rFonts w:ascii="Garamond" w:hAnsi="Garamond"/>
          <w:sz w:val="24"/>
          <w:szCs w:val="24"/>
        </w:rPr>
        <w:t>njofton administratën tatimore për gjendjet e llogarive/depozitave të tatimpaguesit. Në qoftë se tatimpaguesi ka më shumë se një llogari në të njëjtën bankë, banka, mbi bazën e urdhrit të organit tatimor, bllokon vetëm llogarinë/llogaritë që kanë shumën e mjaftueshme të detyrimit të papaguar.</w:t>
      </w:r>
    </w:p>
    <w:p w14:paraId="76B12932" w14:textId="315793F4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lastRenderedPageBreak/>
        <w:t xml:space="preserve">Informacioni në lidhje me gjendjet e llogarive/depozitave të bllokuara mund të dërgohet nga banka me shkresë zyrtare ose në rrugë elektronike. Gjithashtu, brenda këtij afati banka bën njoftimin e debitorit me shkrim ose në mënyrë elektronike për marrjen e </w:t>
      </w:r>
      <w:r w:rsidR="008A7C56" w:rsidRPr="0056703C">
        <w:rPr>
          <w:rFonts w:ascii="Garamond" w:hAnsi="Garamond"/>
          <w:sz w:val="24"/>
          <w:szCs w:val="24"/>
        </w:rPr>
        <w:t>urdhrit të bllokimit</w:t>
      </w:r>
      <w:r w:rsidRPr="0056703C">
        <w:rPr>
          <w:rFonts w:ascii="Garamond" w:hAnsi="Garamond"/>
          <w:sz w:val="24"/>
          <w:szCs w:val="24"/>
        </w:rPr>
        <w:t>.</w:t>
      </w:r>
    </w:p>
    <w:p w14:paraId="0F5FA1BE" w14:textId="2380E7BF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Brenda 2 ditëve pune nga marrja dijeni për bllokimin e shumave të caktuara në llogaritë/depozitat bankare, administrata tatimore i dërgon bankës apo bankave të cilat kanë konfirmuar gjendjet në llogari, një </w:t>
      </w:r>
      <w:r w:rsidR="008A7C56" w:rsidRPr="0056703C">
        <w:rPr>
          <w:rFonts w:ascii="Garamond" w:hAnsi="Garamond"/>
          <w:sz w:val="24"/>
          <w:szCs w:val="24"/>
        </w:rPr>
        <w:t>urdhër ekzekutimi</w:t>
      </w:r>
      <w:r w:rsidRPr="0056703C">
        <w:rPr>
          <w:rFonts w:ascii="Garamond" w:hAnsi="Garamond"/>
          <w:sz w:val="24"/>
          <w:szCs w:val="24"/>
        </w:rPr>
        <w:t xml:space="preserve">, i cili duhet të përmbajë shumën që kërkohet të transferohet, si dhe numrat e llogarive. Urdhri i </w:t>
      </w:r>
      <w:r w:rsidR="008A7C56" w:rsidRPr="0056703C">
        <w:rPr>
          <w:rFonts w:ascii="Garamond" w:hAnsi="Garamond"/>
          <w:sz w:val="24"/>
          <w:szCs w:val="24"/>
        </w:rPr>
        <w:t>ekzeku</w:t>
      </w:r>
      <w:r w:rsidRPr="0056703C">
        <w:rPr>
          <w:rFonts w:ascii="Garamond" w:hAnsi="Garamond"/>
          <w:sz w:val="24"/>
          <w:szCs w:val="24"/>
        </w:rPr>
        <w:t xml:space="preserve">timit duhet të jetë i shoqëruar edhe me urdhër pagese ose faturë për arkëtim, ku përcaktohen kodet e llogarive apo </w:t>
      </w:r>
      <w:proofErr w:type="spellStart"/>
      <w:r w:rsidRPr="0056703C">
        <w:rPr>
          <w:rFonts w:ascii="Garamond" w:hAnsi="Garamond"/>
          <w:i/>
          <w:sz w:val="24"/>
          <w:szCs w:val="24"/>
        </w:rPr>
        <w:t>barcod</w:t>
      </w:r>
      <w:r w:rsidR="0056703C">
        <w:rPr>
          <w:rFonts w:ascii="Garamond" w:hAnsi="Garamond"/>
          <w:i/>
          <w:sz w:val="24"/>
          <w:szCs w:val="24"/>
        </w:rPr>
        <w:t>e</w:t>
      </w:r>
      <w:proofErr w:type="spellEnd"/>
      <w:r w:rsidRPr="0056703C">
        <w:rPr>
          <w:rFonts w:ascii="Garamond" w:hAnsi="Garamond"/>
          <w:sz w:val="24"/>
          <w:szCs w:val="24"/>
        </w:rPr>
        <w:t xml:space="preserve">-t. </w:t>
      </w:r>
    </w:p>
    <w:p w14:paraId="63A021DD" w14:textId="073B6B39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Transferimi i shumës mbi bazën e </w:t>
      </w:r>
      <w:r w:rsidR="008A7C56" w:rsidRPr="0056703C">
        <w:rPr>
          <w:rFonts w:ascii="Garamond" w:hAnsi="Garamond"/>
          <w:sz w:val="24"/>
          <w:szCs w:val="24"/>
        </w:rPr>
        <w:t xml:space="preserve">urdhrit të ekzekutimit </w:t>
      </w:r>
      <w:r w:rsidRPr="0056703C">
        <w:rPr>
          <w:rFonts w:ascii="Garamond" w:hAnsi="Garamond"/>
          <w:sz w:val="24"/>
          <w:szCs w:val="24"/>
        </w:rPr>
        <w:t xml:space="preserve">bëhet nga banka jo më vonë se 3 ditë pune nga dita e marrjes së </w:t>
      </w:r>
      <w:r w:rsidR="008A7C56" w:rsidRPr="0056703C">
        <w:rPr>
          <w:rFonts w:ascii="Garamond" w:hAnsi="Garamond"/>
          <w:sz w:val="24"/>
          <w:szCs w:val="24"/>
        </w:rPr>
        <w:t>urdhrit</w:t>
      </w:r>
      <w:r w:rsidRPr="0056703C">
        <w:rPr>
          <w:rFonts w:ascii="Garamond" w:hAnsi="Garamond"/>
          <w:sz w:val="24"/>
          <w:szCs w:val="24"/>
        </w:rPr>
        <w:t>. Për kryerjen e këtij veprimi dhe brenda të njëjtit afat, banka njofton administratën tatimore dhe subjektin me shkrim ose në rrugë elektronike.</w:t>
      </w:r>
    </w:p>
    <w:p w14:paraId="617A1274" w14:textId="30E07A46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rast se detyrimi i tatimpaguesit ekzekutohet plotësisht, administrata tatimore dërgon menjëherë një </w:t>
      </w:r>
      <w:r w:rsidR="00916E2B" w:rsidRPr="0056703C">
        <w:rPr>
          <w:rFonts w:ascii="Garamond" w:hAnsi="Garamond"/>
          <w:sz w:val="24"/>
          <w:szCs w:val="24"/>
        </w:rPr>
        <w:t xml:space="preserve">urdhër zhbllokimi </w:t>
      </w:r>
      <w:r w:rsidRPr="0056703C">
        <w:rPr>
          <w:rFonts w:ascii="Garamond" w:hAnsi="Garamond"/>
          <w:sz w:val="24"/>
          <w:szCs w:val="24"/>
        </w:rPr>
        <w:t>në adresë të bankave ku tatimpaguesi është klient.</w:t>
      </w:r>
    </w:p>
    <w:p w14:paraId="0B5C39F7" w14:textId="35E5D0C4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rast se detyrimi i tatimpaguesit ekzekutohet pjesërisht, administrata tatimore dërgon një </w:t>
      </w:r>
      <w:r w:rsidR="00916E2B" w:rsidRPr="0056703C">
        <w:rPr>
          <w:rFonts w:ascii="Garamond" w:hAnsi="Garamond"/>
          <w:sz w:val="24"/>
          <w:szCs w:val="24"/>
        </w:rPr>
        <w:t xml:space="preserve">urdhër të ri bllokimi </w:t>
      </w:r>
      <w:r w:rsidRPr="0056703C">
        <w:rPr>
          <w:rFonts w:ascii="Garamond" w:hAnsi="Garamond"/>
          <w:sz w:val="24"/>
          <w:szCs w:val="24"/>
        </w:rPr>
        <w:t>drejtuar bankave</w:t>
      </w:r>
      <w:r w:rsidR="00916E2B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ku </w:t>
      </w:r>
      <w:r w:rsidR="00916E2B">
        <w:rPr>
          <w:rFonts w:ascii="Garamond" w:hAnsi="Garamond"/>
          <w:sz w:val="24"/>
          <w:szCs w:val="24"/>
        </w:rPr>
        <w:t>tatimpaguesi ka llogari bankare</w:t>
      </w:r>
      <w:r w:rsidRPr="0056703C">
        <w:rPr>
          <w:rFonts w:ascii="Garamond" w:hAnsi="Garamond"/>
          <w:sz w:val="24"/>
          <w:szCs w:val="24"/>
        </w:rPr>
        <w:t xml:space="preserve"> për shumën e detyrimit tatimor të papaguar që rezulton mbas kryerjes së ekzekutimit të pjesshëm. </w:t>
      </w:r>
    </w:p>
    <w:p w14:paraId="68BFFCE9" w14:textId="2B395B80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Në rast se tatimpaguesi nuk ka gjendje në llogaritë bankare në asnjë nga bankat, llogaritë do të vazhdojnë të mbahen të bllokuara në bazë të </w:t>
      </w:r>
      <w:proofErr w:type="spellStart"/>
      <w:r w:rsidR="00916E2B" w:rsidRPr="0056703C">
        <w:rPr>
          <w:rFonts w:ascii="Garamond" w:hAnsi="Garamond"/>
          <w:sz w:val="24"/>
          <w:szCs w:val="24"/>
        </w:rPr>
        <w:t>urdhërbllokimit</w:t>
      </w:r>
      <w:proofErr w:type="spellEnd"/>
      <w:r w:rsidR="00916E2B">
        <w:rPr>
          <w:rFonts w:ascii="Garamond" w:hAnsi="Garamond"/>
          <w:sz w:val="24"/>
          <w:szCs w:val="24"/>
        </w:rPr>
        <w:t>,</w:t>
      </w:r>
      <w:r w:rsidR="00916E2B" w:rsidRP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>që është lëshuar nga administrata tatimore.</w:t>
      </w:r>
    </w:p>
    <w:p w14:paraId="169905D6" w14:textId="63833D85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Në zbatim të nenit 99</w:t>
      </w:r>
      <w:r w:rsidR="00916E2B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të ligjit nr.</w:t>
      </w:r>
      <w:r w:rsid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 xml:space="preserve">9920/2008, nëse pas zbatimit ndaj subjektit të </w:t>
      </w:r>
      <w:proofErr w:type="spellStart"/>
      <w:r w:rsidRPr="0056703C">
        <w:rPr>
          <w:rFonts w:ascii="Garamond" w:hAnsi="Garamond"/>
          <w:sz w:val="24"/>
          <w:szCs w:val="24"/>
        </w:rPr>
        <w:t>të</w:t>
      </w:r>
      <w:proofErr w:type="spellEnd"/>
      <w:r w:rsidRPr="0056703C">
        <w:rPr>
          <w:rFonts w:ascii="Garamond" w:hAnsi="Garamond"/>
          <w:sz w:val="24"/>
          <w:szCs w:val="24"/>
        </w:rPr>
        <w:t xml:space="preserve"> gjith</w:t>
      </w:r>
      <w:r w:rsidR="00916E2B">
        <w:rPr>
          <w:rFonts w:ascii="Garamond" w:hAnsi="Garamond"/>
          <w:sz w:val="24"/>
          <w:szCs w:val="24"/>
        </w:rPr>
        <w:t>a</w:t>
      </w:r>
      <w:r w:rsidRPr="0056703C">
        <w:rPr>
          <w:rFonts w:ascii="Garamond" w:hAnsi="Garamond"/>
          <w:sz w:val="24"/>
          <w:szCs w:val="24"/>
        </w:rPr>
        <w:t xml:space="preserve"> masave shtrënguese për </w:t>
      </w:r>
      <w:r w:rsidR="00E82523">
        <w:rPr>
          <w:rFonts w:ascii="Garamond" w:hAnsi="Garamond"/>
          <w:sz w:val="24"/>
          <w:szCs w:val="24"/>
        </w:rPr>
        <w:t>mbledhjen me forcë të detyrimit</w:t>
      </w:r>
      <w:r w:rsidRPr="0056703C">
        <w:rPr>
          <w:rFonts w:ascii="Garamond" w:hAnsi="Garamond"/>
          <w:sz w:val="24"/>
          <w:szCs w:val="24"/>
        </w:rPr>
        <w:t xml:space="preserve"> (duke përfshirë edhe shitjen e pasurisë së sekuestruar)</w:t>
      </w:r>
      <w:r w:rsidR="00E82523">
        <w:rPr>
          <w:rFonts w:ascii="Garamond" w:hAnsi="Garamond"/>
          <w:sz w:val="24"/>
          <w:szCs w:val="24"/>
        </w:rPr>
        <w:t>,</w:t>
      </w:r>
      <w:r w:rsidRPr="0056703C">
        <w:rPr>
          <w:rFonts w:ascii="Garamond" w:hAnsi="Garamond"/>
          <w:sz w:val="24"/>
          <w:szCs w:val="24"/>
        </w:rPr>
        <w:t xml:space="preserve"> detyrimet tatimore të personit juridik nuk shlyhen plotësisht, administrata tatimore e transferon detyrimin tatimor të mbetur të subjektit tek ortaku, </w:t>
      </w:r>
      <w:r w:rsidR="0056703C" w:rsidRPr="0056703C">
        <w:rPr>
          <w:rFonts w:ascii="Garamond" w:hAnsi="Garamond"/>
          <w:sz w:val="24"/>
          <w:szCs w:val="24"/>
        </w:rPr>
        <w:t>aksionari</w:t>
      </w:r>
      <w:r w:rsidRPr="0056703C">
        <w:rPr>
          <w:rFonts w:ascii="Garamond" w:hAnsi="Garamond"/>
          <w:sz w:val="24"/>
          <w:szCs w:val="24"/>
        </w:rPr>
        <w:t xml:space="preserve"> dhe administratori. Për këtë qëllim, fillimisht administrata tatimore garanton mbledhjen e detyrimit nëpërmjet vendosjes së </w:t>
      </w:r>
      <w:proofErr w:type="spellStart"/>
      <w:r w:rsidR="00E82523" w:rsidRPr="0056703C">
        <w:rPr>
          <w:rFonts w:ascii="Garamond" w:hAnsi="Garamond"/>
          <w:sz w:val="24"/>
          <w:szCs w:val="24"/>
        </w:rPr>
        <w:t>urdhërbllokimit</w:t>
      </w:r>
      <w:proofErr w:type="spellEnd"/>
      <w:r w:rsidR="00E82523" w:rsidRP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>mbi llogaritë</w:t>
      </w:r>
      <w:r w:rsid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>dhe depozitat e</w:t>
      </w:r>
      <w:r w:rsid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>ortakëve, aksionarëve dhe administratorëve të subjektit dhe më pas zbaton ndaj tyre masat shtrënguese të mbledhjes me forcë të parashikuara në L</w:t>
      </w:r>
      <w:r w:rsidR="00E82523" w:rsidRPr="0056703C">
        <w:rPr>
          <w:rFonts w:ascii="Garamond" w:hAnsi="Garamond"/>
          <w:sz w:val="24"/>
          <w:szCs w:val="24"/>
        </w:rPr>
        <w:t>i</w:t>
      </w:r>
      <w:r w:rsidRPr="0056703C">
        <w:rPr>
          <w:rFonts w:ascii="Garamond" w:hAnsi="Garamond"/>
          <w:sz w:val="24"/>
          <w:szCs w:val="24"/>
        </w:rPr>
        <w:t>gjin nr.</w:t>
      </w:r>
      <w:r w:rsid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 xml:space="preserve">9920/2008. Edhe në këtë rast, </w:t>
      </w:r>
      <w:proofErr w:type="spellStart"/>
      <w:r w:rsidR="00E82523" w:rsidRPr="0056703C">
        <w:rPr>
          <w:rFonts w:ascii="Garamond" w:hAnsi="Garamond"/>
          <w:sz w:val="24"/>
          <w:szCs w:val="24"/>
        </w:rPr>
        <w:t>urdhërbllokimi</w:t>
      </w:r>
      <w:proofErr w:type="spellEnd"/>
      <w:r w:rsidR="00E82523" w:rsidRPr="0056703C">
        <w:rPr>
          <w:rFonts w:ascii="Garamond" w:hAnsi="Garamond"/>
          <w:sz w:val="24"/>
          <w:szCs w:val="24"/>
        </w:rPr>
        <w:t xml:space="preserve"> </w:t>
      </w:r>
      <w:r w:rsidRPr="0056703C">
        <w:rPr>
          <w:rFonts w:ascii="Garamond" w:hAnsi="Garamond"/>
          <w:sz w:val="24"/>
          <w:szCs w:val="24"/>
        </w:rPr>
        <w:t xml:space="preserve">si masë </w:t>
      </w:r>
      <w:proofErr w:type="spellStart"/>
      <w:r w:rsidRPr="0056703C">
        <w:rPr>
          <w:rFonts w:ascii="Garamond" w:hAnsi="Garamond"/>
          <w:sz w:val="24"/>
          <w:szCs w:val="24"/>
        </w:rPr>
        <w:t>preventivuese</w:t>
      </w:r>
      <w:proofErr w:type="spellEnd"/>
      <w:r w:rsidRPr="0056703C">
        <w:rPr>
          <w:rFonts w:ascii="Garamond" w:hAnsi="Garamond"/>
          <w:sz w:val="24"/>
          <w:szCs w:val="24"/>
        </w:rPr>
        <w:t xml:space="preserve"> vendoset sipas procedurave të paragrafit të dytë të kësaj pike. </w:t>
      </w:r>
    </w:p>
    <w:p w14:paraId="2FA65270" w14:textId="13977EE6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 xml:space="preserve">Një </w:t>
      </w:r>
      <w:r w:rsidR="0056703C" w:rsidRPr="0056703C">
        <w:rPr>
          <w:rFonts w:ascii="Garamond" w:hAnsi="Garamond"/>
          <w:sz w:val="24"/>
          <w:szCs w:val="24"/>
        </w:rPr>
        <w:t xml:space="preserve">urdhër </w:t>
      </w:r>
      <w:r w:rsidR="00E82523" w:rsidRPr="0056703C">
        <w:rPr>
          <w:rFonts w:ascii="Garamond" w:hAnsi="Garamond"/>
          <w:sz w:val="24"/>
          <w:szCs w:val="24"/>
        </w:rPr>
        <w:t xml:space="preserve">bllokimi </w:t>
      </w:r>
      <w:r w:rsidRPr="0056703C">
        <w:rPr>
          <w:rFonts w:ascii="Garamond" w:hAnsi="Garamond"/>
          <w:sz w:val="24"/>
          <w:szCs w:val="24"/>
        </w:rPr>
        <w:t>do të jetë i vlefshëm për një periudhe 12-mujore nga dita e vendosjes së masës së bllokimit të llogarive /depozitave. Me kalimin e këtij afati, llogaritë /depozitat zhbllokohen automatikisht nga banka pa nevojën e ndonj</w:t>
      </w:r>
      <w:r w:rsidR="00E82523">
        <w:rPr>
          <w:rFonts w:ascii="Garamond" w:hAnsi="Garamond"/>
          <w:sz w:val="24"/>
          <w:szCs w:val="24"/>
        </w:rPr>
        <w:t>ë njoftimi shtesë.</w:t>
      </w:r>
    </w:p>
    <w:p w14:paraId="35BC97F0" w14:textId="56017AF1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Ky udh</w:t>
      </w:r>
      <w:r w:rsidR="008E4C63" w:rsidRPr="0056703C">
        <w:rPr>
          <w:rFonts w:ascii="Garamond" w:hAnsi="Garamond"/>
          <w:sz w:val="24"/>
          <w:szCs w:val="24"/>
        </w:rPr>
        <w:t xml:space="preserve">ëzim hyn në fuqi me botimin në </w:t>
      </w:r>
      <w:r w:rsidRPr="0056703C">
        <w:rPr>
          <w:rFonts w:ascii="Garamond" w:hAnsi="Garamond"/>
          <w:sz w:val="24"/>
          <w:szCs w:val="24"/>
        </w:rPr>
        <w:t xml:space="preserve">Fletoren </w:t>
      </w:r>
      <w:r w:rsidR="008E4C63" w:rsidRPr="0056703C">
        <w:rPr>
          <w:rFonts w:ascii="Garamond" w:hAnsi="Garamond"/>
          <w:sz w:val="24"/>
          <w:szCs w:val="24"/>
        </w:rPr>
        <w:t>Zyrtare</w:t>
      </w:r>
      <w:r w:rsidRPr="0056703C">
        <w:rPr>
          <w:rFonts w:ascii="Garamond" w:hAnsi="Garamond"/>
          <w:sz w:val="24"/>
          <w:szCs w:val="24"/>
        </w:rPr>
        <w:t>.</w:t>
      </w:r>
    </w:p>
    <w:p w14:paraId="1F1D94F3" w14:textId="77777777" w:rsidR="003045A2" w:rsidRPr="0056703C" w:rsidRDefault="003045A2" w:rsidP="008E4C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E8020C" w14:textId="74250227" w:rsidR="003045A2" w:rsidRPr="0056703C" w:rsidRDefault="008E4C63" w:rsidP="008E4C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6703C">
        <w:rPr>
          <w:rFonts w:ascii="Garamond" w:hAnsi="Garamond"/>
          <w:sz w:val="24"/>
          <w:szCs w:val="24"/>
        </w:rPr>
        <w:t>MINISTËR I FINANCAVE DHE EKONOMISË</w:t>
      </w:r>
    </w:p>
    <w:p w14:paraId="461B9149" w14:textId="4AA0EC56" w:rsidR="003045A2" w:rsidRPr="0056703C" w:rsidRDefault="008E4C63" w:rsidP="008E4C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703C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56703C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60846318" w14:textId="77777777" w:rsidR="003045A2" w:rsidRPr="0056703C" w:rsidRDefault="003045A2" w:rsidP="008E4C6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045A2" w:rsidRPr="00567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7187C"/>
    <w:rsid w:val="0012707D"/>
    <w:rsid w:val="00130BDD"/>
    <w:rsid w:val="00175E25"/>
    <w:rsid w:val="001A147A"/>
    <w:rsid w:val="002810D0"/>
    <w:rsid w:val="003045A2"/>
    <w:rsid w:val="00327497"/>
    <w:rsid w:val="0056703C"/>
    <w:rsid w:val="006275E7"/>
    <w:rsid w:val="006B189C"/>
    <w:rsid w:val="008A7C56"/>
    <w:rsid w:val="008C366B"/>
    <w:rsid w:val="008E4C63"/>
    <w:rsid w:val="008F4F56"/>
    <w:rsid w:val="00916E2B"/>
    <w:rsid w:val="00A33017"/>
    <w:rsid w:val="00C6528C"/>
    <w:rsid w:val="00CA3231"/>
    <w:rsid w:val="00DC0B53"/>
    <w:rsid w:val="00E82523"/>
    <w:rsid w:val="00F1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FB37"/>
  <w15:docId w15:val="{3591FD82-2937-4F9E-AEA5-A3DA2861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B17712A9144D409680BEF6D739A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2020-11-11T12:16:31Z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2020-11-10T23:00:00Z</Date_x0020_protokolli>
    <Titulli xmlns="0e656187-b300-4fb0-8bf4-3a50f872073c">Për një ndryshim në udhëzimin nr.24, datë 02.09.2008 "Për procedurat tatimore në Republikën e Shqipërisë", i ndryshuar</Titulli>
    <Modifikuesi xmlns="0e656187-b300-4fb0-8bf4-3a50f872073c">gladiola.cicako</Modifikuesi>
    <Nr_x002e__x0020_prot_x0020_QBZ xmlns="0e656187-b300-4fb0-8bf4-3a50f872073c">1662/1</Nr_x002e__x0020_prot_x0020_QBZ>
    <Data_x0020_e_x0020_Modifikimit xmlns="0e656187-b300-4fb0-8bf4-3a50f872073c">2020-11-11T12:41:58Z</Data_x0020_e_x0020_Modifikimit>
    <Dekretuar xmlns="0e656187-b300-4fb0-8bf4-3a50f872073c">false</Dekretuar>
    <Data xmlns="0e656187-b300-4fb0-8bf4-3a50f872073c">2020-11-08T23:00:00Z</Data>
    <Nr_x002e__x0020_protokolli_x0020_i_x0020_aktit xmlns="0e656187-b300-4fb0-8bf4-3a50f872073c">21092/1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B17712A9144D409680BEF6D739A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A76F59-E8F6-4493-82DA-C0E7084B5B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112F8-6B02-400C-A126-F479715C0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9539E1-CC50-4DAB-96C3-09C9018FA29C}">
  <ds:schemaRefs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6E2C605-F4FF-496C-8FCD-5C437BFE2D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0FDCBA-FE0F-4B75-9D4E-D5D902EE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nr.24, datë 02.09.2008 "Për procedurat tatimore në Republikën e Shqipërisë", i ndryshuar</vt:lpstr>
    </vt:vector>
  </TitlesOfParts>
  <Company/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nr.24, datë 02.09.2008 "Për procedurat tatimore në Republikën e Shqipërisë", i ndryshuar</dc:title>
  <dc:creator>Entela Suli</dc:creator>
  <cp:lastModifiedBy>Alma Lisaku</cp:lastModifiedBy>
  <cp:revision>13</cp:revision>
  <dcterms:created xsi:type="dcterms:W3CDTF">2020-11-11T11:58:00Z</dcterms:created>
  <dcterms:modified xsi:type="dcterms:W3CDTF">2020-11-12T08:35:00Z</dcterms:modified>
</cp:coreProperties>
</file>