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4E34A" w14:textId="22203A48" w:rsidR="00EA14CE" w:rsidRPr="00045F0D" w:rsidRDefault="00EA14CE" w:rsidP="00EA14CE">
      <w:pPr>
        <w:pStyle w:val="Title"/>
        <w:spacing w:line="240" w:lineRule="auto"/>
        <w:ind w:firstLine="284"/>
        <w:rPr>
          <w:rFonts w:ascii="Garamond" w:hAnsi="Garamond"/>
          <w:b w:val="0"/>
          <w:bCs/>
        </w:rPr>
      </w:pPr>
      <w:r w:rsidRPr="00045F0D">
        <w:rPr>
          <w:rFonts w:ascii="Garamond" w:hAnsi="Garamond"/>
        </w:rPr>
        <w:t xml:space="preserve">UDHËZIM </w:t>
      </w:r>
    </w:p>
    <w:p w14:paraId="5C604ED8" w14:textId="3DB3262F" w:rsidR="00EA14CE" w:rsidRPr="00045F0D" w:rsidRDefault="00EA14CE" w:rsidP="00EA14CE">
      <w:pPr>
        <w:spacing w:after="0" w:line="240" w:lineRule="auto"/>
        <w:ind w:firstLine="284"/>
        <w:jc w:val="center"/>
        <w:rPr>
          <w:rFonts w:ascii="Garamond" w:hAnsi="Garamond" w:cs="Times New Roman"/>
          <w:b/>
          <w:bCs/>
          <w:sz w:val="24"/>
          <w:szCs w:val="24"/>
        </w:rPr>
      </w:pPr>
      <w:r w:rsidRPr="00045F0D">
        <w:rPr>
          <w:rFonts w:ascii="Garamond" w:hAnsi="Garamond" w:cs="Times New Roman"/>
          <w:b/>
          <w:bCs/>
          <w:sz w:val="24"/>
          <w:szCs w:val="24"/>
        </w:rPr>
        <w:t>Nr. 7, datë 24.6.2024</w:t>
      </w:r>
    </w:p>
    <w:p w14:paraId="75BDA0D0" w14:textId="77777777" w:rsidR="00EA14CE" w:rsidRPr="00045F0D" w:rsidRDefault="00EA14CE" w:rsidP="00EA14CE">
      <w:pPr>
        <w:pStyle w:val="Akti"/>
        <w:ind w:firstLine="284"/>
        <w:rPr>
          <w:rFonts w:ascii="Garamond" w:hAnsi="Garamond"/>
          <w:sz w:val="24"/>
          <w:szCs w:val="24"/>
          <w:lang w:val="sq-AL"/>
        </w:rPr>
      </w:pPr>
    </w:p>
    <w:p w14:paraId="06CF3E6E" w14:textId="4C429FA5" w:rsidR="00EA14CE" w:rsidRPr="00045F0D" w:rsidRDefault="00EA14CE" w:rsidP="00EA14CE">
      <w:pPr>
        <w:spacing w:after="0" w:line="240" w:lineRule="auto"/>
        <w:ind w:firstLine="284"/>
        <w:jc w:val="center"/>
        <w:rPr>
          <w:rFonts w:ascii="Garamond" w:hAnsi="Garamond"/>
          <w:b/>
          <w:bCs/>
          <w:sz w:val="24"/>
          <w:szCs w:val="24"/>
        </w:rPr>
      </w:pPr>
      <w:r w:rsidRPr="00045F0D">
        <w:rPr>
          <w:rFonts w:ascii="Garamond" w:hAnsi="Garamond" w:cs="Times New Roman"/>
          <w:b/>
          <w:bCs/>
          <w:sz w:val="24"/>
          <w:szCs w:val="24"/>
        </w:rPr>
        <w:t>PËR PARANDALIMIN E PASTRIMIT TË PARAVE DHE FINANCIMIN E TERRORIZMIT NË SISTEMIN TATIMOR</w:t>
      </w:r>
    </w:p>
    <w:p w14:paraId="579AC6F8" w14:textId="77777777" w:rsidR="00EA14CE" w:rsidRPr="00045F0D" w:rsidRDefault="00EA14CE" w:rsidP="00EA14CE">
      <w:pPr>
        <w:spacing w:after="0" w:line="240" w:lineRule="auto"/>
        <w:ind w:firstLine="284"/>
        <w:jc w:val="center"/>
        <w:rPr>
          <w:rFonts w:ascii="Garamond" w:hAnsi="Garamond"/>
          <w:b/>
          <w:bCs/>
          <w:sz w:val="24"/>
          <w:szCs w:val="24"/>
        </w:rPr>
      </w:pPr>
    </w:p>
    <w:p w14:paraId="67CFFD18" w14:textId="792D8770" w:rsidR="00EA14CE" w:rsidRPr="00045F0D" w:rsidRDefault="00EA14CE" w:rsidP="00EA14CE">
      <w:pPr>
        <w:pStyle w:val="BodyTextIndent"/>
        <w:spacing w:line="240" w:lineRule="auto"/>
        <w:ind w:firstLine="284"/>
        <w:rPr>
          <w:rFonts w:ascii="Garamond" w:hAnsi="Garamond"/>
        </w:rPr>
      </w:pPr>
      <w:r w:rsidRPr="00045F0D">
        <w:rPr>
          <w:rFonts w:ascii="Garamond" w:hAnsi="Garamond"/>
        </w:rPr>
        <w:t>Në mbështetje të nenit 102</w:t>
      </w:r>
      <w:r w:rsidR="00045F0D">
        <w:rPr>
          <w:rFonts w:ascii="Garamond" w:hAnsi="Garamond"/>
        </w:rPr>
        <w:t>,</w:t>
      </w:r>
      <w:r w:rsidRPr="00045F0D">
        <w:rPr>
          <w:rFonts w:ascii="Garamond" w:hAnsi="Garamond"/>
        </w:rPr>
        <w:t xml:space="preserve"> pika 4 të Kushtetutës dhe të nenit 28, pika 3, shkronja “c”, të ligjit nr.</w:t>
      </w:r>
      <w:r w:rsidR="00045F0D">
        <w:rPr>
          <w:rFonts w:ascii="Garamond" w:hAnsi="Garamond"/>
        </w:rPr>
        <w:t xml:space="preserve"> </w:t>
      </w:r>
      <w:r w:rsidRPr="00045F0D">
        <w:rPr>
          <w:rFonts w:ascii="Garamond" w:hAnsi="Garamond"/>
        </w:rPr>
        <w:t xml:space="preserve">9917, datë 19.5.2008, “Për parandalimin e pastrimit të parave dhe financimit të terrorizmit”, të ndryshuar, </w:t>
      </w:r>
      <w:r w:rsidR="00045F0D">
        <w:rPr>
          <w:rFonts w:ascii="Garamond" w:hAnsi="Garamond"/>
        </w:rPr>
        <w:t>m</w:t>
      </w:r>
      <w:r w:rsidRPr="00045F0D">
        <w:rPr>
          <w:rFonts w:ascii="Garamond" w:hAnsi="Garamond"/>
        </w:rPr>
        <w:t>inistri i Financave,</w:t>
      </w:r>
    </w:p>
    <w:p w14:paraId="312D7C3A" w14:textId="77777777" w:rsidR="00EA14CE" w:rsidRPr="00045F0D" w:rsidRDefault="00EA14CE" w:rsidP="00EA14CE">
      <w:pPr>
        <w:spacing w:after="0" w:line="240" w:lineRule="auto"/>
        <w:ind w:firstLine="284"/>
        <w:jc w:val="both"/>
        <w:rPr>
          <w:rFonts w:ascii="Garamond" w:hAnsi="Garamond"/>
          <w:sz w:val="24"/>
          <w:szCs w:val="24"/>
        </w:rPr>
      </w:pPr>
    </w:p>
    <w:p w14:paraId="3903963C" w14:textId="1CCCAC3F" w:rsidR="00EA14CE" w:rsidRPr="00045F0D" w:rsidRDefault="00EA14CE" w:rsidP="00EA14CE">
      <w:pPr>
        <w:spacing w:after="0" w:line="240" w:lineRule="auto"/>
        <w:ind w:firstLine="284"/>
        <w:jc w:val="center"/>
        <w:rPr>
          <w:rFonts w:ascii="Garamond" w:hAnsi="Garamond" w:cs="Times New Roman"/>
          <w:sz w:val="24"/>
          <w:szCs w:val="24"/>
        </w:rPr>
      </w:pPr>
      <w:r w:rsidRPr="00045F0D">
        <w:rPr>
          <w:rFonts w:ascii="Garamond" w:hAnsi="Garamond" w:cs="Times New Roman"/>
          <w:bCs/>
          <w:sz w:val="24"/>
          <w:szCs w:val="24"/>
        </w:rPr>
        <w:t>UDHËZON</w:t>
      </w:r>
      <w:r w:rsidRPr="00045F0D">
        <w:rPr>
          <w:rFonts w:ascii="Garamond" w:hAnsi="Garamond" w:cs="Times New Roman"/>
          <w:sz w:val="24"/>
          <w:szCs w:val="24"/>
        </w:rPr>
        <w:t>:</w:t>
      </w:r>
    </w:p>
    <w:p w14:paraId="59A75B7B" w14:textId="77777777" w:rsidR="00EA14CE" w:rsidRPr="00045F0D" w:rsidRDefault="00EA14CE" w:rsidP="00EA14CE">
      <w:pPr>
        <w:spacing w:after="0" w:line="240" w:lineRule="auto"/>
        <w:ind w:firstLine="284"/>
        <w:jc w:val="center"/>
        <w:rPr>
          <w:rFonts w:ascii="Garamond" w:hAnsi="Garamond"/>
          <w:sz w:val="24"/>
          <w:szCs w:val="24"/>
        </w:rPr>
      </w:pPr>
    </w:p>
    <w:p w14:paraId="046D55CE" w14:textId="77777777" w:rsidR="00EA14CE" w:rsidRPr="00045F0D" w:rsidRDefault="00EA14CE" w:rsidP="00EA14CE">
      <w:pPr>
        <w:spacing w:after="0" w:line="240" w:lineRule="auto"/>
        <w:ind w:firstLine="284"/>
        <w:jc w:val="center"/>
        <w:rPr>
          <w:rFonts w:ascii="Garamond" w:hAnsi="Garamond" w:cs="Times New Roman"/>
          <w:bCs/>
          <w:sz w:val="24"/>
          <w:szCs w:val="24"/>
        </w:rPr>
      </w:pPr>
      <w:r w:rsidRPr="00045F0D">
        <w:rPr>
          <w:rFonts w:ascii="Garamond" w:hAnsi="Garamond" w:cs="Times New Roman"/>
          <w:sz w:val="24"/>
          <w:szCs w:val="24"/>
        </w:rPr>
        <w:t xml:space="preserve"> </w:t>
      </w:r>
      <w:r w:rsidRPr="00045F0D">
        <w:rPr>
          <w:rFonts w:ascii="Garamond" w:hAnsi="Garamond" w:cs="Times New Roman"/>
          <w:bCs/>
          <w:sz w:val="24"/>
          <w:szCs w:val="24"/>
        </w:rPr>
        <w:t>Neni 1</w:t>
      </w:r>
    </w:p>
    <w:p w14:paraId="71816453" w14:textId="77777777" w:rsidR="00EA14CE" w:rsidRPr="00045F0D" w:rsidRDefault="00EA14CE" w:rsidP="00EA14CE">
      <w:pPr>
        <w:spacing w:after="0" w:line="240" w:lineRule="auto"/>
        <w:ind w:firstLine="284"/>
        <w:jc w:val="center"/>
        <w:rPr>
          <w:rFonts w:ascii="Garamond" w:hAnsi="Garamond" w:cs="Times New Roman"/>
          <w:b/>
          <w:bCs/>
          <w:sz w:val="24"/>
          <w:szCs w:val="24"/>
        </w:rPr>
      </w:pPr>
      <w:r w:rsidRPr="00045F0D">
        <w:rPr>
          <w:rFonts w:ascii="Garamond" w:hAnsi="Garamond" w:cs="Times New Roman"/>
          <w:b/>
          <w:bCs/>
          <w:sz w:val="24"/>
          <w:szCs w:val="24"/>
        </w:rPr>
        <w:t>Qëllimi</w:t>
      </w:r>
    </w:p>
    <w:p w14:paraId="0BF2AF9A" w14:textId="77777777" w:rsidR="00EA14CE" w:rsidRPr="00045F0D" w:rsidRDefault="00EA14CE" w:rsidP="00EA14CE">
      <w:pPr>
        <w:spacing w:after="0" w:line="240" w:lineRule="auto"/>
        <w:ind w:firstLine="284"/>
        <w:jc w:val="center"/>
        <w:rPr>
          <w:rFonts w:ascii="Garamond" w:hAnsi="Garamond" w:cs="Times New Roman"/>
          <w:b/>
          <w:bCs/>
          <w:sz w:val="24"/>
          <w:szCs w:val="24"/>
        </w:rPr>
      </w:pPr>
    </w:p>
    <w:p w14:paraId="78476CB3" w14:textId="62B1D90F" w:rsidR="00EA14CE" w:rsidRPr="00045F0D" w:rsidRDefault="00EA14CE" w:rsidP="00EA14CE">
      <w:pPr>
        <w:spacing w:after="0" w:line="240" w:lineRule="auto"/>
        <w:ind w:firstLine="284"/>
        <w:jc w:val="both"/>
        <w:rPr>
          <w:rFonts w:ascii="Garamond" w:hAnsi="Garamond" w:cs="Times New Roman"/>
          <w:sz w:val="24"/>
          <w:szCs w:val="24"/>
        </w:rPr>
      </w:pPr>
      <w:r w:rsidRPr="00045F0D">
        <w:rPr>
          <w:rFonts w:ascii="Garamond" w:hAnsi="Garamond" w:cs="Times New Roman"/>
          <w:sz w:val="24"/>
          <w:szCs w:val="24"/>
        </w:rPr>
        <w:t>Qëllim i këtij udhëzimi është rregullimi në mënyrë të hollësishme i mënyrave dhe i procedurave për raportimin nga administrata tatimore</w:t>
      </w:r>
      <w:r w:rsidR="00045F0D">
        <w:rPr>
          <w:rFonts w:ascii="Garamond" w:hAnsi="Garamond" w:cs="Times New Roman"/>
          <w:sz w:val="24"/>
          <w:szCs w:val="24"/>
        </w:rPr>
        <w:t>,</w:t>
      </w:r>
      <w:r w:rsidRPr="00045F0D">
        <w:rPr>
          <w:rFonts w:ascii="Garamond" w:hAnsi="Garamond" w:cs="Times New Roman"/>
          <w:sz w:val="24"/>
          <w:szCs w:val="24"/>
        </w:rPr>
        <w:t xml:space="preserve"> si dhe shkëmbimit të informacionit midis Drejtorisë së Përgjithshme të Tatimeve dhe Agjencisë të Inteligjencës Financiare, në cilësinë e autoritetit përgjegjës.</w:t>
      </w:r>
    </w:p>
    <w:p w14:paraId="67221359" w14:textId="77777777" w:rsidR="00EA14CE" w:rsidRPr="00045F0D" w:rsidRDefault="00EA14CE" w:rsidP="00EA14CE">
      <w:pPr>
        <w:spacing w:after="0" w:line="240" w:lineRule="auto"/>
        <w:ind w:firstLine="284"/>
        <w:jc w:val="both"/>
        <w:rPr>
          <w:rFonts w:ascii="Garamond" w:hAnsi="Garamond" w:cs="Times New Roman"/>
          <w:sz w:val="24"/>
          <w:szCs w:val="24"/>
        </w:rPr>
      </w:pPr>
    </w:p>
    <w:p w14:paraId="214D3525" w14:textId="77777777" w:rsidR="00EA14CE" w:rsidRPr="00045F0D" w:rsidRDefault="00EA14CE" w:rsidP="00EA14CE">
      <w:pPr>
        <w:spacing w:after="0" w:line="240" w:lineRule="auto"/>
        <w:ind w:firstLine="284"/>
        <w:jc w:val="center"/>
        <w:rPr>
          <w:rFonts w:ascii="Garamond" w:hAnsi="Garamond" w:cs="Times New Roman"/>
          <w:bCs/>
          <w:sz w:val="24"/>
          <w:szCs w:val="24"/>
        </w:rPr>
      </w:pPr>
      <w:r w:rsidRPr="00045F0D">
        <w:rPr>
          <w:rFonts w:ascii="Garamond" w:hAnsi="Garamond" w:cs="Times New Roman"/>
          <w:sz w:val="24"/>
          <w:szCs w:val="24"/>
        </w:rPr>
        <w:t xml:space="preserve"> </w:t>
      </w:r>
      <w:r w:rsidRPr="00045F0D">
        <w:rPr>
          <w:rFonts w:ascii="Garamond" w:hAnsi="Garamond" w:cs="Times New Roman"/>
          <w:bCs/>
          <w:sz w:val="24"/>
          <w:szCs w:val="24"/>
        </w:rPr>
        <w:t>Neni 2</w:t>
      </w:r>
    </w:p>
    <w:p w14:paraId="29FC90ED" w14:textId="77777777" w:rsidR="00EA14CE" w:rsidRPr="00045F0D" w:rsidRDefault="00EA14CE" w:rsidP="00EA14CE">
      <w:pPr>
        <w:spacing w:after="0" w:line="240" w:lineRule="auto"/>
        <w:ind w:firstLine="284"/>
        <w:jc w:val="center"/>
        <w:rPr>
          <w:rFonts w:ascii="Garamond" w:hAnsi="Garamond" w:cs="Times New Roman"/>
          <w:b/>
          <w:bCs/>
          <w:sz w:val="24"/>
          <w:szCs w:val="24"/>
        </w:rPr>
      </w:pPr>
      <w:r w:rsidRPr="00045F0D">
        <w:rPr>
          <w:rFonts w:ascii="Garamond" w:hAnsi="Garamond" w:cs="Times New Roman"/>
          <w:b/>
          <w:bCs/>
          <w:sz w:val="24"/>
          <w:szCs w:val="24"/>
        </w:rPr>
        <w:t>Përkufizimet</w:t>
      </w:r>
    </w:p>
    <w:p w14:paraId="5950AEAF" w14:textId="77777777" w:rsidR="00EA14CE" w:rsidRPr="00045F0D" w:rsidRDefault="00EA14CE" w:rsidP="00EA14CE">
      <w:pPr>
        <w:spacing w:after="0" w:line="240" w:lineRule="auto"/>
        <w:ind w:firstLine="284"/>
        <w:jc w:val="center"/>
        <w:rPr>
          <w:rFonts w:ascii="Garamond" w:hAnsi="Garamond" w:cs="Times New Roman"/>
          <w:b/>
          <w:bCs/>
          <w:sz w:val="24"/>
          <w:szCs w:val="24"/>
        </w:rPr>
      </w:pPr>
    </w:p>
    <w:p w14:paraId="074A6092" w14:textId="61F756DD"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1. Termat e përdorur në këtë udhëzim do të kenë të njëjtin kuptim me termat e përkufizuar në nenin 2, të ligjit nr.</w:t>
      </w:r>
      <w:r w:rsidR="00045F0D">
        <w:rPr>
          <w:rFonts w:ascii="Garamond" w:hAnsi="Garamond" w:cs="Times New Roman"/>
          <w:sz w:val="24"/>
          <w:szCs w:val="24"/>
        </w:rPr>
        <w:t xml:space="preserve"> </w:t>
      </w:r>
      <w:r w:rsidRPr="00045F0D">
        <w:rPr>
          <w:rFonts w:ascii="Garamond" w:hAnsi="Garamond" w:cs="Times New Roman"/>
          <w:sz w:val="24"/>
          <w:szCs w:val="24"/>
        </w:rPr>
        <w:t>9917, datë 19.5.2008</w:t>
      </w:r>
      <w:r w:rsidR="00045F0D">
        <w:rPr>
          <w:rFonts w:ascii="Garamond" w:hAnsi="Garamond" w:cs="Times New Roman"/>
          <w:sz w:val="24"/>
          <w:szCs w:val="24"/>
        </w:rPr>
        <w:t>,</w:t>
      </w:r>
      <w:r w:rsidRPr="00045F0D">
        <w:rPr>
          <w:rFonts w:ascii="Garamond" w:hAnsi="Garamond" w:cs="Times New Roman"/>
          <w:sz w:val="24"/>
          <w:szCs w:val="24"/>
        </w:rPr>
        <w:t xml:space="preserve"> “Për parandalimin e pastrimit të parave dhe financimit të terrorizmit”, të ndryshuar. </w:t>
      </w:r>
    </w:p>
    <w:p w14:paraId="4B677138" w14:textId="7ACFB674"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2. Përveç sa parashikohet në pikën 1, të këtij neni, për qëllim dhe zbatim të këtij udhëzimi, termat e mëposhtëm do të kenë këtë kuptim: </w:t>
      </w:r>
    </w:p>
    <w:p w14:paraId="5A6F4350" w14:textId="7FEB9CC6"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a) “Tatimpagues” ka të njëjtin kuptim sipas ligjit në fuqi për procedurat tatimore;</w:t>
      </w:r>
    </w:p>
    <w:p w14:paraId="79764952" w14:textId="0CEA4A33"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b) “Raport i aktivitetit të dyshimtë (RAD)” është formulari që plotësohet nga organet tatimore, sipas aneksit I bashkëlidhur dhe pjesë e këtij udhëzimi, i cili raportohet menjëherë tek autoriteti përgjegjës, në çdo rast, jo më vonë se 72 orë pas regjistrimit të veprimit, për çdo dyshim, sinjalizim, njoftim ose të dhënë që ka të bëjë me pastrimin e parave dhe financimin e terrorizmit;</w:t>
      </w:r>
    </w:p>
    <w:p w14:paraId="49E7D942" w14:textId="4B96B9E0"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c) “Treguesit e aktivitetit të dyshimtë të pastrimit të parave dhe financimit të terrorizmit” janë përmbledhur në </w:t>
      </w:r>
      <w:r w:rsidR="00045F0D">
        <w:rPr>
          <w:rFonts w:ascii="Garamond" w:hAnsi="Garamond" w:cs="Times New Roman"/>
          <w:sz w:val="24"/>
          <w:szCs w:val="24"/>
        </w:rPr>
        <w:t>a</w:t>
      </w:r>
      <w:r w:rsidRPr="00045F0D">
        <w:rPr>
          <w:rFonts w:ascii="Garamond" w:hAnsi="Garamond" w:cs="Times New Roman"/>
          <w:sz w:val="24"/>
          <w:szCs w:val="24"/>
        </w:rPr>
        <w:t>neksin II, bashkëlidhur dhe pjesë e këtij udhëzimi.</w:t>
      </w:r>
    </w:p>
    <w:p w14:paraId="5E86863A" w14:textId="77777777" w:rsidR="00EA14CE" w:rsidRPr="00045F0D" w:rsidRDefault="00EA14CE" w:rsidP="00EA14CE">
      <w:pPr>
        <w:spacing w:after="0" w:line="240" w:lineRule="auto"/>
        <w:ind w:firstLine="284"/>
        <w:rPr>
          <w:rFonts w:ascii="Garamond" w:hAnsi="Garamond" w:cs="Times New Roman"/>
          <w:b/>
          <w:bCs/>
          <w:sz w:val="24"/>
          <w:szCs w:val="24"/>
        </w:rPr>
      </w:pPr>
    </w:p>
    <w:p w14:paraId="69D84352" w14:textId="1B49A820" w:rsidR="00EA14CE" w:rsidRPr="00045F0D" w:rsidRDefault="00EA14CE" w:rsidP="00EA14CE">
      <w:pPr>
        <w:spacing w:after="0" w:line="240" w:lineRule="auto"/>
        <w:ind w:firstLine="284"/>
        <w:jc w:val="center"/>
        <w:rPr>
          <w:rFonts w:ascii="Garamond" w:hAnsi="Garamond" w:cs="Times New Roman"/>
          <w:bCs/>
          <w:sz w:val="24"/>
          <w:szCs w:val="24"/>
        </w:rPr>
      </w:pPr>
      <w:r w:rsidRPr="00045F0D">
        <w:rPr>
          <w:rFonts w:ascii="Garamond" w:hAnsi="Garamond" w:cs="Times New Roman"/>
          <w:bCs/>
          <w:sz w:val="24"/>
          <w:szCs w:val="24"/>
        </w:rPr>
        <w:t>Neni 3</w:t>
      </w:r>
    </w:p>
    <w:p w14:paraId="289BA258" w14:textId="73C3A5E5" w:rsidR="00EA14CE" w:rsidRPr="00045F0D" w:rsidRDefault="00EA14CE" w:rsidP="00EA14CE">
      <w:pPr>
        <w:spacing w:after="0" w:line="240" w:lineRule="auto"/>
        <w:ind w:firstLine="284"/>
        <w:jc w:val="center"/>
        <w:rPr>
          <w:rFonts w:ascii="Garamond" w:hAnsi="Garamond" w:cs="Times New Roman"/>
          <w:b/>
          <w:bCs/>
          <w:sz w:val="24"/>
          <w:szCs w:val="24"/>
        </w:rPr>
      </w:pPr>
      <w:r w:rsidRPr="00045F0D">
        <w:rPr>
          <w:rFonts w:ascii="Garamond" w:hAnsi="Garamond" w:cs="Times New Roman"/>
          <w:b/>
          <w:bCs/>
          <w:sz w:val="24"/>
          <w:szCs w:val="24"/>
        </w:rPr>
        <w:t>Raportimi i aktivitetit të dyshimtë</w:t>
      </w:r>
    </w:p>
    <w:p w14:paraId="75AFBF9D" w14:textId="77777777" w:rsidR="00EA14CE" w:rsidRPr="00045F0D" w:rsidRDefault="00EA14CE" w:rsidP="00EA14CE">
      <w:pPr>
        <w:spacing w:after="0" w:line="240" w:lineRule="auto"/>
        <w:ind w:firstLine="284"/>
        <w:jc w:val="center"/>
        <w:rPr>
          <w:rFonts w:ascii="Garamond" w:hAnsi="Garamond" w:cs="Times New Roman"/>
          <w:b/>
          <w:bCs/>
          <w:sz w:val="24"/>
          <w:szCs w:val="24"/>
        </w:rPr>
      </w:pPr>
    </w:p>
    <w:p w14:paraId="7256EC55" w14:textId="0B9CB64F"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1. Organet tatimore i raportojnë autoritetit përgjegjës</w:t>
      </w:r>
      <w:r w:rsidR="00045F0D">
        <w:rPr>
          <w:rFonts w:ascii="Garamond" w:hAnsi="Garamond" w:cs="Times New Roman"/>
          <w:sz w:val="24"/>
          <w:szCs w:val="24"/>
        </w:rPr>
        <w:t>,</w:t>
      </w:r>
      <w:r w:rsidRPr="00045F0D">
        <w:rPr>
          <w:rFonts w:ascii="Garamond" w:hAnsi="Garamond" w:cs="Times New Roman"/>
          <w:sz w:val="24"/>
          <w:szCs w:val="24"/>
        </w:rPr>
        <w:t xml:space="preserve"> menjëherë dhe në çdo rast, jo më vonë se 72 orë pas regjistrimit të veprimit, për çdo dyshim, sinjalizim, njoftim ose të dhënë, që ka të bëjë me pastrimin e parave dhe financimin e terrorizmit</w:t>
      </w:r>
      <w:r w:rsidR="00045F0D">
        <w:rPr>
          <w:rFonts w:ascii="Garamond" w:hAnsi="Garamond" w:cs="Times New Roman"/>
          <w:sz w:val="24"/>
          <w:szCs w:val="24"/>
        </w:rPr>
        <w:t>,</w:t>
      </w:r>
      <w:r w:rsidRPr="00045F0D">
        <w:rPr>
          <w:rFonts w:ascii="Garamond" w:hAnsi="Garamond" w:cs="Times New Roman"/>
          <w:sz w:val="24"/>
          <w:szCs w:val="24"/>
        </w:rPr>
        <w:t xml:space="preserve"> sipas formularit në </w:t>
      </w:r>
      <w:r w:rsidR="00045F0D">
        <w:rPr>
          <w:rFonts w:ascii="Garamond" w:hAnsi="Garamond" w:cs="Times New Roman"/>
          <w:sz w:val="24"/>
          <w:szCs w:val="24"/>
        </w:rPr>
        <w:t>a</w:t>
      </w:r>
      <w:r w:rsidRPr="00045F0D">
        <w:rPr>
          <w:rFonts w:ascii="Garamond" w:hAnsi="Garamond" w:cs="Times New Roman"/>
          <w:sz w:val="24"/>
          <w:szCs w:val="24"/>
        </w:rPr>
        <w:t>neksin I bashkëlidhur.</w:t>
      </w:r>
    </w:p>
    <w:p w14:paraId="0BB5744A" w14:textId="420EE1C8"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2. Formularët e raportimeve të rasteve të dyshimta shoqërohen bashkëlidhur shkresës shoqëruese me të gjithë dokumentacionin mbi transaksionin e kryer dhe tatimpaguesin që kryen transaksionin.</w:t>
      </w:r>
    </w:p>
    <w:p w14:paraId="4B3AF4A7" w14:textId="66C71B54"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Bashkëngjitur këtij udhëzimi, në </w:t>
      </w:r>
      <w:r w:rsidR="00045F0D">
        <w:rPr>
          <w:rFonts w:ascii="Garamond" w:hAnsi="Garamond" w:cs="Times New Roman"/>
          <w:sz w:val="24"/>
          <w:szCs w:val="24"/>
        </w:rPr>
        <w:t>a</w:t>
      </w:r>
      <w:r w:rsidRPr="00045F0D">
        <w:rPr>
          <w:rFonts w:ascii="Garamond" w:hAnsi="Garamond" w:cs="Times New Roman"/>
          <w:sz w:val="24"/>
          <w:szCs w:val="24"/>
        </w:rPr>
        <w:t>neksin II, janë pasqyruar treguesit e modeleve të dyshimta të përdorura si standarde ndërkombëtare dhe kombëtare, orientuese për zbulimin e pastrimit të parave dhe financimit të terrorizmit për t</w:t>
      </w:r>
      <w:r w:rsidR="00045F0D">
        <w:rPr>
          <w:rFonts w:ascii="Garamond" w:hAnsi="Garamond" w:cs="Times New Roman"/>
          <w:sz w:val="24"/>
          <w:szCs w:val="24"/>
        </w:rPr>
        <w:t>’</w:t>
      </w:r>
      <w:r w:rsidRPr="00045F0D">
        <w:rPr>
          <w:rFonts w:ascii="Garamond" w:hAnsi="Garamond" w:cs="Times New Roman"/>
          <w:sz w:val="24"/>
          <w:szCs w:val="24"/>
        </w:rPr>
        <w:t>u marrë në konsideratë nga organet tatimore.</w:t>
      </w:r>
    </w:p>
    <w:p w14:paraId="2FC8863B" w14:textId="77777777" w:rsidR="00EA14CE" w:rsidRPr="00045F0D" w:rsidRDefault="00EA14CE" w:rsidP="00EA14CE">
      <w:pPr>
        <w:pStyle w:val="ListParagraph"/>
        <w:spacing w:after="0" w:line="240" w:lineRule="auto"/>
        <w:ind w:left="0" w:firstLine="284"/>
        <w:jc w:val="both"/>
        <w:rPr>
          <w:rFonts w:ascii="Garamond" w:hAnsi="Garamond" w:cs="Times New Roman"/>
          <w:b/>
          <w:bCs/>
          <w:sz w:val="24"/>
          <w:szCs w:val="24"/>
        </w:rPr>
      </w:pPr>
    </w:p>
    <w:p w14:paraId="06794950" w14:textId="77777777" w:rsidR="003F1DEE" w:rsidRDefault="003F1DEE" w:rsidP="00EA14CE">
      <w:pPr>
        <w:spacing w:after="0" w:line="240" w:lineRule="auto"/>
        <w:ind w:firstLine="284"/>
        <w:jc w:val="center"/>
        <w:rPr>
          <w:rFonts w:ascii="Garamond" w:hAnsi="Garamond" w:cs="Times New Roman"/>
          <w:bCs/>
          <w:sz w:val="24"/>
          <w:szCs w:val="24"/>
        </w:rPr>
      </w:pPr>
    </w:p>
    <w:p w14:paraId="366C88E1" w14:textId="77777777" w:rsidR="003F1DEE" w:rsidRDefault="003F1DEE" w:rsidP="00EA14CE">
      <w:pPr>
        <w:spacing w:after="0" w:line="240" w:lineRule="auto"/>
        <w:ind w:firstLine="284"/>
        <w:jc w:val="center"/>
        <w:rPr>
          <w:rFonts w:ascii="Garamond" w:hAnsi="Garamond" w:cs="Times New Roman"/>
          <w:bCs/>
          <w:sz w:val="24"/>
          <w:szCs w:val="24"/>
        </w:rPr>
      </w:pPr>
    </w:p>
    <w:p w14:paraId="3AD25DED" w14:textId="2B51796A" w:rsidR="00EA14CE" w:rsidRPr="00045F0D" w:rsidRDefault="00EA14CE" w:rsidP="00EA14CE">
      <w:pPr>
        <w:spacing w:after="0" w:line="240" w:lineRule="auto"/>
        <w:ind w:firstLine="284"/>
        <w:jc w:val="center"/>
        <w:rPr>
          <w:rFonts w:ascii="Garamond" w:hAnsi="Garamond" w:cs="Times New Roman"/>
          <w:bCs/>
          <w:sz w:val="24"/>
          <w:szCs w:val="24"/>
        </w:rPr>
      </w:pPr>
      <w:r w:rsidRPr="00045F0D">
        <w:rPr>
          <w:rFonts w:ascii="Garamond" w:hAnsi="Garamond" w:cs="Times New Roman"/>
          <w:bCs/>
          <w:sz w:val="24"/>
          <w:szCs w:val="24"/>
        </w:rPr>
        <w:lastRenderedPageBreak/>
        <w:t>Neni 4</w:t>
      </w:r>
    </w:p>
    <w:p w14:paraId="336A146E" w14:textId="6FABAA14" w:rsidR="00EA14CE" w:rsidRPr="00045F0D" w:rsidRDefault="00EA14CE" w:rsidP="00EA14CE">
      <w:pPr>
        <w:spacing w:after="0" w:line="240" w:lineRule="auto"/>
        <w:ind w:firstLine="284"/>
        <w:jc w:val="center"/>
        <w:rPr>
          <w:rFonts w:ascii="Garamond" w:hAnsi="Garamond" w:cs="Times New Roman"/>
          <w:b/>
          <w:bCs/>
          <w:sz w:val="24"/>
          <w:szCs w:val="24"/>
        </w:rPr>
      </w:pPr>
      <w:r w:rsidRPr="00045F0D">
        <w:rPr>
          <w:rFonts w:ascii="Garamond" w:hAnsi="Garamond" w:cs="Times New Roman"/>
          <w:b/>
          <w:bCs/>
          <w:sz w:val="24"/>
          <w:szCs w:val="24"/>
        </w:rPr>
        <w:t>Masat organizative nga Drejtoria e Përgjithshme e Tatimeve</w:t>
      </w:r>
    </w:p>
    <w:p w14:paraId="079E96CE" w14:textId="77777777" w:rsidR="00EA14CE" w:rsidRPr="00045F0D" w:rsidRDefault="00EA14CE" w:rsidP="00EA14CE">
      <w:pPr>
        <w:spacing w:after="0" w:line="240" w:lineRule="auto"/>
        <w:ind w:firstLine="284"/>
        <w:jc w:val="both"/>
        <w:rPr>
          <w:rFonts w:ascii="Garamond" w:hAnsi="Garamond" w:cs="Times New Roman"/>
          <w:sz w:val="24"/>
          <w:szCs w:val="24"/>
        </w:rPr>
      </w:pPr>
    </w:p>
    <w:p w14:paraId="6A0C2451" w14:textId="0F5764E1"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1. Drejtoria e Përgjithshme e Tatimeve krijon një sistem të centralizuar përgjegjës për grumbullimin dhe analizimin e të dhënave, në funksion të përmbushjes së detyrimeve të këtij udhëzimi. Për këtë qëllim, Drejtoria e Përgjithshme e Tatimeve krijon dhe organizon një njësi/strukturë qendrore, e cila është përgjegjëse për identifikimin</w:t>
      </w:r>
      <w:r w:rsidRPr="00045F0D">
        <w:rPr>
          <w:rFonts w:ascii="Garamond" w:hAnsi="Garamond" w:cs="Times New Roman"/>
          <w:b/>
          <w:bCs/>
          <w:sz w:val="24"/>
          <w:szCs w:val="24"/>
        </w:rPr>
        <w:t xml:space="preserve"> </w:t>
      </w:r>
      <w:r w:rsidRPr="00045F0D">
        <w:rPr>
          <w:rFonts w:ascii="Garamond" w:hAnsi="Garamond" w:cs="Times New Roman"/>
          <w:sz w:val="24"/>
          <w:szCs w:val="24"/>
        </w:rPr>
        <w:t xml:space="preserve">dhe mbledhjen e transaksioneve të dyshimta. Drejtori i </w:t>
      </w:r>
      <w:r w:rsidR="00045F0D">
        <w:rPr>
          <w:rFonts w:ascii="Garamond" w:hAnsi="Garamond" w:cs="Times New Roman"/>
          <w:sz w:val="24"/>
          <w:szCs w:val="24"/>
        </w:rPr>
        <w:t>p</w:t>
      </w:r>
      <w:r w:rsidRPr="00045F0D">
        <w:rPr>
          <w:rFonts w:ascii="Garamond" w:hAnsi="Garamond" w:cs="Times New Roman"/>
          <w:sz w:val="24"/>
          <w:szCs w:val="24"/>
        </w:rPr>
        <w:t xml:space="preserve">ërgjithshëm i Drejtorisë së Përgjithshme të Tatimeve cakton një person përgjegjës me pozitë drejtuese ose </w:t>
      </w:r>
      <w:r w:rsidR="00045F0D">
        <w:rPr>
          <w:rFonts w:ascii="Garamond" w:hAnsi="Garamond" w:cs="Times New Roman"/>
          <w:sz w:val="24"/>
          <w:szCs w:val="24"/>
        </w:rPr>
        <w:t>d</w:t>
      </w:r>
      <w:r w:rsidRPr="00045F0D">
        <w:rPr>
          <w:rFonts w:ascii="Garamond" w:hAnsi="Garamond" w:cs="Times New Roman"/>
          <w:sz w:val="24"/>
          <w:szCs w:val="24"/>
        </w:rPr>
        <w:t xml:space="preserve">rejtori të varësisë, të cilët shërbejnë si person/njësi kontakti me Agjencinë e Inteligjencës Financiare, si dhe persona përgjegjës në </w:t>
      </w:r>
      <w:r w:rsidR="00045F0D" w:rsidRPr="00045F0D">
        <w:rPr>
          <w:rFonts w:ascii="Garamond" w:hAnsi="Garamond" w:cs="Times New Roman"/>
          <w:sz w:val="24"/>
          <w:szCs w:val="24"/>
        </w:rPr>
        <w:t xml:space="preserve">çdo drejtori rajonale tatimore, të cilët shërbejnë si </w:t>
      </w:r>
      <w:r w:rsidRPr="00045F0D">
        <w:rPr>
          <w:rFonts w:ascii="Garamond" w:hAnsi="Garamond" w:cs="Times New Roman"/>
          <w:sz w:val="24"/>
          <w:szCs w:val="24"/>
        </w:rPr>
        <w:t>pika kontakti me personin përgjegjës në Drejtorinë e Përgjithshme të Tatimeve. Marrëdhëniet dhe funksionaliteti i njësisë/strukturës qendrore rregullohen në mënyrë të detajuar me akte të brendshme të Drejtorisë të Përgjithshme të Tatimeve.</w:t>
      </w:r>
    </w:p>
    <w:p w14:paraId="6EDA1C34" w14:textId="1D08B47B"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2. Drejtuesi i njësisë/strukturës qendrore raporton drejtpërdrejt te </w:t>
      </w:r>
      <w:r w:rsidR="00045F0D" w:rsidRPr="00045F0D">
        <w:rPr>
          <w:rFonts w:ascii="Garamond" w:hAnsi="Garamond" w:cs="Times New Roman"/>
          <w:sz w:val="24"/>
          <w:szCs w:val="24"/>
        </w:rPr>
        <w:t xml:space="preserve">drejtori i përgjithshëm </w:t>
      </w:r>
      <w:r w:rsidRPr="00045F0D">
        <w:rPr>
          <w:rFonts w:ascii="Garamond" w:hAnsi="Garamond" w:cs="Times New Roman"/>
          <w:sz w:val="24"/>
          <w:szCs w:val="24"/>
        </w:rPr>
        <w:t>i Drejtorisë së Përgjithshme të Tatimeve.</w:t>
      </w:r>
    </w:p>
    <w:p w14:paraId="4078DC7E" w14:textId="1B18EE32"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3. Njësia/struktura qendrore ka këto kompetenca dhe detyra:</w:t>
      </w:r>
    </w:p>
    <w:p w14:paraId="77AFB34C" w14:textId="2676B73A" w:rsidR="00EA14CE" w:rsidRPr="00045F0D" w:rsidRDefault="00EA14CE" w:rsidP="00EA14CE">
      <w:pPr>
        <w:pStyle w:val="ListParagraph"/>
        <w:tabs>
          <w:tab w:val="left" w:pos="44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a) organizon procesin e monitorimit dhe siguron kryerjen e detyrave të përcaktuara nga ligji për parandalimin e pastrimit të parave dhe financimit të terrorizmit;</w:t>
      </w:r>
    </w:p>
    <w:p w14:paraId="2A7E6F89" w14:textId="4DD52457" w:rsidR="00EA14CE" w:rsidRPr="00045F0D" w:rsidRDefault="00EA14CE" w:rsidP="00EA14CE">
      <w:pPr>
        <w:pStyle w:val="ListParagraph"/>
        <w:tabs>
          <w:tab w:val="left" w:pos="44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b) analizon çdo të dhënë apo informacion që është njoftuar si e dyshimtë apo ka konstatuar nëpërmjet punonjësve të vet, në funksion të dërgimit të RAD</w:t>
      </w:r>
      <w:r w:rsidR="00045F0D">
        <w:rPr>
          <w:rFonts w:ascii="Garamond" w:hAnsi="Garamond" w:cs="Times New Roman"/>
          <w:sz w:val="24"/>
          <w:szCs w:val="24"/>
        </w:rPr>
        <w:t>-it</w:t>
      </w:r>
      <w:r w:rsidRPr="00045F0D">
        <w:rPr>
          <w:rFonts w:ascii="Garamond" w:hAnsi="Garamond" w:cs="Times New Roman"/>
          <w:sz w:val="24"/>
          <w:szCs w:val="24"/>
        </w:rPr>
        <w:t xml:space="preserve"> në Agjencinë e Inteligjencës Financiare; </w:t>
      </w:r>
    </w:p>
    <w:p w14:paraId="4F89973C" w14:textId="7095064C" w:rsidR="00EA14CE" w:rsidRPr="00045F0D" w:rsidRDefault="00EA14CE" w:rsidP="00EA14CE">
      <w:pPr>
        <w:pStyle w:val="ListParagraph"/>
        <w:tabs>
          <w:tab w:val="left" w:pos="360"/>
          <w:tab w:val="left" w:pos="62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c) nëse informacioni vlerësohet si i dyshimtë, personi përgjegjës dërgon RAD</w:t>
      </w:r>
      <w:r w:rsidR="00045F0D">
        <w:rPr>
          <w:rFonts w:ascii="Garamond" w:hAnsi="Garamond" w:cs="Times New Roman"/>
          <w:sz w:val="24"/>
          <w:szCs w:val="24"/>
        </w:rPr>
        <w:t>-in</w:t>
      </w:r>
      <w:r w:rsidRPr="00045F0D">
        <w:rPr>
          <w:rFonts w:ascii="Garamond" w:hAnsi="Garamond" w:cs="Times New Roman"/>
          <w:sz w:val="24"/>
          <w:szCs w:val="24"/>
        </w:rPr>
        <w:t xml:space="preserve"> në Agjencinë e Inteligjencës Financiare; </w:t>
      </w:r>
    </w:p>
    <w:p w14:paraId="6C7BC909" w14:textId="16651566" w:rsidR="00EA14CE" w:rsidRPr="00045F0D" w:rsidRDefault="00EA14CE" w:rsidP="00EA14CE">
      <w:pPr>
        <w:pStyle w:val="ListParagraph"/>
        <w:tabs>
          <w:tab w:val="left" w:pos="44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d) organizon trajnime periodike për strukturat përkatëse në Drejtorinë e Përgjithshme të Tatimeve, sipas profilit të tyre të punës, në lidhje me detyrimet ligjore në fushën e pastrimit të parave dhe financimit të terrorizmit, si dhe tipologjitë përkatëse që lidhen me këto fusha;</w:t>
      </w:r>
    </w:p>
    <w:p w14:paraId="63DC6237" w14:textId="45154F65" w:rsidR="00EA14CE" w:rsidRPr="00045F0D" w:rsidRDefault="00EA14CE" w:rsidP="00EA14CE">
      <w:pPr>
        <w:pStyle w:val="ListParagraph"/>
        <w:tabs>
          <w:tab w:val="left" w:pos="44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e) përgatit raport me shkrim</w:t>
      </w:r>
      <w:r w:rsidR="00045F0D">
        <w:rPr>
          <w:rFonts w:ascii="Garamond" w:hAnsi="Garamond" w:cs="Times New Roman"/>
          <w:sz w:val="24"/>
          <w:szCs w:val="24"/>
        </w:rPr>
        <w:t>,</w:t>
      </w:r>
      <w:r w:rsidRPr="00045F0D">
        <w:rPr>
          <w:rFonts w:ascii="Garamond" w:hAnsi="Garamond" w:cs="Times New Roman"/>
          <w:sz w:val="24"/>
          <w:szCs w:val="24"/>
        </w:rPr>
        <w:t xml:space="preserve"> të paktën një herë në vit</w:t>
      </w:r>
      <w:r w:rsidR="00045F0D">
        <w:rPr>
          <w:rFonts w:ascii="Garamond" w:hAnsi="Garamond" w:cs="Times New Roman"/>
          <w:sz w:val="24"/>
          <w:szCs w:val="24"/>
        </w:rPr>
        <w:t>,</w:t>
      </w:r>
      <w:r w:rsidRPr="00045F0D">
        <w:rPr>
          <w:rFonts w:ascii="Garamond" w:hAnsi="Garamond" w:cs="Times New Roman"/>
          <w:sz w:val="24"/>
          <w:szCs w:val="24"/>
        </w:rPr>
        <w:t xml:space="preserve"> për detyrimet e mësipërme, duke përfshirë numrin e raporteve të dyshimta të identifikuara, tipologjitë e tyre apo të dhëna të tjera që çmohen me interes dhe ia dorëzon </w:t>
      </w:r>
      <w:r w:rsidR="00045F0D" w:rsidRPr="00045F0D">
        <w:rPr>
          <w:rFonts w:ascii="Garamond" w:hAnsi="Garamond" w:cs="Times New Roman"/>
          <w:sz w:val="24"/>
          <w:szCs w:val="24"/>
        </w:rPr>
        <w:t xml:space="preserve">drejtorit të përgjithshëm </w:t>
      </w:r>
      <w:r w:rsidRPr="00045F0D">
        <w:rPr>
          <w:rFonts w:ascii="Garamond" w:hAnsi="Garamond" w:cs="Times New Roman"/>
          <w:sz w:val="24"/>
          <w:szCs w:val="24"/>
        </w:rPr>
        <w:t>të Drejtorisë së Përgjithshme të Tatimeve.</w:t>
      </w:r>
    </w:p>
    <w:p w14:paraId="18B0D33D" w14:textId="1CD6A947"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4. Njësia/struktura qendrore në Drejtorinë e Përgjithshme të Tatimeve ka akses në çdo informacion të nevojshëm që disponon Drejtoria e Përgjithshme e Tatimeve për të përmbushur funksionet e saj, duke ruajtur konfidencialitetin për natyrën e aktiviteteve të kryera.</w:t>
      </w:r>
    </w:p>
    <w:p w14:paraId="52A49D48" w14:textId="7FC347FE"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5. Drejtori i </w:t>
      </w:r>
      <w:r w:rsidR="00045F0D">
        <w:rPr>
          <w:rFonts w:ascii="Garamond" w:hAnsi="Garamond" w:cs="Times New Roman"/>
          <w:sz w:val="24"/>
          <w:szCs w:val="24"/>
        </w:rPr>
        <w:t>p</w:t>
      </w:r>
      <w:r w:rsidRPr="00045F0D">
        <w:rPr>
          <w:rFonts w:ascii="Garamond" w:hAnsi="Garamond" w:cs="Times New Roman"/>
          <w:sz w:val="24"/>
          <w:szCs w:val="24"/>
        </w:rPr>
        <w:t>ërgjithshëm i Drejtorisë së Përgjithshme të Tatimeve ngarkon kontrollin e brendshëm</w:t>
      </w:r>
      <w:r w:rsidR="00045F0D">
        <w:rPr>
          <w:rFonts w:ascii="Garamond" w:hAnsi="Garamond" w:cs="Times New Roman"/>
          <w:sz w:val="24"/>
          <w:szCs w:val="24"/>
        </w:rPr>
        <w:t xml:space="preserve"> </w:t>
      </w:r>
      <w:r w:rsidRPr="00045F0D">
        <w:rPr>
          <w:rFonts w:ascii="Garamond" w:hAnsi="Garamond" w:cs="Times New Roman"/>
          <w:sz w:val="24"/>
          <w:szCs w:val="24"/>
        </w:rPr>
        <w:t>apo struktura të tjera të përshtatshme, për të kontrolluar përputhshmërinë e punonjësve në Drejtorinë e Përgjithshme të Tatimeve lidhur me detyrimet e këtij udhëzimi.</w:t>
      </w:r>
    </w:p>
    <w:p w14:paraId="1032AFFF" w14:textId="77777777" w:rsidR="00EA14CE" w:rsidRPr="00045F0D" w:rsidRDefault="00EA14CE" w:rsidP="00EA14CE">
      <w:pPr>
        <w:spacing w:after="0" w:line="240" w:lineRule="auto"/>
        <w:ind w:firstLine="284"/>
        <w:jc w:val="both"/>
        <w:rPr>
          <w:rFonts w:ascii="Garamond" w:hAnsi="Garamond" w:cs="Times New Roman"/>
          <w:b/>
          <w:bCs/>
          <w:sz w:val="24"/>
          <w:szCs w:val="24"/>
        </w:rPr>
      </w:pPr>
    </w:p>
    <w:p w14:paraId="03967F24" w14:textId="1A52A81B" w:rsidR="00EA14CE" w:rsidRPr="00045F0D" w:rsidRDefault="00EA14CE" w:rsidP="00EA14CE">
      <w:pPr>
        <w:spacing w:after="0" w:line="240" w:lineRule="auto"/>
        <w:ind w:firstLine="284"/>
        <w:jc w:val="center"/>
        <w:rPr>
          <w:rFonts w:ascii="Garamond" w:hAnsi="Garamond" w:cs="Times New Roman"/>
          <w:bCs/>
          <w:sz w:val="24"/>
          <w:szCs w:val="24"/>
        </w:rPr>
      </w:pPr>
      <w:r w:rsidRPr="00045F0D">
        <w:rPr>
          <w:rFonts w:ascii="Garamond" w:hAnsi="Garamond" w:cs="Times New Roman"/>
          <w:bCs/>
          <w:sz w:val="24"/>
          <w:szCs w:val="24"/>
        </w:rPr>
        <w:t>Neni 5</w:t>
      </w:r>
    </w:p>
    <w:p w14:paraId="3F982FB7" w14:textId="7007CC4D" w:rsidR="00EA14CE" w:rsidRPr="00045F0D" w:rsidRDefault="00EA14CE" w:rsidP="00EA14CE">
      <w:pPr>
        <w:spacing w:after="0" w:line="240" w:lineRule="auto"/>
        <w:ind w:firstLine="284"/>
        <w:jc w:val="center"/>
        <w:rPr>
          <w:rFonts w:ascii="Garamond" w:hAnsi="Garamond" w:cs="Times New Roman"/>
          <w:b/>
          <w:bCs/>
          <w:sz w:val="24"/>
          <w:szCs w:val="24"/>
        </w:rPr>
      </w:pPr>
      <w:r w:rsidRPr="00045F0D">
        <w:rPr>
          <w:rFonts w:ascii="Garamond" w:hAnsi="Garamond" w:cs="Times New Roman"/>
          <w:b/>
          <w:bCs/>
          <w:sz w:val="24"/>
          <w:szCs w:val="24"/>
        </w:rPr>
        <w:t>Shkëmbimi i informacionit</w:t>
      </w:r>
    </w:p>
    <w:p w14:paraId="4C6B5CB1" w14:textId="77777777" w:rsidR="00EA14CE" w:rsidRPr="00045F0D" w:rsidRDefault="00EA14CE" w:rsidP="00EA14CE">
      <w:pPr>
        <w:spacing w:after="0" w:line="240" w:lineRule="auto"/>
        <w:ind w:firstLine="284"/>
        <w:jc w:val="center"/>
        <w:rPr>
          <w:rFonts w:ascii="Garamond" w:hAnsi="Garamond" w:cs="Times New Roman"/>
          <w:b/>
          <w:bCs/>
          <w:sz w:val="24"/>
          <w:szCs w:val="24"/>
        </w:rPr>
      </w:pPr>
    </w:p>
    <w:p w14:paraId="4DCFCAA4" w14:textId="02F5A0F2" w:rsidR="00EA14CE" w:rsidRPr="00045F0D" w:rsidRDefault="00EA14CE" w:rsidP="00EA14CE">
      <w:pPr>
        <w:pStyle w:val="ListParagraph"/>
        <w:tabs>
          <w:tab w:val="left" w:pos="0"/>
          <w:tab w:val="left" w:pos="62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1. Informacioni i shkëmbyer ndërmjet Drejtorisë së Përgjithshme të Tatimeve dhe Agjencisë së Inteligjencës Financiare kryhet mbi bazat e konfidencialitetit reciprok.</w:t>
      </w:r>
    </w:p>
    <w:p w14:paraId="379DD556" w14:textId="47DE07C8" w:rsidR="00EA14CE" w:rsidRPr="00045F0D" w:rsidRDefault="00EA14CE" w:rsidP="00EA14CE">
      <w:pPr>
        <w:pStyle w:val="ListParagraph"/>
        <w:tabs>
          <w:tab w:val="left" w:pos="0"/>
        </w:tabs>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2. Kur Agjencia e Inteligjencës Financiare ka bllokuar ose përgatitet të bllokojë një transaksion për 72 orë dhe kërkon informacion nga Drejtoria e Përgjithshme e Tatimeve, ky informacion duhet t’i vihet në dispozicion brenda 48 orëve. Kjo kërkesë mund të bëhet me shkrim ose verbalisht. Çdo kërkesë verbalisht do të dokumentohet me shkrim brenda tri ditësh pune.</w:t>
      </w:r>
    </w:p>
    <w:p w14:paraId="3880D251" w14:textId="77777777" w:rsidR="00EA14CE" w:rsidRPr="00045F0D" w:rsidRDefault="00EA14CE" w:rsidP="00EA14CE">
      <w:pPr>
        <w:pStyle w:val="ListParagraph"/>
        <w:spacing w:after="0" w:line="240" w:lineRule="auto"/>
        <w:ind w:left="0" w:firstLine="284"/>
        <w:rPr>
          <w:rFonts w:ascii="Garamond" w:hAnsi="Garamond" w:cs="Times New Roman"/>
          <w:b/>
          <w:bCs/>
          <w:sz w:val="24"/>
          <w:szCs w:val="24"/>
        </w:rPr>
      </w:pPr>
    </w:p>
    <w:p w14:paraId="38DEECAE" w14:textId="77777777" w:rsidR="003F1DEE" w:rsidRDefault="003F1DEE" w:rsidP="00EA14CE">
      <w:pPr>
        <w:pStyle w:val="ListParagraph"/>
        <w:spacing w:after="0" w:line="240" w:lineRule="auto"/>
        <w:ind w:left="0" w:firstLine="284"/>
        <w:jc w:val="center"/>
        <w:rPr>
          <w:rFonts w:ascii="Garamond" w:hAnsi="Garamond" w:cs="Times New Roman"/>
          <w:bCs/>
          <w:sz w:val="24"/>
          <w:szCs w:val="24"/>
        </w:rPr>
      </w:pPr>
    </w:p>
    <w:p w14:paraId="0C094767" w14:textId="77777777" w:rsidR="003F1DEE" w:rsidRDefault="003F1DEE" w:rsidP="00EA14CE">
      <w:pPr>
        <w:pStyle w:val="ListParagraph"/>
        <w:spacing w:after="0" w:line="240" w:lineRule="auto"/>
        <w:ind w:left="0" w:firstLine="284"/>
        <w:jc w:val="center"/>
        <w:rPr>
          <w:rFonts w:ascii="Garamond" w:hAnsi="Garamond" w:cs="Times New Roman"/>
          <w:bCs/>
          <w:sz w:val="24"/>
          <w:szCs w:val="24"/>
        </w:rPr>
      </w:pPr>
    </w:p>
    <w:p w14:paraId="66A301CF" w14:textId="77777777" w:rsidR="003F1DEE" w:rsidRDefault="003F1DEE" w:rsidP="00EA14CE">
      <w:pPr>
        <w:pStyle w:val="ListParagraph"/>
        <w:spacing w:after="0" w:line="240" w:lineRule="auto"/>
        <w:ind w:left="0" w:firstLine="284"/>
        <w:jc w:val="center"/>
        <w:rPr>
          <w:rFonts w:ascii="Garamond" w:hAnsi="Garamond" w:cs="Times New Roman"/>
          <w:bCs/>
          <w:sz w:val="24"/>
          <w:szCs w:val="24"/>
        </w:rPr>
      </w:pPr>
    </w:p>
    <w:p w14:paraId="2F295FBF" w14:textId="77777777" w:rsidR="003F1DEE" w:rsidRDefault="003F1DEE" w:rsidP="00EA14CE">
      <w:pPr>
        <w:pStyle w:val="ListParagraph"/>
        <w:spacing w:after="0" w:line="240" w:lineRule="auto"/>
        <w:ind w:left="0" w:firstLine="284"/>
        <w:jc w:val="center"/>
        <w:rPr>
          <w:rFonts w:ascii="Garamond" w:hAnsi="Garamond" w:cs="Times New Roman"/>
          <w:bCs/>
          <w:sz w:val="24"/>
          <w:szCs w:val="24"/>
        </w:rPr>
      </w:pPr>
    </w:p>
    <w:p w14:paraId="626E143F" w14:textId="6E89D36C" w:rsidR="00EA14CE" w:rsidRPr="00045F0D" w:rsidRDefault="00EA14CE" w:rsidP="00EA14CE">
      <w:pPr>
        <w:pStyle w:val="ListParagraph"/>
        <w:spacing w:after="0" w:line="240" w:lineRule="auto"/>
        <w:ind w:left="0" w:firstLine="284"/>
        <w:jc w:val="center"/>
        <w:rPr>
          <w:rFonts w:ascii="Garamond" w:hAnsi="Garamond" w:cs="Times New Roman"/>
          <w:bCs/>
          <w:sz w:val="24"/>
          <w:szCs w:val="24"/>
        </w:rPr>
      </w:pPr>
      <w:r w:rsidRPr="00045F0D">
        <w:rPr>
          <w:rFonts w:ascii="Garamond" w:hAnsi="Garamond" w:cs="Times New Roman"/>
          <w:bCs/>
          <w:sz w:val="24"/>
          <w:szCs w:val="24"/>
        </w:rPr>
        <w:lastRenderedPageBreak/>
        <w:t>Neni 6</w:t>
      </w:r>
    </w:p>
    <w:p w14:paraId="340BA0B6" w14:textId="77777777" w:rsidR="00EA14CE" w:rsidRPr="00045F0D" w:rsidRDefault="00EA14CE" w:rsidP="00EA14CE">
      <w:pPr>
        <w:pStyle w:val="ListParagraph"/>
        <w:spacing w:after="0" w:line="240" w:lineRule="auto"/>
        <w:ind w:left="0" w:firstLine="284"/>
        <w:jc w:val="center"/>
        <w:rPr>
          <w:rFonts w:ascii="Garamond" w:hAnsi="Garamond" w:cs="Times New Roman"/>
          <w:b/>
          <w:bCs/>
          <w:sz w:val="24"/>
          <w:szCs w:val="24"/>
        </w:rPr>
      </w:pPr>
      <w:r w:rsidRPr="00045F0D">
        <w:rPr>
          <w:rFonts w:ascii="Garamond" w:hAnsi="Garamond" w:cs="Times New Roman"/>
          <w:b/>
          <w:bCs/>
          <w:sz w:val="24"/>
          <w:szCs w:val="24"/>
        </w:rPr>
        <w:t>Kërkesa për mos deklarim dhe përjashtimi nga përgjegjësia ligjore për raportim</w:t>
      </w:r>
    </w:p>
    <w:p w14:paraId="3D212834" w14:textId="77777777" w:rsidR="00EA14CE" w:rsidRPr="00045F0D" w:rsidRDefault="00EA14CE" w:rsidP="00EA14CE">
      <w:pPr>
        <w:pStyle w:val="ListParagraph"/>
        <w:spacing w:after="0" w:line="240" w:lineRule="auto"/>
        <w:ind w:left="0" w:firstLine="284"/>
        <w:jc w:val="center"/>
        <w:rPr>
          <w:rFonts w:ascii="Garamond" w:hAnsi="Garamond" w:cs="Times New Roman"/>
          <w:sz w:val="24"/>
          <w:szCs w:val="24"/>
        </w:rPr>
      </w:pPr>
    </w:p>
    <w:p w14:paraId="3C1034AC" w14:textId="4DEFE123"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1.</w:t>
      </w:r>
      <w:r w:rsidR="00AC5994" w:rsidRPr="00045F0D">
        <w:rPr>
          <w:rFonts w:ascii="Garamond" w:hAnsi="Garamond" w:cs="Times New Roman"/>
          <w:sz w:val="24"/>
          <w:szCs w:val="24"/>
        </w:rPr>
        <w:t xml:space="preserve"> </w:t>
      </w:r>
      <w:r w:rsidRPr="00045F0D">
        <w:rPr>
          <w:rFonts w:ascii="Garamond" w:hAnsi="Garamond" w:cs="Times New Roman"/>
          <w:sz w:val="24"/>
          <w:szCs w:val="24"/>
        </w:rPr>
        <w:t>Punonjësve të Drejtorisë së Përgjithshme të Tatimeve u ndalohet të informojnë çdo person për dërgimin apo përgatitjen për dërgim të informacionit për Agjencinë e Inteligjencës Financiare, për RAD</w:t>
      </w:r>
      <w:r w:rsidR="00045F0D">
        <w:rPr>
          <w:rFonts w:ascii="Garamond" w:hAnsi="Garamond" w:cs="Times New Roman"/>
          <w:sz w:val="24"/>
          <w:szCs w:val="24"/>
        </w:rPr>
        <w:t>-in</w:t>
      </w:r>
      <w:r w:rsidRPr="00045F0D">
        <w:rPr>
          <w:rFonts w:ascii="Garamond" w:hAnsi="Garamond" w:cs="Times New Roman"/>
          <w:sz w:val="24"/>
          <w:szCs w:val="24"/>
        </w:rPr>
        <w:t>, si dhe për çdo informacion që kërkohet nga Agjencia e Inteligjencës Financiare apo për hetimet/verifikimet që janë duke u kryer.</w:t>
      </w:r>
    </w:p>
    <w:p w14:paraId="313C2AD7" w14:textId="51C54442"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2.</w:t>
      </w:r>
      <w:r w:rsidR="00AC5994" w:rsidRPr="00045F0D">
        <w:rPr>
          <w:rFonts w:ascii="Garamond" w:hAnsi="Garamond" w:cs="Times New Roman"/>
          <w:sz w:val="24"/>
          <w:szCs w:val="24"/>
        </w:rPr>
        <w:t xml:space="preserve"> </w:t>
      </w:r>
      <w:r w:rsidRPr="00045F0D">
        <w:rPr>
          <w:rFonts w:ascii="Garamond" w:hAnsi="Garamond" w:cs="Times New Roman"/>
          <w:sz w:val="24"/>
          <w:szCs w:val="24"/>
        </w:rPr>
        <w:t xml:space="preserve">Punonjësit e Drejtorisë të Përgjithshme të Tatimeve, të cilët në mirëbesim raportojnë ose japin informacion, në përputhje me dispozitat e këtij udhëzimi pranë Agjencisë </w:t>
      </w:r>
      <w:r w:rsidR="00045F0D">
        <w:rPr>
          <w:rFonts w:ascii="Garamond" w:hAnsi="Garamond" w:cs="Times New Roman"/>
          <w:sz w:val="24"/>
          <w:szCs w:val="24"/>
        </w:rPr>
        <w:t>së</w:t>
      </w:r>
      <w:r w:rsidRPr="00045F0D">
        <w:rPr>
          <w:rFonts w:ascii="Garamond" w:hAnsi="Garamond" w:cs="Times New Roman"/>
          <w:sz w:val="24"/>
          <w:szCs w:val="24"/>
        </w:rPr>
        <w:t xml:space="preserve"> Inteligjencës Financiare, janë të përjashtuar nga përgjegjësia penale, civile ose administrative për nxjerrjen e sekretit profesional ose bankar të përcaktuar nga legjislacioni i posaçëm në fuqi. Zgjidhja e kontratës së punës, masat disiplinore apo diskriminuese për punonjësin që përmbush detyrimin për raportim brenda Drejtorisë të Përgjithshme të Tatimeve ose tek Agjencia e Inteligjencës Financiare konsiderohen masa pa shkaqe të arsyeshme.</w:t>
      </w:r>
    </w:p>
    <w:p w14:paraId="155DB0B1" w14:textId="77777777" w:rsidR="00EA14CE" w:rsidRPr="00045F0D" w:rsidRDefault="00EA14CE" w:rsidP="00EA14CE">
      <w:pPr>
        <w:pStyle w:val="ListParagraph"/>
        <w:spacing w:after="0" w:line="240" w:lineRule="auto"/>
        <w:ind w:left="0" w:firstLine="284"/>
        <w:jc w:val="both"/>
        <w:rPr>
          <w:rFonts w:ascii="Garamond" w:hAnsi="Garamond" w:cs="Times New Roman"/>
          <w:b/>
          <w:bCs/>
          <w:sz w:val="24"/>
          <w:szCs w:val="24"/>
        </w:rPr>
      </w:pPr>
    </w:p>
    <w:p w14:paraId="677D6EFF" w14:textId="77777777" w:rsidR="00EA14CE" w:rsidRPr="00045F0D" w:rsidRDefault="00EA14CE" w:rsidP="00EA14CE">
      <w:pPr>
        <w:pStyle w:val="ListParagraph"/>
        <w:spacing w:after="0" w:line="240" w:lineRule="auto"/>
        <w:ind w:left="0" w:firstLine="284"/>
        <w:jc w:val="center"/>
        <w:rPr>
          <w:rFonts w:ascii="Garamond" w:hAnsi="Garamond" w:cs="Times New Roman"/>
          <w:bCs/>
          <w:sz w:val="24"/>
          <w:szCs w:val="24"/>
        </w:rPr>
      </w:pPr>
      <w:r w:rsidRPr="00045F0D">
        <w:rPr>
          <w:rFonts w:ascii="Garamond" w:hAnsi="Garamond" w:cs="Times New Roman"/>
          <w:bCs/>
          <w:sz w:val="24"/>
          <w:szCs w:val="24"/>
        </w:rPr>
        <w:t>Neni 7</w:t>
      </w:r>
    </w:p>
    <w:p w14:paraId="67013D7A" w14:textId="0D0081BA" w:rsidR="00EA14CE" w:rsidRPr="00045F0D" w:rsidRDefault="00EA14CE" w:rsidP="00EA14CE">
      <w:pPr>
        <w:pStyle w:val="ListParagraph"/>
        <w:spacing w:after="0" w:line="240" w:lineRule="auto"/>
        <w:ind w:left="0" w:firstLine="284"/>
        <w:jc w:val="center"/>
        <w:rPr>
          <w:rFonts w:ascii="Garamond" w:hAnsi="Garamond" w:cs="Times New Roman"/>
          <w:b/>
          <w:sz w:val="24"/>
          <w:szCs w:val="24"/>
        </w:rPr>
      </w:pPr>
      <w:r w:rsidRPr="00045F0D">
        <w:rPr>
          <w:rFonts w:ascii="Garamond" w:hAnsi="Garamond" w:cs="Times New Roman"/>
          <w:b/>
          <w:sz w:val="24"/>
          <w:szCs w:val="24"/>
        </w:rPr>
        <w:t>Dispozita të fundit</w:t>
      </w:r>
    </w:p>
    <w:p w14:paraId="35A06636" w14:textId="77777777" w:rsidR="00EA14CE" w:rsidRPr="00045F0D" w:rsidRDefault="00EA14CE" w:rsidP="00EA14CE">
      <w:pPr>
        <w:spacing w:after="0" w:line="240" w:lineRule="auto"/>
        <w:ind w:firstLine="284"/>
        <w:jc w:val="center"/>
        <w:rPr>
          <w:rFonts w:ascii="Garamond" w:hAnsi="Garamond" w:cs="Times New Roman"/>
          <w:b/>
          <w:bCs/>
          <w:sz w:val="24"/>
          <w:szCs w:val="24"/>
        </w:rPr>
      </w:pPr>
    </w:p>
    <w:p w14:paraId="657DE6E1" w14:textId="16E16900"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1. Drejtoria e Përgjithshme e Tatimeve dhe Agjencia e Inteligjencës Financiare ngarkohen për zbatimin e këtij udhëzimi dhe të anekseve si pjesë organike të tij: </w:t>
      </w:r>
    </w:p>
    <w:p w14:paraId="2A0F2799" w14:textId="0955E5CC"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a) aneks I “Raporti i aktivitetit të dyshimtë” (RAD);</w:t>
      </w:r>
    </w:p>
    <w:p w14:paraId="226ED49A" w14:textId="7D3125F7"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b) aneksi II “Treguesit e aktivitetit të dyshimtë të pastrimit të parave dhe financimit të terrorizmit”.</w:t>
      </w:r>
    </w:p>
    <w:p w14:paraId="10DEDE62" w14:textId="6975C3D9"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2. Pas hyrjes në fuqi të këtij udhëzimi, udhëzimi nr.</w:t>
      </w:r>
      <w:r w:rsidR="00045F0D">
        <w:rPr>
          <w:rFonts w:ascii="Garamond" w:hAnsi="Garamond" w:cs="Times New Roman"/>
          <w:sz w:val="24"/>
          <w:szCs w:val="24"/>
        </w:rPr>
        <w:t xml:space="preserve"> </w:t>
      </w:r>
      <w:r w:rsidRPr="00045F0D">
        <w:rPr>
          <w:rFonts w:ascii="Garamond" w:hAnsi="Garamond" w:cs="Times New Roman"/>
          <w:sz w:val="24"/>
          <w:szCs w:val="24"/>
        </w:rPr>
        <w:t>16 datë 16.2.2009</w:t>
      </w:r>
      <w:r w:rsidR="00045F0D">
        <w:rPr>
          <w:rFonts w:ascii="Garamond" w:hAnsi="Garamond" w:cs="Times New Roman"/>
          <w:sz w:val="24"/>
          <w:szCs w:val="24"/>
        </w:rPr>
        <w:t>,</w:t>
      </w:r>
      <w:r w:rsidRPr="00045F0D">
        <w:rPr>
          <w:rFonts w:ascii="Garamond" w:hAnsi="Garamond" w:cs="Times New Roman"/>
          <w:sz w:val="24"/>
          <w:szCs w:val="24"/>
        </w:rPr>
        <w:t xml:space="preserve"> “Për parandalimin e pastrimit të parave dhe për të luftuar financimin e terrorizmit në sistemin e tatim-taksave” shfuqizohet. </w:t>
      </w:r>
    </w:p>
    <w:p w14:paraId="5105FF30" w14:textId="689788C4" w:rsidR="00EA14CE" w:rsidRPr="00045F0D" w:rsidRDefault="00EA14CE" w:rsidP="00EA14CE">
      <w:pPr>
        <w:pStyle w:val="ListParagraph"/>
        <w:spacing w:after="0" w:line="240" w:lineRule="auto"/>
        <w:ind w:left="0" w:firstLine="284"/>
        <w:jc w:val="both"/>
        <w:rPr>
          <w:rFonts w:ascii="Garamond" w:hAnsi="Garamond" w:cs="Times New Roman"/>
          <w:sz w:val="24"/>
          <w:szCs w:val="24"/>
        </w:rPr>
      </w:pPr>
      <w:r w:rsidRPr="00045F0D">
        <w:rPr>
          <w:rFonts w:ascii="Garamond" w:hAnsi="Garamond" w:cs="Times New Roman"/>
          <w:sz w:val="24"/>
          <w:szCs w:val="24"/>
        </w:rPr>
        <w:t xml:space="preserve">3. Ky udhëzim hyn në fuqi pas botimit në Fletoren Zyrtare. </w:t>
      </w:r>
    </w:p>
    <w:p w14:paraId="6E1BA702" w14:textId="77777777" w:rsidR="00EA14CE" w:rsidRPr="00045F0D" w:rsidRDefault="00EA14CE" w:rsidP="00EA14CE">
      <w:pPr>
        <w:spacing w:after="0" w:line="240" w:lineRule="auto"/>
        <w:ind w:firstLine="284"/>
        <w:jc w:val="right"/>
        <w:rPr>
          <w:rFonts w:ascii="Garamond" w:hAnsi="Garamond" w:cs="Times New Roman"/>
          <w:b/>
          <w:bCs/>
          <w:sz w:val="24"/>
          <w:szCs w:val="24"/>
        </w:rPr>
      </w:pPr>
    </w:p>
    <w:p w14:paraId="35E2D803" w14:textId="3CFDE843" w:rsidR="00EA14CE" w:rsidRPr="00045F0D" w:rsidRDefault="00EA14CE" w:rsidP="00EA14CE">
      <w:pPr>
        <w:spacing w:after="0" w:line="240" w:lineRule="auto"/>
        <w:ind w:firstLine="284"/>
        <w:jc w:val="right"/>
        <w:rPr>
          <w:rFonts w:ascii="Garamond" w:hAnsi="Garamond" w:cs="Times New Roman"/>
          <w:bCs/>
          <w:sz w:val="24"/>
          <w:szCs w:val="24"/>
        </w:rPr>
      </w:pPr>
      <w:r w:rsidRPr="00045F0D">
        <w:rPr>
          <w:rFonts w:ascii="Garamond" w:hAnsi="Garamond" w:cs="Times New Roman"/>
          <w:bCs/>
          <w:sz w:val="24"/>
          <w:szCs w:val="24"/>
        </w:rPr>
        <w:t>MINIST</w:t>
      </w:r>
      <w:r w:rsidR="00677AE0" w:rsidRPr="00045F0D">
        <w:rPr>
          <w:rFonts w:ascii="Garamond" w:hAnsi="Garamond" w:cs="Times New Roman"/>
          <w:bCs/>
          <w:sz w:val="24"/>
          <w:szCs w:val="24"/>
        </w:rPr>
        <w:t>ËR</w:t>
      </w:r>
      <w:r w:rsidR="00045F0D" w:rsidRPr="00045F0D">
        <w:rPr>
          <w:rFonts w:ascii="Garamond" w:hAnsi="Garamond" w:cs="Times New Roman"/>
          <w:bCs/>
          <w:sz w:val="24"/>
          <w:szCs w:val="24"/>
        </w:rPr>
        <w:t xml:space="preserve"> I FINANCAVE</w:t>
      </w:r>
    </w:p>
    <w:p w14:paraId="557C9730" w14:textId="4F2A6056" w:rsidR="00EA14CE" w:rsidRPr="00045F0D" w:rsidRDefault="00677AE0" w:rsidP="00EA14CE">
      <w:pPr>
        <w:spacing w:after="0" w:line="240" w:lineRule="auto"/>
        <w:ind w:firstLine="284"/>
        <w:jc w:val="right"/>
        <w:rPr>
          <w:rFonts w:ascii="Garamond" w:hAnsi="Garamond" w:cs="Times New Roman"/>
          <w:b/>
          <w:bCs/>
          <w:sz w:val="24"/>
          <w:szCs w:val="24"/>
        </w:rPr>
      </w:pPr>
      <w:r w:rsidRPr="00045F0D">
        <w:rPr>
          <w:rFonts w:ascii="Garamond" w:hAnsi="Garamond" w:cs="Times New Roman"/>
          <w:b/>
          <w:bCs/>
          <w:sz w:val="24"/>
          <w:szCs w:val="24"/>
        </w:rPr>
        <w:t>Ervin Mete</w:t>
      </w:r>
    </w:p>
    <w:p w14:paraId="1D762D19" w14:textId="77777777" w:rsidR="00EA14CE" w:rsidRPr="00045F0D" w:rsidRDefault="00EA14CE" w:rsidP="00150B7F">
      <w:pPr>
        <w:spacing w:after="0"/>
        <w:jc w:val="center"/>
        <w:rPr>
          <w:rFonts w:ascii="Times New Roman" w:hAnsi="Times New Roman" w:cs="Times New Roman"/>
          <w:b/>
          <w:sz w:val="24"/>
          <w:szCs w:val="24"/>
        </w:rPr>
      </w:pPr>
    </w:p>
    <w:p w14:paraId="78344A45" w14:textId="73C42129" w:rsidR="00AA0739" w:rsidRPr="00045F0D" w:rsidRDefault="00746A09" w:rsidP="00150B7F">
      <w:pPr>
        <w:spacing w:after="0"/>
        <w:jc w:val="center"/>
        <w:rPr>
          <w:rFonts w:ascii="Garamond" w:hAnsi="Garamond" w:cs="Times New Roman"/>
          <w:b/>
          <w:sz w:val="24"/>
          <w:szCs w:val="24"/>
        </w:rPr>
      </w:pPr>
      <w:r w:rsidRPr="00045F0D">
        <w:rPr>
          <w:rFonts w:ascii="Garamond" w:hAnsi="Garamond" w:cs="Times New Roman"/>
          <w:b/>
          <w:sz w:val="24"/>
          <w:szCs w:val="24"/>
        </w:rPr>
        <w:t xml:space="preserve">ANEKS </w:t>
      </w:r>
      <w:r w:rsidR="00AA0739" w:rsidRPr="00045F0D">
        <w:rPr>
          <w:rFonts w:ascii="Garamond" w:hAnsi="Garamond" w:cs="Times New Roman"/>
          <w:b/>
          <w:sz w:val="24"/>
          <w:szCs w:val="24"/>
        </w:rPr>
        <w:t>I</w:t>
      </w:r>
    </w:p>
    <w:p w14:paraId="18885C22" w14:textId="51552C71" w:rsidR="00AA0739" w:rsidRPr="00045F0D" w:rsidRDefault="00395D97" w:rsidP="00150B7F">
      <w:pPr>
        <w:spacing w:after="0"/>
        <w:jc w:val="center"/>
        <w:rPr>
          <w:rFonts w:ascii="Garamond" w:hAnsi="Garamond" w:cs="Times New Roman"/>
          <w:sz w:val="24"/>
          <w:szCs w:val="24"/>
        </w:rPr>
      </w:pPr>
      <w:r w:rsidRPr="00045F0D">
        <w:rPr>
          <w:rFonts w:ascii="Garamond" w:hAnsi="Garamond" w:cs="Times New Roman"/>
          <w:sz w:val="24"/>
          <w:szCs w:val="24"/>
        </w:rPr>
        <w:t>FORMULARI I RAPORTIMIT T</w:t>
      </w:r>
      <w:r w:rsidR="00C47DB5">
        <w:rPr>
          <w:rFonts w:ascii="Garamond" w:hAnsi="Garamond" w:cs="Times New Roman"/>
          <w:sz w:val="24"/>
          <w:szCs w:val="24"/>
        </w:rPr>
        <w:t>Ë</w:t>
      </w:r>
      <w:r w:rsidRPr="00045F0D">
        <w:rPr>
          <w:rFonts w:ascii="Garamond" w:hAnsi="Garamond" w:cs="Times New Roman"/>
          <w:sz w:val="24"/>
          <w:szCs w:val="24"/>
        </w:rPr>
        <w:t xml:space="preserve"> AKTIVITETIT TË DYSHIMTË </w:t>
      </w:r>
      <w:r w:rsidR="00AA0739" w:rsidRPr="00045F0D">
        <w:rPr>
          <w:rFonts w:ascii="Garamond" w:hAnsi="Garamond" w:cs="Times New Roman"/>
          <w:sz w:val="24"/>
          <w:szCs w:val="24"/>
        </w:rPr>
        <w:t>NGA AUTORITETET TATIMORE</w:t>
      </w:r>
    </w:p>
    <w:p w14:paraId="3275EFF3" w14:textId="77777777" w:rsidR="00AA0739" w:rsidRPr="00045F0D" w:rsidRDefault="00AA0739" w:rsidP="00150B7F">
      <w:pPr>
        <w:spacing w:after="0"/>
        <w:jc w:val="center"/>
        <w:rPr>
          <w:rFonts w:ascii="Garamond" w:hAnsi="Garamond" w:cs="Times New Roman"/>
          <w:b/>
          <w:sz w:val="24"/>
          <w:szCs w:val="24"/>
        </w:rPr>
      </w:pPr>
    </w:p>
    <w:p w14:paraId="424340BE" w14:textId="470F567E" w:rsidR="00AA0739" w:rsidRPr="00045F0D" w:rsidRDefault="00AA0739" w:rsidP="00150B7F">
      <w:pPr>
        <w:spacing w:after="0"/>
        <w:jc w:val="center"/>
        <w:rPr>
          <w:rFonts w:ascii="Garamond" w:hAnsi="Garamond" w:cs="Times New Roman"/>
          <w:sz w:val="24"/>
          <w:szCs w:val="24"/>
        </w:rPr>
      </w:pPr>
      <w:r w:rsidRPr="00045F0D">
        <w:rPr>
          <w:rFonts w:ascii="Garamond" w:hAnsi="Garamond" w:cs="Times New Roman"/>
          <w:sz w:val="24"/>
          <w:szCs w:val="24"/>
        </w:rPr>
        <w:t>PJESA I</w:t>
      </w:r>
    </w:p>
    <w:p w14:paraId="2917A24D" w14:textId="0000D076" w:rsidR="00AA0739" w:rsidRPr="00045F0D" w:rsidRDefault="00891367" w:rsidP="00150B7F">
      <w:pPr>
        <w:spacing w:after="0"/>
        <w:jc w:val="center"/>
        <w:rPr>
          <w:rFonts w:ascii="Garamond" w:hAnsi="Garamond" w:cs="Times New Roman"/>
          <w:sz w:val="24"/>
          <w:szCs w:val="24"/>
        </w:rPr>
      </w:pPr>
      <w:r w:rsidRPr="00045F0D">
        <w:rPr>
          <w:rFonts w:ascii="Garamond" w:hAnsi="Garamond" w:cs="Times New Roman"/>
          <w:sz w:val="24"/>
          <w:szCs w:val="24"/>
        </w:rPr>
        <w:t xml:space="preserve"> SUBJEKTET E PËRFSHIRA NË TRANSAKSION</w:t>
      </w:r>
    </w:p>
    <w:p w14:paraId="0ABA1F52" w14:textId="77777777" w:rsidR="00AA0739" w:rsidRPr="00045F0D" w:rsidRDefault="00AA0739" w:rsidP="00150B7F">
      <w:pPr>
        <w:spacing w:after="0"/>
        <w:jc w:val="center"/>
        <w:rPr>
          <w:rFonts w:ascii="Garamond" w:hAnsi="Garamond" w:cs="Times New Roman"/>
          <w:b/>
          <w:sz w:val="24"/>
          <w:szCs w:val="24"/>
        </w:rPr>
      </w:pPr>
    </w:p>
    <w:p w14:paraId="21503ADF" w14:textId="0BE82F01" w:rsidR="00AA0739" w:rsidRPr="00045F0D" w:rsidRDefault="00AA0739" w:rsidP="00150B7F">
      <w:pPr>
        <w:spacing w:after="0"/>
        <w:jc w:val="both"/>
        <w:rPr>
          <w:rFonts w:ascii="Garamond" w:hAnsi="Garamond" w:cs="Times New Roman"/>
          <w:sz w:val="24"/>
          <w:szCs w:val="24"/>
        </w:rPr>
      </w:pPr>
      <w:r w:rsidRPr="00045F0D">
        <w:rPr>
          <w:rFonts w:ascii="Garamond" w:hAnsi="Garamond" w:cs="Times New Roman"/>
          <w:noProof/>
          <w:sz w:val="24"/>
          <w:szCs w:val="24"/>
          <w:lang w:eastAsia="sq-AL"/>
        </w:rPr>
        <mc:AlternateContent>
          <mc:Choice Requires="wps">
            <w:drawing>
              <wp:anchor distT="0" distB="0" distL="114300" distR="114300" simplePos="0" relativeHeight="251658241" behindDoc="0" locked="0" layoutInCell="1" allowOverlap="1" wp14:anchorId="7111333D" wp14:editId="777EDEBF">
                <wp:simplePos x="0" y="0"/>
                <wp:positionH relativeFrom="column">
                  <wp:posOffset>5024793</wp:posOffset>
                </wp:positionH>
                <wp:positionV relativeFrom="paragraph">
                  <wp:posOffset>9525</wp:posOffset>
                </wp:positionV>
                <wp:extent cx="17145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71450" cy="17145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759CB" id="Rectangle 2" o:spid="_x0000_s1026" style="position:absolute;margin-left:395.65pt;margin-top:.75pt;width:13.5pt;height: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" fillcolor="window" strokecolor="#385d8a" strokeweight="2pt"/>
            </w:pict>
          </mc:Fallback>
        </mc:AlternateContent>
      </w:r>
      <w:r w:rsidRPr="00045F0D">
        <w:rPr>
          <w:rFonts w:ascii="Garamond" w:hAnsi="Garamond" w:cs="Times New Roman"/>
          <w:noProof/>
          <w:sz w:val="24"/>
          <w:szCs w:val="24"/>
          <w:lang w:eastAsia="sq-AL"/>
        </w:rPr>
        <mc:AlternateContent>
          <mc:Choice Requires="wps">
            <w:drawing>
              <wp:anchor distT="0" distB="0" distL="114300" distR="114300" simplePos="0" relativeHeight="251658242" behindDoc="0" locked="0" layoutInCell="1" allowOverlap="1" wp14:anchorId="3DC90D05" wp14:editId="361C8BE5">
                <wp:simplePos x="0" y="0"/>
                <wp:positionH relativeFrom="column">
                  <wp:posOffset>3409950</wp:posOffset>
                </wp:positionH>
                <wp:positionV relativeFrom="paragraph">
                  <wp:posOffset>9525</wp:posOffset>
                </wp:positionV>
                <wp:extent cx="171450" cy="1714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1450" cy="17145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6E04A" id="Rectangle 3" o:spid="_x0000_s1026" style="position:absolute;margin-left:268.5pt;margin-top:.75pt;width:13.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" fillcolor="window" strokecolor="#385d8a" strokeweight="2pt"/>
            </w:pict>
          </mc:Fallback>
        </mc:AlternateContent>
      </w:r>
      <w:r w:rsidRPr="00045F0D">
        <w:rPr>
          <w:rFonts w:ascii="Garamond" w:hAnsi="Garamond" w:cs="Times New Roman"/>
          <w:noProof/>
          <w:sz w:val="24"/>
          <w:szCs w:val="24"/>
          <w:lang w:eastAsia="sq-AL"/>
        </w:rPr>
        <mc:AlternateContent>
          <mc:Choice Requires="wps">
            <w:drawing>
              <wp:anchor distT="0" distB="0" distL="114300" distR="114300" simplePos="0" relativeHeight="251658243" behindDoc="0" locked="0" layoutInCell="1" allowOverlap="1" wp14:anchorId="18F5E08F" wp14:editId="7FE03DC2">
                <wp:simplePos x="0" y="0"/>
                <wp:positionH relativeFrom="column">
                  <wp:posOffset>1885950</wp:posOffset>
                </wp:positionH>
                <wp:positionV relativeFrom="paragraph">
                  <wp:posOffset>9525</wp:posOffset>
                </wp:positionV>
                <wp:extent cx="171450" cy="1714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71450" cy="17145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F9E0A" id="Rectangle 4" o:spid="_x0000_s1026" style="position:absolute;margin-left:148.5pt;margin-top:.75pt;width:13.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" fillcolor="window" strokecolor="#385d8a" strokeweight="2pt"/>
            </w:pict>
          </mc:Fallback>
        </mc:AlternateContent>
      </w:r>
      <w:r w:rsidRPr="00045F0D">
        <w:rPr>
          <w:rFonts w:ascii="Garamond" w:hAnsi="Garamond" w:cs="Times New Roman"/>
          <w:noProof/>
          <w:sz w:val="24"/>
          <w:szCs w:val="24"/>
          <w:lang w:eastAsia="sq-AL"/>
        </w:rPr>
        <mc:AlternateContent>
          <mc:Choice Requires="wps">
            <w:drawing>
              <wp:anchor distT="0" distB="0" distL="114300" distR="114300" simplePos="0" relativeHeight="251658240" behindDoc="0" locked="0" layoutInCell="1" allowOverlap="1" wp14:anchorId="481AD5A8" wp14:editId="4883621A">
                <wp:simplePos x="0" y="0"/>
                <wp:positionH relativeFrom="column">
                  <wp:posOffset>504825</wp:posOffset>
                </wp:positionH>
                <wp:positionV relativeFrom="paragraph">
                  <wp:posOffset>13335</wp:posOffset>
                </wp:positionV>
                <wp:extent cx="171450" cy="1714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71450" cy="171450"/>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BF814" id="Rectangle 1" o:spid="_x0000_s1026" style="position:absolute;margin-left:39.75pt;margin-top:1.05pt;width:13.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" fillcolor="window" strokecolor="#385d8a" strokeweight="2pt"/>
            </w:pict>
          </mc:Fallback>
        </mc:AlternateContent>
      </w:r>
      <w:r w:rsidRPr="00045F0D">
        <w:rPr>
          <w:rFonts w:ascii="Garamond" w:hAnsi="Garamond" w:cs="Times New Roman"/>
          <w:sz w:val="24"/>
          <w:szCs w:val="24"/>
        </w:rPr>
        <w:t xml:space="preserve">Individ                Person </w:t>
      </w:r>
      <w:r w:rsidR="00045F0D">
        <w:rPr>
          <w:rFonts w:ascii="Garamond" w:hAnsi="Garamond" w:cs="Times New Roman"/>
          <w:sz w:val="24"/>
          <w:szCs w:val="24"/>
        </w:rPr>
        <w:t>f</w:t>
      </w:r>
      <w:r w:rsidRPr="00045F0D">
        <w:rPr>
          <w:rFonts w:ascii="Garamond" w:hAnsi="Garamond" w:cs="Times New Roman"/>
          <w:sz w:val="24"/>
          <w:szCs w:val="24"/>
        </w:rPr>
        <w:t xml:space="preserve">izik                  Person </w:t>
      </w:r>
      <w:r w:rsidR="00045F0D">
        <w:rPr>
          <w:rFonts w:ascii="Garamond" w:hAnsi="Garamond" w:cs="Times New Roman"/>
          <w:sz w:val="24"/>
          <w:szCs w:val="24"/>
        </w:rPr>
        <w:t>j</w:t>
      </w:r>
      <w:r w:rsidRPr="00045F0D">
        <w:rPr>
          <w:rFonts w:ascii="Garamond" w:hAnsi="Garamond" w:cs="Times New Roman"/>
          <w:sz w:val="24"/>
          <w:szCs w:val="24"/>
        </w:rPr>
        <w:t xml:space="preserve">uridik               Përfaqësues </w:t>
      </w:r>
      <w:r w:rsidR="00045F0D">
        <w:rPr>
          <w:rFonts w:ascii="Garamond" w:hAnsi="Garamond" w:cs="Times New Roman"/>
          <w:sz w:val="24"/>
          <w:szCs w:val="24"/>
        </w:rPr>
        <w:t>l</w:t>
      </w:r>
      <w:r w:rsidRPr="00045F0D">
        <w:rPr>
          <w:rFonts w:ascii="Garamond" w:hAnsi="Garamond" w:cs="Times New Roman"/>
          <w:sz w:val="24"/>
          <w:szCs w:val="24"/>
        </w:rPr>
        <w:t>igjor</w:t>
      </w:r>
    </w:p>
    <w:tbl>
      <w:tblPr>
        <w:tblStyle w:val="TableGrid0"/>
        <w:tblpPr w:leftFromText="180" w:rightFromText="180" w:vertAnchor="text" w:horzAnchor="margin" w:tblpY="480"/>
        <w:tblW w:w="5000" w:type="pct"/>
        <w:tblLook w:val="04A0" w:firstRow="1" w:lastRow="0" w:firstColumn="1" w:lastColumn="0" w:noHBand="0" w:noVBand="1"/>
      </w:tblPr>
      <w:tblGrid>
        <w:gridCol w:w="4149"/>
        <w:gridCol w:w="4867"/>
      </w:tblGrid>
      <w:tr w:rsidR="00AA0739" w:rsidRPr="00045F0D" w14:paraId="00376E24" w14:textId="77777777" w:rsidTr="00EA14CE">
        <w:trPr>
          <w:trHeight w:val="20"/>
        </w:trPr>
        <w:tc>
          <w:tcPr>
            <w:tcW w:w="5000" w:type="pct"/>
            <w:gridSpan w:val="2"/>
            <w:vAlign w:val="center"/>
          </w:tcPr>
          <w:p w14:paraId="1DEF4BB0" w14:textId="77777777" w:rsidR="00AA0739" w:rsidRPr="00045F0D" w:rsidRDefault="00AA0739" w:rsidP="00EA14CE">
            <w:pPr>
              <w:spacing w:line="276" w:lineRule="auto"/>
              <w:jc w:val="center"/>
              <w:rPr>
                <w:rFonts w:ascii="Garamond" w:hAnsi="Garamond" w:cs="Times New Roman"/>
                <w:b/>
                <w:sz w:val="24"/>
                <w:szCs w:val="24"/>
              </w:rPr>
            </w:pPr>
            <w:r w:rsidRPr="00045F0D">
              <w:rPr>
                <w:rFonts w:ascii="Garamond" w:hAnsi="Garamond" w:cs="Times New Roman"/>
                <w:b/>
                <w:sz w:val="24"/>
                <w:szCs w:val="24"/>
              </w:rPr>
              <w:t>Të dhëna për subjektin</w:t>
            </w:r>
          </w:p>
        </w:tc>
      </w:tr>
      <w:tr w:rsidR="00AA0739" w:rsidRPr="00045F0D" w14:paraId="394EA115" w14:textId="77777777" w:rsidTr="00EA14CE">
        <w:trPr>
          <w:trHeight w:val="20"/>
        </w:trPr>
        <w:tc>
          <w:tcPr>
            <w:tcW w:w="2301" w:type="pct"/>
            <w:vAlign w:val="center"/>
          </w:tcPr>
          <w:p w14:paraId="69890E54" w14:textId="77777777"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Emri</w:t>
            </w:r>
          </w:p>
        </w:tc>
        <w:tc>
          <w:tcPr>
            <w:tcW w:w="2699" w:type="pct"/>
            <w:vAlign w:val="center"/>
          </w:tcPr>
          <w:p w14:paraId="49F78FA6" w14:textId="77777777" w:rsidR="00AA0739" w:rsidRPr="00045F0D" w:rsidRDefault="00AA0739" w:rsidP="00EA14CE">
            <w:pPr>
              <w:spacing w:line="276" w:lineRule="auto"/>
              <w:rPr>
                <w:rFonts w:ascii="Garamond" w:hAnsi="Garamond" w:cs="Times New Roman"/>
                <w:sz w:val="24"/>
                <w:szCs w:val="24"/>
              </w:rPr>
            </w:pPr>
          </w:p>
        </w:tc>
      </w:tr>
      <w:tr w:rsidR="00AA0739" w:rsidRPr="00045F0D" w14:paraId="4A7C14AD" w14:textId="77777777" w:rsidTr="00EA14CE">
        <w:trPr>
          <w:trHeight w:val="20"/>
        </w:trPr>
        <w:tc>
          <w:tcPr>
            <w:tcW w:w="2301" w:type="pct"/>
            <w:vAlign w:val="center"/>
          </w:tcPr>
          <w:p w14:paraId="18866AF0" w14:textId="77777777"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Mbiemri</w:t>
            </w:r>
          </w:p>
        </w:tc>
        <w:tc>
          <w:tcPr>
            <w:tcW w:w="2699" w:type="pct"/>
            <w:vAlign w:val="center"/>
          </w:tcPr>
          <w:p w14:paraId="77C13786" w14:textId="77777777" w:rsidR="00AA0739" w:rsidRPr="00045F0D" w:rsidRDefault="00AA0739" w:rsidP="00EA14CE">
            <w:pPr>
              <w:spacing w:line="276" w:lineRule="auto"/>
              <w:rPr>
                <w:rFonts w:ascii="Garamond" w:hAnsi="Garamond" w:cs="Times New Roman"/>
                <w:sz w:val="24"/>
                <w:szCs w:val="24"/>
              </w:rPr>
            </w:pPr>
          </w:p>
        </w:tc>
      </w:tr>
      <w:tr w:rsidR="00AA0739" w:rsidRPr="00045F0D" w14:paraId="27A291E2" w14:textId="77777777" w:rsidTr="00EA14CE">
        <w:trPr>
          <w:trHeight w:val="20"/>
        </w:trPr>
        <w:tc>
          <w:tcPr>
            <w:tcW w:w="2301" w:type="pct"/>
            <w:vAlign w:val="center"/>
          </w:tcPr>
          <w:p w14:paraId="15321A93" w14:textId="77777777"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Lloji i dokumentit</w:t>
            </w:r>
          </w:p>
        </w:tc>
        <w:tc>
          <w:tcPr>
            <w:tcW w:w="2699" w:type="pct"/>
            <w:vAlign w:val="center"/>
          </w:tcPr>
          <w:p w14:paraId="3E323831" w14:textId="77777777" w:rsidR="00AA0739" w:rsidRPr="00045F0D" w:rsidRDefault="00AA0739" w:rsidP="00EA14CE">
            <w:pPr>
              <w:spacing w:line="276" w:lineRule="auto"/>
              <w:rPr>
                <w:rFonts w:ascii="Garamond" w:hAnsi="Garamond" w:cs="Times New Roman"/>
                <w:sz w:val="24"/>
                <w:szCs w:val="24"/>
              </w:rPr>
            </w:pPr>
          </w:p>
        </w:tc>
      </w:tr>
      <w:tr w:rsidR="00AA0739" w:rsidRPr="00045F0D" w14:paraId="24D8821C" w14:textId="77777777" w:rsidTr="00EA14CE">
        <w:trPr>
          <w:trHeight w:val="20"/>
        </w:trPr>
        <w:tc>
          <w:tcPr>
            <w:tcW w:w="2301" w:type="pct"/>
            <w:vAlign w:val="center"/>
          </w:tcPr>
          <w:p w14:paraId="22C35C07" w14:textId="426D657C"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 xml:space="preserve">Numri i </w:t>
            </w:r>
            <w:r w:rsidR="00045F0D" w:rsidRPr="00045F0D">
              <w:rPr>
                <w:rFonts w:ascii="Garamond" w:hAnsi="Garamond" w:cs="Times New Roman"/>
                <w:sz w:val="24"/>
                <w:szCs w:val="24"/>
              </w:rPr>
              <w:t>dokumentit të identifikimit</w:t>
            </w:r>
          </w:p>
        </w:tc>
        <w:tc>
          <w:tcPr>
            <w:tcW w:w="2699" w:type="pct"/>
            <w:vAlign w:val="center"/>
          </w:tcPr>
          <w:p w14:paraId="3BAE329D" w14:textId="77777777" w:rsidR="00AA0739" w:rsidRPr="00045F0D" w:rsidRDefault="00AA0739" w:rsidP="00EA14CE">
            <w:pPr>
              <w:spacing w:line="276" w:lineRule="auto"/>
              <w:rPr>
                <w:rFonts w:ascii="Garamond" w:hAnsi="Garamond" w:cs="Times New Roman"/>
                <w:sz w:val="24"/>
                <w:szCs w:val="24"/>
              </w:rPr>
            </w:pPr>
          </w:p>
        </w:tc>
      </w:tr>
      <w:tr w:rsidR="00AA0739" w:rsidRPr="00045F0D" w14:paraId="2FA64A41" w14:textId="77777777" w:rsidTr="00EA14CE">
        <w:trPr>
          <w:trHeight w:val="20"/>
        </w:trPr>
        <w:tc>
          <w:tcPr>
            <w:tcW w:w="2301" w:type="pct"/>
            <w:vAlign w:val="center"/>
          </w:tcPr>
          <w:p w14:paraId="2104342E" w14:textId="6831E450"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Datëlindja (</w:t>
            </w:r>
            <w:r w:rsidR="00045F0D">
              <w:rPr>
                <w:rFonts w:ascii="Garamond" w:hAnsi="Garamond" w:cs="Times New Roman"/>
                <w:sz w:val="24"/>
                <w:szCs w:val="24"/>
              </w:rPr>
              <w:t>i</w:t>
            </w:r>
            <w:r w:rsidRPr="00045F0D">
              <w:rPr>
                <w:rFonts w:ascii="Garamond" w:hAnsi="Garamond" w:cs="Times New Roman"/>
                <w:sz w:val="24"/>
                <w:szCs w:val="24"/>
              </w:rPr>
              <w:t>ndivid)</w:t>
            </w:r>
          </w:p>
        </w:tc>
        <w:tc>
          <w:tcPr>
            <w:tcW w:w="2699" w:type="pct"/>
            <w:vAlign w:val="center"/>
          </w:tcPr>
          <w:p w14:paraId="3952918B" w14:textId="77777777" w:rsidR="00AA0739" w:rsidRPr="00045F0D" w:rsidRDefault="00AA0739" w:rsidP="00EA14CE">
            <w:pPr>
              <w:spacing w:line="276" w:lineRule="auto"/>
              <w:rPr>
                <w:rFonts w:ascii="Garamond" w:hAnsi="Garamond" w:cs="Times New Roman"/>
                <w:sz w:val="24"/>
                <w:szCs w:val="24"/>
              </w:rPr>
            </w:pPr>
          </w:p>
        </w:tc>
      </w:tr>
      <w:tr w:rsidR="00AA0739" w:rsidRPr="00045F0D" w14:paraId="1BB2C60D" w14:textId="77777777" w:rsidTr="00EA14CE">
        <w:trPr>
          <w:trHeight w:val="20"/>
        </w:trPr>
        <w:tc>
          <w:tcPr>
            <w:tcW w:w="2301" w:type="pct"/>
            <w:vAlign w:val="center"/>
          </w:tcPr>
          <w:p w14:paraId="197B6167" w14:textId="77777777"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Adresa</w:t>
            </w:r>
          </w:p>
        </w:tc>
        <w:tc>
          <w:tcPr>
            <w:tcW w:w="2699" w:type="pct"/>
            <w:vAlign w:val="center"/>
          </w:tcPr>
          <w:p w14:paraId="2D547254" w14:textId="77777777" w:rsidR="00AA0739" w:rsidRPr="00045F0D" w:rsidRDefault="00AA0739" w:rsidP="00EA14CE">
            <w:pPr>
              <w:spacing w:line="276" w:lineRule="auto"/>
              <w:rPr>
                <w:rFonts w:ascii="Garamond" w:hAnsi="Garamond" w:cs="Times New Roman"/>
                <w:sz w:val="24"/>
                <w:szCs w:val="24"/>
              </w:rPr>
            </w:pPr>
          </w:p>
        </w:tc>
      </w:tr>
      <w:tr w:rsidR="00AA0739" w:rsidRPr="00045F0D" w14:paraId="5A7AB06D" w14:textId="77777777" w:rsidTr="00EA14CE">
        <w:trPr>
          <w:trHeight w:val="20"/>
        </w:trPr>
        <w:tc>
          <w:tcPr>
            <w:tcW w:w="2301" w:type="pct"/>
            <w:vAlign w:val="center"/>
          </w:tcPr>
          <w:p w14:paraId="3464A9C7" w14:textId="6778838C"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 xml:space="preserve">Emri i </w:t>
            </w:r>
            <w:r w:rsidR="00045F0D">
              <w:rPr>
                <w:rFonts w:ascii="Garamond" w:hAnsi="Garamond" w:cs="Times New Roman"/>
                <w:sz w:val="24"/>
                <w:szCs w:val="24"/>
              </w:rPr>
              <w:t>s</w:t>
            </w:r>
            <w:r w:rsidRPr="00045F0D">
              <w:rPr>
                <w:rFonts w:ascii="Garamond" w:hAnsi="Garamond" w:cs="Times New Roman"/>
                <w:sz w:val="24"/>
                <w:szCs w:val="24"/>
              </w:rPr>
              <w:t>hoqërisë</w:t>
            </w:r>
          </w:p>
        </w:tc>
        <w:tc>
          <w:tcPr>
            <w:tcW w:w="2699" w:type="pct"/>
            <w:vAlign w:val="center"/>
          </w:tcPr>
          <w:p w14:paraId="14D214F5" w14:textId="77777777" w:rsidR="00AA0739" w:rsidRPr="00045F0D" w:rsidRDefault="00AA0739" w:rsidP="00EA14CE">
            <w:pPr>
              <w:spacing w:line="276" w:lineRule="auto"/>
              <w:rPr>
                <w:rFonts w:ascii="Garamond" w:hAnsi="Garamond" w:cs="Times New Roman"/>
                <w:sz w:val="24"/>
                <w:szCs w:val="24"/>
              </w:rPr>
            </w:pPr>
          </w:p>
        </w:tc>
      </w:tr>
      <w:tr w:rsidR="00AA0739" w:rsidRPr="00045F0D" w14:paraId="5C03E146" w14:textId="77777777" w:rsidTr="00EA14CE">
        <w:trPr>
          <w:trHeight w:val="20"/>
        </w:trPr>
        <w:tc>
          <w:tcPr>
            <w:tcW w:w="2301" w:type="pct"/>
            <w:vAlign w:val="center"/>
          </w:tcPr>
          <w:p w14:paraId="2FCF32FF" w14:textId="7389924B"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lastRenderedPageBreak/>
              <w:t>NUIS</w:t>
            </w:r>
            <w:r w:rsidR="00045F0D">
              <w:rPr>
                <w:rFonts w:ascii="Garamond" w:hAnsi="Garamond" w:cs="Times New Roman"/>
                <w:sz w:val="24"/>
                <w:szCs w:val="24"/>
              </w:rPr>
              <w:t>-i</w:t>
            </w:r>
          </w:p>
        </w:tc>
        <w:tc>
          <w:tcPr>
            <w:tcW w:w="2699" w:type="pct"/>
            <w:vAlign w:val="center"/>
          </w:tcPr>
          <w:p w14:paraId="3AE41B9B" w14:textId="77777777" w:rsidR="00AA0739" w:rsidRPr="00045F0D" w:rsidRDefault="00AA0739" w:rsidP="00EA14CE">
            <w:pPr>
              <w:spacing w:line="276" w:lineRule="auto"/>
              <w:rPr>
                <w:rFonts w:ascii="Garamond" w:hAnsi="Garamond" w:cs="Times New Roman"/>
                <w:sz w:val="24"/>
                <w:szCs w:val="24"/>
              </w:rPr>
            </w:pPr>
          </w:p>
        </w:tc>
      </w:tr>
      <w:tr w:rsidR="00AA0739" w:rsidRPr="00045F0D" w14:paraId="59948646" w14:textId="77777777" w:rsidTr="00EA14CE">
        <w:trPr>
          <w:trHeight w:val="20"/>
        </w:trPr>
        <w:tc>
          <w:tcPr>
            <w:tcW w:w="2301" w:type="pct"/>
            <w:vAlign w:val="center"/>
          </w:tcPr>
          <w:p w14:paraId="1BE61DB6" w14:textId="77777777"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Lloji i aktivitetit kryesor</w:t>
            </w:r>
          </w:p>
        </w:tc>
        <w:tc>
          <w:tcPr>
            <w:tcW w:w="2699" w:type="pct"/>
            <w:vAlign w:val="center"/>
          </w:tcPr>
          <w:p w14:paraId="660E9C71" w14:textId="77777777" w:rsidR="00AA0739" w:rsidRPr="00045F0D" w:rsidRDefault="00AA0739" w:rsidP="00EA14CE">
            <w:pPr>
              <w:spacing w:line="276" w:lineRule="auto"/>
              <w:rPr>
                <w:rFonts w:ascii="Garamond" w:hAnsi="Garamond" w:cs="Times New Roman"/>
                <w:sz w:val="24"/>
                <w:szCs w:val="24"/>
              </w:rPr>
            </w:pPr>
          </w:p>
        </w:tc>
      </w:tr>
      <w:tr w:rsidR="00AA0739" w:rsidRPr="00045F0D" w14:paraId="167A5319" w14:textId="77777777" w:rsidTr="00EA14CE">
        <w:trPr>
          <w:trHeight w:val="20"/>
        </w:trPr>
        <w:tc>
          <w:tcPr>
            <w:tcW w:w="2301" w:type="pct"/>
            <w:vAlign w:val="center"/>
          </w:tcPr>
          <w:p w14:paraId="31F0027F" w14:textId="77777777" w:rsidR="00AA0739" w:rsidRPr="00045F0D" w:rsidRDefault="00AA0739" w:rsidP="00EA14CE">
            <w:pPr>
              <w:spacing w:line="276" w:lineRule="auto"/>
              <w:rPr>
                <w:rFonts w:ascii="Garamond" w:hAnsi="Garamond" w:cs="Times New Roman"/>
                <w:sz w:val="24"/>
                <w:szCs w:val="24"/>
              </w:rPr>
            </w:pPr>
            <w:r w:rsidRPr="00045F0D">
              <w:rPr>
                <w:rFonts w:ascii="Garamond" w:hAnsi="Garamond" w:cs="Times New Roman"/>
                <w:sz w:val="24"/>
                <w:szCs w:val="24"/>
              </w:rPr>
              <w:t>Selia</w:t>
            </w:r>
          </w:p>
        </w:tc>
        <w:tc>
          <w:tcPr>
            <w:tcW w:w="2699" w:type="pct"/>
            <w:vAlign w:val="center"/>
          </w:tcPr>
          <w:p w14:paraId="5F9C9E86" w14:textId="77777777" w:rsidR="00AA0739" w:rsidRPr="00045F0D" w:rsidRDefault="00AA0739" w:rsidP="00EA14CE">
            <w:pPr>
              <w:spacing w:line="276" w:lineRule="auto"/>
              <w:rPr>
                <w:rFonts w:ascii="Garamond" w:hAnsi="Garamond" w:cs="Times New Roman"/>
                <w:sz w:val="24"/>
                <w:szCs w:val="24"/>
              </w:rPr>
            </w:pPr>
          </w:p>
        </w:tc>
      </w:tr>
    </w:tbl>
    <w:p w14:paraId="19F6FB3B" w14:textId="77777777" w:rsidR="00217E5C" w:rsidRPr="00045F0D" w:rsidRDefault="00217E5C" w:rsidP="00150B7F">
      <w:pPr>
        <w:spacing w:after="0"/>
        <w:jc w:val="center"/>
        <w:rPr>
          <w:rFonts w:ascii="Garamond" w:hAnsi="Garamond" w:cs="Times New Roman"/>
          <w:b/>
          <w:sz w:val="24"/>
          <w:szCs w:val="24"/>
        </w:rPr>
      </w:pPr>
    </w:p>
    <w:p w14:paraId="4182DBA1" w14:textId="77777777" w:rsidR="00045F0D" w:rsidRDefault="00045F0D" w:rsidP="00150B7F">
      <w:pPr>
        <w:spacing w:after="0"/>
        <w:jc w:val="center"/>
        <w:rPr>
          <w:rFonts w:ascii="Garamond" w:hAnsi="Garamond" w:cs="Times New Roman"/>
          <w:sz w:val="24"/>
          <w:szCs w:val="24"/>
        </w:rPr>
      </w:pPr>
    </w:p>
    <w:p w14:paraId="7F6A9602" w14:textId="61050E00" w:rsidR="00AA0739" w:rsidRPr="00045F0D" w:rsidRDefault="00AA0739" w:rsidP="00150B7F">
      <w:pPr>
        <w:spacing w:after="0"/>
        <w:jc w:val="center"/>
        <w:rPr>
          <w:rFonts w:ascii="Garamond" w:hAnsi="Garamond" w:cs="Times New Roman"/>
          <w:sz w:val="24"/>
          <w:szCs w:val="24"/>
        </w:rPr>
      </w:pPr>
      <w:r w:rsidRPr="00045F0D">
        <w:rPr>
          <w:rFonts w:ascii="Garamond" w:hAnsi="Garamond" w:cs="Times New Roman"/>
          <w:sz w:val="24"/>
          <w:szCs w:val="24"/>
        </w:rPr>
        <w:t>PJESA II</w:t>
      </w:r>
    </w:p>
    <w:p w14:paraId="3709BCD8" w14:textId="77777777" w:rsidR="00AA0739" w:rsidRPr="00045F0D" w:rsidRDefault="00AA0739" w:rsidP="00150B7F">
      <w:pPr>
        <w:spacing w:after="0"/>
        <w:jc w:val="center"/>
        <w:rPr>
          <w:rFonts w:ascii="Garamond" w:hAnsi="Garamond" w:cs="Times New Roman"/>
          <w:sz w:val="24"/>
          <w:szCs w:val="24"/>
        </w:rPr>
      </w:pPr>
      <w:r w:rsidRPr="00045F0D">
        <w:rPr>
          <w:rFonts w:ascii="Garamond" w:hAnsi="Garamond" w:cs="Times New Roman"/>
          <w:sz w:val="24"/>
          <w:szCs w:val="24"/>
        </w:rPr>
        <w:t xml:space="preserve"> INFORMACION MBI AKTIVITETIN E DYSHIMTË</w:t>
      </w:r>
    </w:p>
    <w:p w14:paraId="0B9E7686" w14:textId="77777777" w:rsidR="00AA0739" w:rsidRPr="00045F0D" w:rsidRDefault="00AA0739" w:rsidP="00150B7F">
      <w:pPr>
        <w:spacing w:after="0"/>
        <w:jc w:val="center"/>
        <w:rPr>
          <w:rFonts w:ascii="Garamond" w:hAnsi="Garamond" w:cs="Times New Roman"/>
          <w:b/>
          <w:sz w:val="24"/>
          <w:szCs w:val="24"/>
        </w:rPr>
      </w:pPr>
    </w:p>
    <w:p w14:paraId="5935B42A" w14:textId="63A13DBD" w:rsidR="00AA0739" w:rsidRPr="00045F0D" w:rsidRDefault="00AA0739" w:rsidP="00150B7F">
      <w:pPr>
        <w:spacing w:after="0"/>
        <w:rPr>
          <w:rFonts w:ascii="Garamond" w:hAnsi="Garamond" w:cs="Times New Roman"/>
          <w:sz w:val="24"/>
          <w:szCs w:val="24"/>
        </w:rPr>
      </w:pPr>
      <w:r w:rsidRPr="00045F0D">
        <w:rPr>
          <w:rFonts w:ascii="Garamond" w:hAnsi="Garamond" w:cs="Times New Roman"/>
          <w:b/>
          <w:sz w:val="24"/>
          <w:szCs w:val="24"/>
        </w:rPr>
        <w:t xml:space="preserve">Data e kryerjes së </w:t>
      </w:r>
      <w:r w:rsidR="00045F0D" w:rsidRPr="00045F0D">
        <w:rPr>
          <w:rFonts w:ascii="Garamond" w:hAnsi="Garamond" w:cs="Times New Roman"/>
          <w:b/>
          <w:sz w:val="24"/>
          <w:szCs w:val="24"/>
        </w:rPr>
        <w:t>aktivitetit të dyshimtë</w:t>
      </w:r>
      <w:r w:rsidRPr="00045F0D">
        <w:rPr>
          <w:rFonts w:ascii="Garamond" w:hAnsi="Garamond" w:cs="Times New Roman"/>
          <w:b/>
          <w:sz w:val="24"/>
          <w:szCs w:val="24"/>
        </w:rPr>
        <w:t>:</w:t>
      </w:r>
      <w:r w:rsidRPr="00045F0D">
        <w:rPr>
          <w:rFonts w:ascii="Garamond" w:hAnsi="Garamond" w:cs="Times New Roman"/>
          <w:sz w:val="24"/>
          <w:szCs w:val="24"/>
        </w:rPr>
        <w:t xml:space="preserve"> </w:t>
      </w:r>
      <w:r w:rsidRPr="00045F0D">
        <w:rPr>
          <w:rFonts w:ascii="Garamond" w:hAnsi="Garamond" w:cs="Times New Roman"/>
          <w:sz w:val="24"/>
          <w:szCs w:val="24"/>
        </w:rPr>
        <w:tab/>
      </w:r>
      <w:r w:rsidRPr="00045F0D">
        <w:rPr>
          <w:rFonts w:ascii="Garamond" w:hAnsi="Garamond" w:cs="Times New Roman"/>
          <w:sz w:val="24"/>
          <w:szCs w:val="24"/>
        </w:rPr>
        <w:tab/>
        <w:t xml:space="preserve">_____/______/_____________ </w:t>
      </w:r>
    </w:p>
    <w:p w14:paraId="7C4DA604" w14:textId="607D7049" w:rsidR="00AA0739" w:rsidRPr="00045F0D" w:rsidRDefault="00891367" w:rsidP="00150B7F">
      <w:pPr>
        <w:spacing w:after="0"/>
        <w:rPr>
          <w:rFonts w:ascii="Garamond" w:hAnsi="Garamond" w:cs="Times New Roman"/>
          <w:sz w:val="24"/>
          <w:szCs w:val="24"/>
        </w:rPr>
      </w:pPr>
      <w:r w:rsidRPr="00045F0D">
        <w:rPr>
          <w:rFonts w:ascii="Garamond" w:hAnsi="Garamond" w:cs="Times New Roman"/>
          <w:b/>
          <w:sz w:val="24"/>
          <w:szCs w:val="24"/>
        </w:rPr>
        <w:t>Shuma e përfshirë</w:t>
      </w:r>
      <w:r w:rsidR="00AA0739" w:rsidRPr="00045F0D">
        <w:rPr>
          <w:rFonts w:ascii="Garamond" w:hAnsi="Garamond" w:cs="Times New Roman"/>
          <w:b/>
          <w:sz w:val="24"/>
          <w:szCs w:val="24"/>
        </w:rPr>
        <w:t xml:space="preserve"> në </w:t>
      </w:r>
      <w:r w:rsidR="00045F0D" w:rsidRPr="00045F0D">
        <w:rPr>
          <w:rFonts w:ascii="Garamond" w:hAnsi="Garamond" w:cs="Times New Roman"/>
          <w:b/>
          <w:sz w:val="24"/>
          <w:szCs w:val="24"/>
        </w:rPr>
        <w:t>aktivitetin e dyshimtë</w:t>
      </w:r>
      <w:r w:rsidR="00AA0739" w:rsidRPr="00045F0D">
        <w:rPr>
          <w:rFonts w:ascii="Garamond" w:hAnsi="Garamond" w:cs="Times New Roman"/>
          <w:b/>
          <w:sz w:val="24"/>
          <w:szCs w:val="24"/>
        </w:rPr>
        <w:t>:</w:t>
      </w:r>
      <w:r w:rsidR="00AA0739" w:rsidRPr="00045F0D">
        <w:rPr>
          <w:rFonts w:ascii="Garamond" w:hAnsi="Garamond" w:cs="Times New Roman"/>
          <w:sz w:val="24"/>
          <w:szCs w:val="24"/>
        </w:rPr>
        <w:tab/>
      </w:r>
      <w:r w:rsidR="00AA0739" w:rsidRPr="00045F0D">
        <w:rPr>
          <w:rFonts w:ascii="Garamond" w:hAnsi="Garamond" w:cs="Times New Roman"/>
          <w:sz w:val="24"/>
          <w:szCs w:val="24"/>
        </w:rPr>
        <w:tab/>
        <w:t xml:space="preserve">_________________________ </w:t>
      </w:r>
    </w:p>
    <w:p w14:paraId="39BF504D" w14:textId="10A95200" w:rsidR="00AA0739" w:rsidRPr="00045F0D" w:rsidRDefault="00AA0739" w:rsidP="00150B7F">
      <w:pPr>
        <w:spacing w:after="0"/>
        <w:rPr>
          <w:rFonts w:ascii="Garamond" w:hAnsi="Garamond" w:cs="Times New Roman"/>
          <w:sz w:val="24"/>
          <w:szCs w:val="24"/>
        </w:rPr>
      </w:pPr>
      <w:r w:rsidRPr="00045F0D">
        <w:rPr>
          <w:rFonts w:ascii="Garamond" w:hAnsi="Garamond" w:cs="Times New Roman"/>
          <w:b/>
          <w:sz w:val="24"/>
          <w:szCs w:val="24"/>
        </w:rPr>
        <w:t>Monedha:</w:t>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t xml:space="preserve">_________________________ </w:t>
      </w:r>
    </w:p>
    <w:p w14:paraId="4F0F8716" w14:textId="77777777" w:rsidR="001D75C9" w:rsidRPr="00045F0D" w:rsidRDefault="001D75C9" w:rsidP="00150B7F">
      <w:pPr>
        <w:spacing w:after="0"/>
        <w:rPr>
          <w:rFonts w:ascii="Garamond" w:hAnsi="Garamond" w:cs="Times New Roman"/>
          <w:b/>
          <w:sz w:val="24"/>
          <w:szCs w:val="24"/>
        </w:rPr>
      </w:pPr>
    </w:p>
    <w:p w14:paraId="7B785F5A" w14:textId="5275E737" w:rsidR="00AA0739" w:rsidRPr="00045F0D" w:rsidRDefault="00AA0739" w:rsidP="00150B7F">
      <w:pPr>
        <w:spacing w:after="0"/>
        <w:rPr>
          <w:rFonts w:ascii="Garamond" w:hAnsi="Garamond" w:cs="Times New Roman"/>
          <w:b/>
          <w:sz w:val="24"/>
          <w:szCs w:val="24"/>
        </w:rPr>
      </w:pPr>
      <w:r w:rsidRPr="00045F0D">
        <w:rPr>
          <w:rFonts w:ascii="Garamond" w:hAnsi="Garamond" w:cs="Times New Roman"/>
          <w:b/>
          <w:sz w:val="24"/>
          <w:szCs w:val="24"/>
        </w:rPr>
        <w:t xml:space="preserve">Përshkrimi i rastit të </w:t>
      </w:r>
      <w:r w:rsidR="00045F0D" w:rsidRPr="00045F0D">
        <w:rPr>
          <w:rFonts w:ascii="Garamond" w:hAnsi="Garamond" w:cs="Times New Roman"/>
          <w:b/>
          <w:sz w:val="24"/>
          <w:szCs w:val="24"/>
        </w:rPr>
        <w:t>aktivitetit të dyshimtë</w:t>
      </w:r>
      <w:r w:rsidRPr="00045F0D">
        <w:rPr>
          <w:rFonts w:ascii="Garamond" w:hAnsi="Garamond" w:cs="Times New Roman"/>
          <w:b/>
          <w:sz w:val="24"/>
          <w:szCs w:val="24"/>
        </w:rPr>
        <w:t>:</w:t>
      </w:r>
    </w:p>
    <w:p w14:paraId="53EF078A" w14:textId="7057AB19"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14011F1D" w14:textId="194F42B1"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0A13572F" w14:textId="31C76693"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230449AB" w14:textId="5B9C6AFF"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768AE34F" w14:textId="246A80B3"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493F44C3" w14:textId="2D401DE3"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1B3DB872" w14:textId="13AC90BC"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_________________________________________________________________________</w:t>
      </w:r>
    </w:p>
    <w:p w14:paraId="247C14AD" w14:textId="77777777" w:rsidR="00217E5C" w:rsidRPr="00045F0D" w:rsidRDefault="00217E5C" w:rsidP="00150B7F">
      <w:pPr>
        <w:spacing w:after="0"/>
        <w:jc w:val="center"/>
        <w:rPr>
          <w:rFonts w:ascii="Garamond" w:hAnsi="Garamond" w:cs="Times New Roman"/>
          <w:b/>
          <w:sz w:val="24"/>
          <w:szCs w:val="24"/>
        </w:rPr>
      </w:pPr>
    </w:p>
    <w:p w14:paraId="1E936A44" w14:textId="7CA6C262" w:rsidR="00AA0739" w:rsidRPr="00045F0D" w:rsidRDefault="00AA0739" w:rsidP="00150B7F">
      <w:pPr>
        <w:spacing w:after="0"/>
        <w:jc w:val="center"/>
        <w:rPr>
          <w:rFonts w:ascii="Garamond" w:hAnsi="Garamond" w:cs="Times New Roman"/>
          <w:sz w:val="24"/>
          <w:szCs w:val="24"/>
        </w:rPr>
      </w:pPr>
      <w:r w:rsidRPr="00045F0D">
        <w:rPr>
          <w:rFonts w:ascii="Garamond" w:hAnsi="Garamond" w:cs="Times New Roman"/>
          <w:sz w:val="24"/>
          <w:szCs w:val="24"/>
        </w:rPr>
        <w:t>PJESA III</w:t>
      </w:r>
    </w:p>
    <w:p w14:paraId="1860867A" w14:textId="77777777" w:rsidR="00AA0739" w:rsidRPr="00045F0D" w:rsidRDefault="00AA0739" w:rsidP="00150B7F">
      <w:pPr>
        <w:spacing w:after="0"/>
        <w:jc w:val="center"/>
        <w:rPr>
          <w:rFonts w:ascii="Garamond" w:hAnsi="Garamond" w:cs="Times New Roman"/>
          <w:sz w:val="24"/>
          <w:szCs w:val="24"/>
        </w:rPr>
      </w:pPr>
      <w:r w:rsidRPr="00045F0D">
        <w:rPr>
          <w:rFonts w:ascii="Garamond" w:hAnsi="Garamond" w:cs="Times New Roman"/>
          <w:sz w:val="24"/>
          <w:szCs w:val="24"/>
        </w:rPr>
        <w:t xml:space="preserve"> INFORMACION MBI AUTORITETIN TATIMOR QË PLOTËSON FORMULARIN</w:t>
      </w:r>
    </w:p>
    <w:p w14:paraId="4A13ACA5" w14:textId="77777777" w:rsidR="00AA0739" w:rsidRPr="00045F0D" w:rsidRDefault="00AA0739" w:rsidP="00150B7F">
      <w:pPr>
        <w:spacing w:after="0"/>
        <w:jc w:val="center"/>
        <w:rPr>
          <w:rFonts w:ascii="Garamond" w:hAnsi="Garamond" w:cs="Times New Roman"/>
          <w:b/>
          <w:sz w:val="24"/>
          <w:szCs w:val="24"/>
        </w:rPr>
      </w:pPr>
    </w:p>
    <w:p w14:paraId="6FD303DD" w14:textId="77777777" w:rsidR="00AA0739" w:rsidRPr="00045F0D" w:rsidRDefault="00AA0739" w:rsidP="00150B7F">
      <w:pPr>
        <w:spacing w:after="0"/>
        <w:rPr>
          <w:rFonts w:ascii="Garamond" w:hAnsi="Garamond" w:cs="Times New Roman"/>
          <w:sz w:val="24"/>
          <w:szCs w:val="24"/>
        </w:rPr>
      </w:pPr>
      <w:r w:rsidRPr="00045F0D">
        <w:rPr>
          <w:rFonts w:ascii="Garamond" w:hAnsi="Garamond" w:cs="Times New Roman"/>
          <w:sz w:val="24"/>
          <w:szCs w:val="24"/>
        </w:rPr>
        <w:t xml:space="preserve">Emri: </w:t>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t xml:space="preserve">_______________________ </w:t>
      </w:r>
    </w:p>
    <w:p w14:paraId="0D4831E5" w14:textId="77777777" w:rsidR="00AA0739" w:rsidRPr="00045F0D" w:rsidRDefault="00AA0739" w:rsidP="00150B7F">
      <w:pPr>
        <w:spacing w:after="0"/>
        <w:rPr>
          <w:rFonts w:ascii="Garamond" w:hAnsi="Garamond" w:cs="Times New Roman"/>
          <w:sz w:val="24"/>
          <w:szCs w:val="24"/>
        </w:rPr>
      </w:pPr>
      <w:r w:rsidRPr="00045F0D">
        <w:rPr>
          <w:rFonts w:ascii="Garamond" w:hAnsi="Garamond" w:cs="Times New Roman"/>
          <w:sz w:val="24"/>
          <w:szCs w:val="24"/>
        </w:rPr>
        <w:t>Mbiemri:</w:t>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t xml:space="preserve">_______________________ </w:t>
      </w:r>
    </w:p>
    <w:p w14:paraId="25AED45E" w14:textId="77777777" w:rsidR="00AA0739" w:rsidRPr="00045F0D" w:rsidRDefault="00AA0739" w:rsidP="00150B7F">
      <w:pPr>
        <w:spacing w:after="0"/>
        <w:rPr>
          <w:rFonts w:ascii="Garamond" w:hAnsi="Garamond" w:cs="Times New Roman"/>
          <w:sz w:val="24"/>
          <w:szCs w:val="24"/>
        </w:rPr>
      </w:pPr>
      <w:r w:rsidRPr="00045F0D">
        <w:rPr>
          <w:rFonts w:ascii="Garamond" w:hAnsi="Garamond" w:cs="Times New Roman"/>
          <w:sz w:val="24"/>
          <w:szCs w:val="24"/>
        </w:rPr>
        <w:t>Pozicioni i punës:</w:t>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t>_______________________</w:t>
      </w:r>
    </w:p>
    <w:p w14:paraId="3F15DA23" w14:textId="5682B339" w:rsidR="00AA0739" w:rsidRPr="00045F0D" w:rsidRDefault="00AA0739" w:rsidP="00150B7F">
      <w:pPr>
        <w:spacing w:after="0"/>
        <w:rPr>
          <w:rFonts w:ascii="Garamond" w:hAnsi="Garamond" w:cs="Times New Roman"/>
          <w:sz w:val="24"/>
          <w:szCs w:val="24"/>
        </w:rPr>
      </w:pPr>
      <w:r w:rsidRPr="00045F0D">
        <w:rPr>
          <w:rFonts w:ascii="Garamond" w:hAnsi="Garamond" w:cs="Times New Roman"/>
          <w:sz w:val="24"/>
          <w:szCs w:val="24"/>
        </w:rPr>
        <w:t>Adresa:</w:t>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t xml:space="preserve"> _____________</w:t>
      </w:r>
      <w:r w:rsidR="00891367" w:rsidRPr="00045F0D">
        <w:rPr>
          <w:rFonts w:ascii="Garamond" w:hAnsi="Garamond" w:cs="Times New Roman"/>
          <w:sz w:val="24"/>
          <w:szCs w:val="24"/>
        </w:rPr>
        <w:t>__________</w:t>
      </w:r>
      <w:r w:rsidRPr="00045F0D">
        <w:rPr>
          <w:rFonts w:ascii="Garamond" w:hAnsi="Garamond" w:cs="Times New Roman"/>
          <w:sz w:val="24"/>
          <w:szCs w:val="24"/>
        </w:rPr>
        <w:t xml:space="preserve"> </w:t>
      </w:r>
    </w:p>
    <w:p w14:paraId="445E4F33" w14:textId="60008BA3" w:rsidR="00AA0739" w:rsidRPr="00045F0D" w:rsidRDefault="00AA0739" w:rsidP="00150B7F">
      <w:pPr>
        <w:spacing w:after="0"/>
        <w:rPr>
          <w:rFonts w:ascii="Garamond" w:hAnsi="Garamond" w:cs="Times New Roman"/>
          <w:b/>
          <w:sz w:val="24"/>
          <w:szCs w:val="24"/>
        </w:rPr>
      </w:pPr>
      <w:r w:rsidRPr="00045F0D">
        <w:rPr>
          <w:rFonts w:ascii="Garamond" w:hAnsi="Garamond" w:cs="Times New Roman"/>
          <w:sz w:val="24"/>
          <w:szCs w:val="24"/>
        </w:rPr>
        <w:t xml:space="preserve">Nr. </w:t>
      </w:r>
      <w:r w:rsidR="00045F0D">
        <w:rPr>
          <w:rFonts w:ascii="Garamond" w:hAnsi="Garamond" w:cs="Times New Roman"/>
          <w:sz w:val="24"/>
          <w:szCs w:val="24"/>
        </w:rPr>
        <w:t>i t</w:t>
      </w:r>
      <w:r w:rsidRPr="00045F0D">
        <w:rPr>
          <w:rFonts w:ascii="Garamond" w:hAnsi="Garamond" w:cs="Times New Roman"/>
          <w:sz w:val="24"/>
          <w:szCs w:val="24"/>
        </w:rPr>
        <w:t>elefoni</w:t>
      </w:r>
      <w:r w:rsidR="00045F0D">
        <w:rPr>
          <w:rFonts w:ascii="Garamond" w:hAnsi="Garamond" w:cs="Times New Roman"/>
          <w:sz w:val="24"/>
          <w:szCs w:val="24"/>
        </w:rPr>
        <w:t>t</w:t>
      </w:r>
      <w:r w:rsidRPr="00045F0D">
        <w:rPr>
          <w:rFonts w:ascii="Garamond" w:hAnsi="Garamond" w:cs="Times New Roman"/>
          <w:sz w:val="24"/>
          <w:szCs w:val="24"/>
        </w:rPr>
        <w:t xml:space="preserve">: </w:t>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r>
      <w:r w:rsidRPr="00045F0D">
        <w:rPr>
          <w:rFonts w:ascii="Garamond" w:hAnsi="Garamond" w:cs="Times New Roman"/>
          <w:sz w:val="24"/>
          <w:szCs w:val="24"/>
        </w:rPr>
        <w:tab/>
        <w:t>_______________________</w:t>
      </w:r>
    </w:p>
    <w:p w14:paraId="56ED51C3" w14:textId="77777777" w:rsidR="00746A09" w:rsidRPr="00045F0D" w:rsidRDefault="00746A09" w:rsidP="00EA14CE">
      <w:pPr>
        <w:spacing w:after="0" w:line="240" w:lineRule="auto"/>
        <w:ind w:firstLine="284"/>
        <w:rPr>
          <w:rFonts w:ascii="Garamond" w:hAnsi="Garamond" w:cs="Times New Roman"/>
          <w:b/>
          <w:sz w:val="24"/>
          <w:szCs w:val="24"/>
        </w:rPr>
      </w:pPr>
    </w:p>
    <w:p w14:paraId="6BB23040" w14:textId="77777777" w:rsidR="00EA14CE" w:rsidRPr="00045F0D" w:rsidRDefault="00EA14CE" w:rsidP="00EA14CE">
      <w:pPr>
        <w:autoSpaceDE w:val="0"/>
        <w:autoSpaceDN w:val="0"/>
        <w:adjustRightInd w:val="0"/>
        <w:spacing w:after="0" w:line="240" w:lineRule="auto"/>
        <w:ind w:firstLine="284"/>
        <w:jc w:val="center"/>
        <w:rPr>
          <w:rFonts w:ascii="Garamond" w:hAnsi="Garamond" w:cs="Garamond"/>
          <w:bCs/>
          <w:color w:val="000000"/>
          <w:sz w:val="24"/>
          <w:szCs w:val="24"/>
        </w:rPr>
      </w:pPr>
      <w:r w:rsidRPr="00045F0D">
        <w:rPr>
          <w:rFonts w:ascii="Garamond" w:hAnsi="Garamond" w:cs="Garamond"/>
          <w:bCs/>
          <w:color w:val="000000"/>
          <w:sz w:val="24"/>
          <w:szCs w:val="24"/>
        </w:rPr>
        <w:t>ANEKS II</w:t>
      </w:r>
    </w:p>
    <w:p w14:paraId="2DF1FBC4" w14:textId="77777777" w:rsidR="00EA14CE" w:rsidRPr="00045F0D" w:rsidRDefault="00EA14CE" w:rsidP="00EA14CE">
      <w:pPr>
        <w:autoSpaceDE w:val="0"/>
        <w:autoSpaceDN w:val="0"/>
        <w:adjustRightInd w:val="0"/>
        <w:spacing w:after="0" w:line="240" w:lineRule="auto"/>
        <w:ind w:firstLine="284"/>
        <w:jc w:val="center"/>
        <w:rPr>
          <w:rFonts w:ascii="Garamond" w:hAnsi="Garamond" w:cs="Garamond"/>
          <w:bCs/>
          <w:color w:val="000000"/>
          <w:sz w:val="24"/>
          <w:szCs w:val="24"/>
        </w:rPr>
      </w:pPr>
      <w:r w:rsidRPr="00045F0D">
        <w:rPr>
          <w:rFonts w:ascii="Garamond" w:hAnsi="Garamond" w:cs="Garamond"/>
          <w:bCs/>
          <w:color w:val="000000"/>
          <w:sz w:val="24"/>
          <w:szCs w:val="24"/>
        </w:rPr>
        <w:t>TREGUESIT E AKTIVITETIT TË DYSHIMTË TË PASTRIMIT TË PARAVE DHE FINANCIMIT TË TERRORIZMIT</w:t>
      </w:r>
    </w:p>
    <w:p w14:paraId="37545310" w14:textId="77777777"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p>
    <w:p w14:paraId="390363E1" w14:textId="00FB0740"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Garamond"/>
          <w:color w:val="000000"/>
          <w:sz w:val="24"/>
          <w:szCs w:val="24"/>
        </w:rPr>
        <w:t>Lista e mëposhtme jep shembuj të treguesve</w:t>
      </w:r>
      <w:r w:rsidR="00045F0D">
        <w:rPr>
          <w:rFonts w:ascii="Garamond" w:hAnsi="Garamond" w:cs="Garamond"/>
          <w:color w:val="000000"/>
          <w:sz w:val="24"/>
          <w:szCs w:val="24"/>
        </w:rPr>
        <w:t xml:space="preserve"> </w:t>
      </w:r>
      <w:r w:rsidR="00045F0D" w:rsidRPr="00045F0D">
        <w:rPr>
          <w:rFonts w:ascii="Garamond" w:hAnsi="Garamond" w:cs="Garamond"/>
          <w:color w:val="000000"/>
          <w:sz w:val="24"/>
          <w:szCs w:val="24"/>
        </w:rPr>
        <w:t>të</w:t>
      </w:r>
      <w:r w:rsidRPr="00045F0D">
        <w:rPr>
          <w:rFonts w:ascii="Garamond" w:hAnsi="Garamond" w:cs="Garamond"/>
          <w:color w:val="000000"/>
          <w:sz w:val="24"/>
          <w:szCs w:val="24"/>
        </w:rPr>
        <w:t xml:space="preserve"> përgjithshëm të llojit të aktivitetit të tatimpaguesit:</w:t>
      </w:r>
    </w:p>
    <w:p w14:paraId="521B8B20" w14:textId="2A11F68B"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drejton një organizatë bamirësie, humanitare, edukative apo tjetër, që duket e dyshimtë. Kjo në përputhje edhe me vigjilencën e zgjeruar ndaj kësaj kategorie subjektesh</w:t>
      </w:r>
      <w:r w:rsidR="00045F0D">
        <w:rPr>
          <w:rFonts w:ascii="Garamond" w:hAnsi="Garamond" w:cs="Garamond"/>
          <w:color w:val="000000"/>
          <w:sz w:val="24"/>
          <w:szCs w:val="24"/>
        </w:rPr>
        <w:t>;</w:t>
      </w:r>
    </w:p>
    <w:p w14:paraId="05B5230B" w14:textId="28A41680"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drejton biznesin e tij/saj (p.sh. zyrë këmbimi valutor) pa pasur një numër identifikimi të tatimpaguesit (NIPT).</w:t>
      </w:r>
      <w:r w:rsidR="00045F0D">
        <w:rPr>
          <w:rFonts w:ascii="Garamond" w:hAnsi="Garamond" w:cs="Garamond"/>
          <w:color w:val="000000"/>
          <w:sz w:val="24"/>
          <w:szCs w:val="24"/>
        </w:rPr>
        <w:t>;</w:t>
      </w:r>
    </w:p>
    <w:p w14:paraId="110E1D5D" w14:textId="4880AC55"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heziton ose kundërshton që të japë informacion, lidhur me aktivitetin e biznesit të tij ose jep dokumente të pazakonshme, ose të dyshimta për të identifikuar biznesin e tij/saj</w:t>
      </w:r>
      <w:r w:rsidR="00045F0D">
        <w:rPr>
          <w:rFonts w:ascii="Garamond" w:hAnsi="Garamond" w:cs="Garamond"/>
          <w:color w:val="000000"/>
          <w:sz w:val="24"/>
          <w:szCs w:val="24"/>
        </w:rPr>
        <w:t>;</w:t>
      </w:r>
    </w:p>
    <w:p w14:paraId="65892D62" w14:textId="33CEA0AF"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Qëllimi i transaksionit të tatimpaguesit është i pakuptimtë në pikëpamje të biznesit ose nuk përputhet me biznesin/strategjinë e deklaruar të tij</w:t>
      </w:r>
      <w:r w:rsidR="00045F0D">
        <w:rPr>
          <w:rFonts w:ascii="Garamond" w:hAnsi="Garamond" w:cs="Garamond"/>
          <w:color w:val="000000"/>
          <w:sz w:val="24"/>
          <w:szCs w:val="24"/>
        </w:rPr>
        <w:t>;</w:t>
      </w:r>
    </w:p>
    <w:p w14:paraId="5A9EF612" w14:textId="1B5A89B8"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 xml:space="preserve">Pasuria neto e tatimpaguesit nuk përputhet me fondet. Informacioni i dhënë nga </w:t>
      </w:r>
      <w:r w:rsidR="00045F0D">
        <w:rPr>
          <w:rFonts w:ascii="Garamond" w:hAnsi="Garamond" w:cs="Garamond"/>
          <w:color w:val="000000"/>
          <w:sz w:val="24"/>
          <w:szCs w:val="24"/>
        </w:rPr>
        <w:t>t</w:t>
      </w:r>
      <w:r w:rsidRPr="00045F0D">
        <w:rPr>
          <w:rFonts w:ascii="Garamond" w:hAnsi="Garamond" w:cs="Garamond"/>
          <w:color w:val="000000"/>
          <w:sz w:val="24"/>
          <w:szCs w:val="24"/>
        </w:rPr>
        <w:t>atimpaguesi</w:t>
      </w:r>
      <w:r w:rsidR="00045F0D">
        <w:rPr>
          <w:rFonts w:ascii="Garamond" w:hAnsi="Garamond" w:cs="Garamond"/>
          <w:color w:val="000000"/>
          <w:sz w:val="24"/>
          <w:szCs w:val="24"/>
        </w:rPr>
        <w:t>,</w:t>
      </w:r>
      <w:r w:rsidRPr="00045F0D">
        <w:rPr>
          <w:rFonts w:ascii="Garamond" w:hAnsi="Garamond" w:cs="Garamond"/>
          <w:color w:val="000000"/>
          <w:sz w:val="24"/>
          <w:szCs w:val="24"/>
        </w:rPr>
        <w:t xml:space="preserve"> lidhur me burimin e fondeve</w:t>
      </w:r>
      <w:r w:rsidR="00045F0D">
        <w:rPr>
          <w:rFonts w:ascii="Garamond" w:hAnsi="Garamond" w:cs="Garamond"/>
          <w:color w:val="000000"/>
          <w:sz w:val="24"/>
          <w:szCs w:val="24"/>
        </w:rPr>
        <w:t>,</w:t>
      </w:r>
      <w:r w:rsidRPr="00045F0D">
        <w:rPr>
          <w:rFonts w:ascii="Garamond" w:hAnsi="Garamond" w:cs="Garamond"/>
          <w:color w:val="000000"/>
          <w:sz w:val="24"/>
          <w:szCs w:val="24"/>
        </w:rPr>
        <w:t xml:space="preserve"> është i rremë, çorientues ose krejtësisht i gabuar</w:t>
      </w:r>
      <w:r w:rsidR="00045F0D">
        <w:rPr>
          <w:rFonts w:ascii="Garamond" w:hAnsi="Garamond" w:cs="Garamond"/>
          <w:color w:val="000000"/>
          <w:sz w:val="24"/>
          <w:szCs w:val="24"/>
        </w:rPr>
        <w:t>;</w:t>
      </w:r>
    </w:p>
    <w:p w14:paraId="1F52F8D7" w14:textId="6F4B5508"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lastRenderedPageBreak/>
        <w:t xml:space="preserve">- </w:t>
      </w:r>
      <w:r w:rsidRPr="00045F0D">
        <w:rPr>
          <w:rFonts w:ascii="Garamond" w:hAnsi="Garamond" w:cs="Garamond"/>
          <w:color w:val="000000"/>
          <w:sz w:val="24"/>
          <w:szCs w:val="24"/>
        </w:rPr>
        <w:t>Kur i kërkohet, tatimpaguesi refuzon të identifikojë ose nuk arrin të tregojë burimet e ligjshme të fondeve dhe pasurive të tjera të tij/saj</w:t>
      </w:r>
      <w:r w:rsidR="00045F0D">
        <w:rPr>
          <w:rFonts w:ascii="Garamond" w:hAnsi="Garamond" w:cs="Garamond"/>
          <w:color w:val="000000"/>
          <w:sz w:val="24"/>
          <w:szCs w:val="24"/>
        </w:rPr>
        <w:t>;</w:t>
      </w:r>
    </w:p>
    <w:p w14:paraId="4D2123F3" w14:textId="61A06F36"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 xml:space="preserve">Tatimpaguesi (ose personi i njohur publikisht si bashkëpunëtor i tij) ka një histori të diskutueshme ose ka qenë objekt i lajmeve mediatike për vepra të mundshme penale, civile apo </w:t>
      </w:r>
      <w:r w:rsidR="00045F0D">
        <w:rPr>
          <w:rFonts w:ascii="Garamond" w:hAnsi="Garamond" w:cs="Garamond"/>
          <w:color w:val="000000"/>
          <w:sz w:val="24"/>
          <w:szCs w:val="24"/>
        </w:rPr>
        <w:t>rregullatorë;</w:t>
      </w:r>
    </w:p>
    <w:p w14:paraId="0B6D04EF" w14:textId="1C549C2E"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Përdorimi i “personave juridikë” të shumtë, me qëllimin e vetëm marrjen dhe disbursimin e fondeve</w:t>
      </w:r>
      <w:r w:rsidR="00045F0D">
        <w:rPr>
          <w:rFonts w:ascii="Garamond" w:hAnsi="Garamond" w:cs="Garamond"/>
          <w:color w:val="000000"/>
          <w:sz w:val="24"/>
          <w:szCs w:val="24"/>
        </w:rPr>
        <w:t>;</w:t>
      </w:r>
    </w:p>
    <w:p w14:paraId="70630EA0" w14:textId="3735F1C6"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Zhvillimi i aktivitetit pa ndonjë qëllim të qartë biznesi në vende ose territore të identifikuara nga autoriteti përgjegjës si me rrezik të lartë</w:t>
      </w:r>
      <w:r w:rsidR="00045F0D">
        <w:rPr>
          <w:rFonts w:ascii="Garamond" w:hAnsi="Garamond" w:cs="Garamond"/>
          <w:color w:val="000000"/>
          <w:sz w:val="24"/>
          <w:szCs w:val="24"/>
        </w:rPr>
        <w:t>;</w:t>
      </w:r>
    </w:p>
    <w:p w14:paraId="23350D1C" w14:textId="10CCC77E"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është nga ose ka degë apo filiale në një vend</w:t>
      </w:r>
      <w:r w:rsidR="00045F0D">
        <w:rPr>
          <w:rFonts w:ascii="Garamond" w:hAnsi="Garamond" w:cs="Garamond"/>
          <w:color w:val="000000"/>
          <w:sz w:val="24"/>
          <w:szCs w:val="24"/>
        </w:rPr>
        <w:t>,</w:t>
      </w:r>
      <w:r w:rsidRPr="00045F0D">
        <w:rPr>
          <w:rFonts w:ascii="Garamond" w:hAnsi="Garamond" w:cs="Garamond"/>
          <w:color w:val="000000"/>
          <w:sz w:val="24"/>
          <w:szCs w:val="24"/>
        </w:rPr>
        <w:t xml:space="preserve"> ose territor të identifikuar si vend me rrezik të lartë nga FATF</w:t>
      </w:r>
      <w:r w:rsidR="00045F0D">
        <w:rPr>
          <w:rFonts w:ascii="Garamond" w:hAnsi="Garamond" w:cs="Garamond"/>
          <w:color w:val="000000"/>
          <w:sz w:val="24"/>
          <w:szCs w:val="24"/>
        </w:rPr>
        <w:t>-ja;</w:t>
      </w:r>
    </w:p>
    <w:p w14:paraId="45449DC0" w14:textId="71AE3398"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shfaqet si agjent i një personi të padeklaruar dhe refuzon ose shmanget pa pasur arsye të ligjshme biznesi</w:t>
      </w:r>
      <w:r w:rsidR="00045F0D">
        <w:rPr>
          <w:rFonts w:ascii="Garamond" w:hAnsi="Garamond" w:cs="Garamond"/>
          <w:color w:val="000000"/>
          <w:sz w:val="24"/>
          <w:szCs w:val="24"/>
        </w:rPr>
        <w:t>,</w:t>
      </w:r>
      <w:r w:rsidRPr="00045F0D">
        <w:rPr>
          <w:rFonts w:ascii="Garamond" w:hAnsi="Garamond" w:cs="Garamond"/>
          <w:color w:val="000000"/>
          <w:sz w:val="24"/>
          <w:szCs w:val="24"/>
        </w:rPr>
        <w:t xml:space="preserve"> që të japë informacion lidhur me personin ose njësinë që përfaqëson</w:t>
      </w:r>
      <w:r w:rsidR="00045F0D">
        <w:rPr>
          <w:rFonts w:ascii="Garamond" w:hAnsi="Garamond" w:cs="Garamond"/>
          <w:color w:val="000000"/>
          <w:sz w:val="24"/>
          <w:szCs w:val="24"/>
        </w:rPr>
        <w:t>;</w:t>
      </w:r>
    </w:p>
    <w:p w14:paraId="74649987" w14:textId="7D397755"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ka vështirësi për të përshkruar natyrën e biznesit të tij ose i mungojnë njohuritë e përgjithshme të industrisë së tij</w:t>
      </w:r>
      <w:r w:rsidR="00045F0D">
        <w:rPr>
          <w:rFonts w:ascii="Garamond" w:hAnsi="Garamond" w:cs="Garamond"/>
          <w:color w:val="000000"/>
          <w:sz w:val="24"/>
          <w:szCs w:val="24"/>
        </w:rPr>
        <w:t>;</w:t>
      </w:r>
    </w:p>
    <w:p w14:paraId="5262B485" w14:textId="4B88655C"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hap dhe mban disa regjistra kontabiliteti</w:t>
      </w:r>
      <w:r w:rsidR="00045F0D">
        <w:rPr>
          <w:rFonts w:ascii="Garamond" w:hAnsi="Garamond" w:cs="Garamond"/>
          <w:color w:val="000000"/>
          <w:sz w:val="24"/>
          <w:szCs w:val="24"/>
        </w:rPr>
        <w:t>;</w:t>
      </w:r>
    </w:p>
    <w:p w14:paraId="2FB4427C" w14:textId="40EEFAF2"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 xml:space="preserve">Tatimpaguesi paraqet fatura të rreme në </w:t>
      </w:r>
      <w:r w:rsidR="00045F0D" w:rsidRPr="00045F0D">
        <w:rPr>
          <w:rFonts w:ascii="Garamond" w:hAnsi="Garamond" w:cs="Garamond"/>
          <w:color w:val="000000"/>
          <w:sz w:val="24"/>
          <w:szCs w:val="24"/>
        </w:rPr>
        <w:t>drejtorinë përkatëse të tatimeve</w:t>
      </w:r>
      <w:r w:rsidR="00045F0D">
        <w:rPr>
          <w:rFonts w:ascii="Garamond" w:hAnsi="Garamond" w:cs="Garamond"/>
          <w:color w:val="000000"/>
          <w:sz w:val="24"/>
          <w:szCs w:val="24"/>
        </w:rPr>
        <w:t>;</w:t>
      </w:r>
    </w:p>
    <w:p w14:paraId="316765AA" w14:textId="27890BE9"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përmes personave të emëruar, përdor transaksione fasade (transaksione të cilat nuk kanë përmbajtje ekonomike)</w:t>
      </w:r>
      <w:r w:rsidR="00045F0D">
        <w:rPr>
          <w:rFonts w:ascii="Garamond" w:hAnsi="Garamond" w:cs="Garamond"/>
          <w:color w:val="000000"/>
          <w:sz w:val="24"/>
          <w:szCs w:val="24"/>
        </w:rPr>
        <w:t>;</w:t>
      </w:r>
    </w:p>
    <w:p w14:paraId="66B403B2" w14:textId="2D8A49AD"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 xml:space="preserve">Tatimpaguesi kryen transaksione të shpeshta në </w:t>
      </w:r>
      <w:r w:rsidRPr="00045F0D">
        <w:rPr>
          <w:rFonts w:ascii="Garamond" w:hAnsi="Garamond" w:cs="Garamond"/>
          <w:i/>
          <w:color w:val="000000"/>
          <w:sz w:val="24"/>
          <w:szCs w:val="24"/>
        </w:rPr>
        <w:t>cash</w:t>
      </w:r>
      <w:r w:rsidRPr="00045F0D">
        <w:rPr>
          <w:rFonts w:ascii="Garamond" w:hAnsi="Garamond" w:cs="Garamond"/>
          <w:color w:val="000000"/>
          <w:sz w:val="24"/>
          <w:szCs w:val="24"/>
        </w:rPr>
        <w:t>, pavarësisht nga penalitetet</w:t>
      </w:r>
      <w:r w:rsidR="00045F0D">
        <w:rPr>
          <w:rFonts w:ascii="Garamond" w:hAnsi="Garamond" w:cs="Garamond"/>
          <w:color w:val="000000"/>
          <w:sz w:val="24"/>
          <w:szCs w:val="24"/>
        </w:rPr>
        <w:t>;</w:t>
      </w:r>
    </w:p>
    <w:p w14:paraId="22FEB4CF" w14:textId="58327F0E"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Llogaria e tatimpaguesit tregon transaksione të shumta në valutë ose instrumente monetare, të cilat kur mblidhen arrijnë shuma të konsiderueshme</w:t>
      </w:r>
      <w:r w:rsidR="00045F0D">
        <w:rPr>
          <w:rFonts w:ascii="Garamond" w:hAnsi="Garamond" w:cs="Garamond"/>
          <w:color w:val="000000"/>
          <w:sz w:val="24"/>
          <w:szCs w:val="24"/>
        </w:rPr>
        <w:t>;</w:t>
      </w:r>
    </w:p>
    <w:p w14:paraId="206B2751" w14:textId="7A42C158"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 xml:space="preserve">Blerja dhe shitja e letrave me vlerë pa qëllim </w:t>
      </w:r>
      <w:r w:rsidR="00045F0D" w:rsidRPr="00045F0D">
        <w:rPr>
          <w:rFonts w:ascii="Garamond" w:hAnsi="Garamond" w:cs="Garamond"/>
          <w:color w:val="000000"/>
          <w:sz w:val="24"/>
          <w:szCs w:val="24"/>
        </w:rPr>
        <w:t xml:space="preserve">të </w:t>
      </w:r>
      <w:r w:rsidRPr="00045F0D">
        <w:rPr>
          <w:rFonts w:ascii="Garamond" w:hAnsi="Garamond" w:cs="Garamond"/>
          <w:color w:val="000000"/>
          <w:sz w:val="24"/>
          <w:szCs w:val="24"/>
        </w:rPr>
        <w:t>dallueshëm, në rrethana që duken të pazakonshme dhe të palidhura me diversifikimin e investimit ose të rrezikut</w:t>
      </w:r>
      <w:r w:rsidR="00045F0D">
        <w:rPr>
          <w:rFonts w:ascii="Garamond" w:hAnsi="Garamond" w:cs="Garamond"/>
          <w:color w:val="000000"/>
          <w:sz w:val="24"/>
          <w:szCs w:val="24"/>
        </w:rPr>
        <w:t>;</w:t>
      </w:r>
    </w:p>
    <w:p w14:paraId="49D01828" w14:textId="333D3388"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Transaksionet që nuk i përmbahen praktikës normale në treg (p.sh. madhësisë së tregut, shpeshtësisë, çmimeve, mbylljes së parakohshme të prodhimeve me humbje), veçanërisht kur përfshihen para në dorë ose çeqe të rimbursueshme për palë të treta</w:t>
      </w:r>
      <w:r w:rsidR="00045F0D">
        <w:rPr>
          <w:rFonts w:ascii="Garamond" w:hAnsi="Garamond" w:cs="Garamond"/>
          <w:color w:val="000000"/>
          <w:sz w:val="24"/>
          <w:szCs w:val="24"/>
        </w:rPr>
        <w:t>;</w:t>
      </w:r>
    </w:p>
    <w:p w14:paraId="4F3B862E" w14:textId="23A91DE8"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Pagesa hyrëse të bëra nga çeqe të palëve të treta ose të firmosura nga disa palë</w:t>
      </w:r>
      <w:r w:rsidR="00045F0D">
        <w:rPr>
          <w:rFonts w:ascii="Garamond" w:hAnsi="Garamond" w:cs="Garamond"/>
          <w:color w:val="000000"/>
          <w:sz w:val="24"/>
          <w:szCs w:val="24"/>
        </w:rPr>
        <w:t>;</w:t>
      </w:r>
    </w:p>
    <w:p w14:paraId="39976FC6" w14:textId="73AB1709"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i përfshirë në transaksione që nuk kanë kuptim biznesi ose strategji të dukshme investimi, ose janë në mospërputhje me strategjinë e deklaruar të biznesit të tatimpaguesit</w:t>
      </w:r>
      <w:r w:rsidR="00045F0D">
        <w:rPr>
          <w:rFonts w:ascii="Garamond" w:hAnsi="Garamond" w:cs="Garamond"/>
          <w:color w:val="000000"/>
          <w:sz w:val="24"/>
          <w:szCs w:val="24"/>
        </w:rPr>
        <w:t>;</w:t>
      </w:r>
    </w:p>
    <w:p w14:paraId="01A7C956" w14:textId="3F63CECB"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Aktivitetet ose transaksionet e tatimpaguesit janë tepër komplekse</w:t>
      </w:r>
      <w:r w:rsidR="00045F0D">
        <w:rPr>
          <w:rFonts w:ascii="Garamond" w:hAnsi="Garamond" w:cs="Garamond"/>
          <w:color w:val="000000"/>
          <w:sz w:val="24"/>
          <w:szCs w:val="24"/>
        </w:rPr>
        <w:t>;</w:t>
      </w:r>
    </w:p>
    <w:p w14:paraId="1CE3A9E2" w14:textId="3139B97D"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përzien “pasuritë e biznesit” me ato personale</w:t>
      </w:r>
      <w:r w:rsidR="00045F0D">
        <w:rPr>
          <w:rFonts w:ascii="Garamond" w:hAnsi="Garamond" w:cs="Garamond"/>
          <w:color w:val="000000"/>
          <w:sz w:val="24"/>
          <w:szCs w:val="24"/>
        </w:rPr>
        <w:t>;</w:t>
      </w:r>
    </w:p>
    <w:p w14:paraId="64F8FB12" w14:textId="1A1E96D1"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593586">
        <w:rPr>
          <w:rFonts w:ascii="Garamond" w:hAnsi="Garamond" w:cs="Times New Roman"/>
          <w:color w:val="000000"/>
          <w:sz w:val="24"/>
          <w:szCs w:val="24"/>
        </w:rPr>
        <w:t xml:space="preserve">- </w:t>
      </w:r>
      <w:r w:rsidRPr="00593586">
        <w:rPr>
          <w:rFonts w:ascii="Garamond" w:hAnsi="Garamond" w:cs="Garamond"/>
          <w:color w:val="000000"/>
          <w:sz w:val="24"/>
          <w:szCs w:val="24"/>
        </w:rPr>
        <w:t>Llogaria e tatimpaguesit ka transferta</w:t>
      </w:r>
      <w:r w:rsidRPr="00045F0D">
        <w:rPr>
          <w:rFonts w:ascii="Garamond" w:hAnsi="Garamond" w:cs="Garamond"/>
          <w:color w:val="000000"/>
          <w:sz w:val="24"/>
          <w:szCs w:val="24"/>
        </w:rPr>
        <w:t xml:space="preserve"> telegrafike që nuk kanë qëllim të dukshëm </w:t>
      </w:r>
      <w:r w:rsidRPr="003F1DEE">
        <w:rPr>
          <w:rFonts w:ascii="Garamond" w:hAnsi="Garamond" w:cs="Garamond"/>
          <w:color w:val="000000"/>
          <w:sz w:val="24"/>
          <w:szCs w:val="24"/>
        </w:rPr>
        <w:t>biznesi prej ose për të një vend i identifikuar si rrezik për pastrim parash, parajsa të sekretit bankar, vende</w:t>
      </w:r>
      <w:bookmarkStart w:id="0" w:name="_GoBack"/>
      <w:bookmarkEnd w:id="0"/>
      <w:r w:rsidRPr="00045F0D">
        <w:rPr>
          <w:rFonts w:ascii="Garamond" w:hAnsi="Garamond" w:cs="Garamond"/>
          <w:color w:val="000000"/>
          <w:sz w:val="24"/>
          <w:szCs w:val="24"/>
        </w:rPr>
        <w:t xml:space="preserve"> dhe banka </w:t>
      </w:r>
      <w:r w:rsidRPr="00593586">
        <w:rPr>
          <w:rFonts w:ascii="Garamond" w:hAnsi="Garamond" w:cs="Garamond"/>
          <w:i/>
          <w:color w:val="000000"/>
          <w:sz w:val="24"/>
          <w:szCs w:val="24"/>
        </w:rPr>
        <w:t>offshore</w:t>
      </w:r>
      <w:r w:rsidRPr="00045F0D">
        <w:rPr>
          <w:rFonts w:ascii="Garamond" w:hAnsi="Garamond" w:cs="Garamond"/>
          <w:color w:val="000000"/>
          <w:sz w:val="24"/>
          <w:szCs w:val="24"/>
        </w:rPr>
        <w:t xml:space="preserve"> apo vend i lidhur me aktivitet terrorist (d.m.th. vende nën sanksione, vende jobashkëpunuese, kombe simpatizante)</w:t>
      </w:r>
      <w:r w:rsidR="00593586">
        <w:rPr>
          <w:rFonts w:ascii="Garamond" w:hAnsi="Garamond" w:cs="Garamond"/>
          <w:color w:val="000000"/>
          <w:sz w:val="24"/>
          <w:szCs w:val="24"/>
        </w:rPr>
        <w:t>;</w:t>
      </w:r>
    </w:p>
    <w:p w14:paraId="3EC4E12E" w14:textId="65F5DB5B"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bën një depozitim fondesh</w:t>
      </w:r>
      <w:r w:rsidR="00593586">
        <w:rPr>
          <w:rFonts w:ascii="Garamond" w:hAnsi="Garamond" w:cs="Garamond"/>
          <w:color w:val="000000"/>
          <w:sz w:val="24"/>
          <w:szCs w:val="24"/>
        </w:rPr>
        <w:t>,</w:t>
      </w:r>
      <w:r w:rsidRPr="00045F0D">
        <w:rPr>
          <w:rFonts w:ascii="Garamond" w:hAnsi="Garamond" w:cs="Garamond"/>
          <w:color w:val="000000"/>
          <w:sz w:val="24"/>
          <w:szCs w:val="24"/>
        </w:rPr>
        <w:t xml:space="preserve"> me qëllim blerjen e një investimi afatgjatë të ndjekur, menjëherë pas kësaj, nga kërkesa për likuidim të pozicionit dhe transferim të të ardhurave jashtë llogarisë</w:t>
      </w:r>
      <w:r w:rsidR="00593586">
        <w:rPr>
          <w:rFonts w:ascii="Garamond" w:hAnsi="Garamond" w:cs="Garamond"/>
          <w:color w:val="000000"/>
          <w:sz w:val="24"/>
          <w:szCs w:val="24"/>
        </w:rPr>
        <w:t>;</w:t>
      </w:r>
    </w:p>
    <w:p w14:paraId="21FF78A1" w14:textId="5EB53702"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kërkon që transaksioni të përpunohet në mënyrë të tillë që t’i shmanget kërkesave normale për dokumentim nga ana e firmës</w:t>
      </w:r>
      <w:r w:rsidR="00593586">
        <w:rPr>
          <w:rFonts w:ascii="Garamond" w:hAnsi="Garamond" w:cs="Garamond"/>
          <w:color w:val="000000"/>
          <w:sz w:val="24"/>
          <w:szCs w:val="24"/>
        </w:rPr>
        <w:t>;</w:t>
      </w:r>
    </w:p>
    <w:p w14:paraId="60C386F0" w14:textId="529FC433"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Tatimpaguesi, pa arsye bindëse ose me shenja të pazakonshme, është përfshirë në transaksione që përfshijnë lloje të caktuara letrash me vlerë, si tituj ndaj mbartësit që, megjithëse janë të ligjshme, janë përdorur në skemat mashtruese dhe aktivitet pastrimi parash (</w:t>
      </w:r>
      <w:r w:rsidR="00593586">
        <w:rPr>
          <w:rFonts w:ascii="Garamond" w:hAnsi="Garamond" w:cs="Garamond"/>
          <w:color w:val="000000"/>
          <w:sz w:val="24"/>
          <w:szCs w:val="24"/>
        </w:rPr>
        <w:t>t</w:t>
      </w:r>
      <w:r w:rsidRPr="00045F0D">
        <w:rPr>
          <w:rFonts w:ascii="Garamond" w:hAnsi="Garamond" w:cs="Garamond"/>
          <w:color w:val="000000"/>
          <w:sz w:val="24"/>
          <w:szCs w:val="24"/>
        </w:rPr>
        <w:t>ransaksione të tilla mund të kërkojnë procedura verifikimi për të vërtetuar ligjshmërinë e aktivitetit të tatimpaguesit)</w:t>
      </w:r>
      <w:r w:rsidR="00593586">
        <w:rPr>
          <w:rFonts w:ascii="Garamond" w:hAnsi="Garamond" w:cs="Garamond"/>
          <w:color w:val="000000"/>
          <w:sz w:val="24"/>
          <w:szCs w:val="24"/>
        </w:rPr>
        <w:t>;</w:t>
      </w:r>
    </w:p>
    <w:p w14:paraId="481C85D8" w14:textId="349B4470"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Llogaria e tatimpaguesit tregon një nivel pashpjegueshmërisht të lartë të aktivitetit të llogarisë me nivele shume të transaksioneve të letrave me vlerë</w:t>
      </w:r>
      <w:r w:rsidR="00593586">
        <w:rPr>
          <w:rFonts w:ascii="Garamond" w:hAnsi="Garamond" w:cs="Garamond"/>
          <w:color w:val="000000"/>
          <w:sz w:val="24"/>
          <w:szCs w:val="24"/>
        </w:rPr>
        <w:t>;</w:t>
      </w:r>
    </w:p>
    <w:p w14:paraId="09479573" w14:textId="6929EEA9"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 xml:space="preserve">Llogaria e </w:t>
      </w:r>
      <w:r w:rsidR="00593586">
        <w:rPr>
          <w:rFonts w:ascii="Garamond" w:hAnsi="Garamond" w:cs="Garamond"/>
          <w:color w:val="000000"/>
          <w:sz w:val="24"/>
          <w:szCs w:val="24"/>
        </w:rPr>
        <w:t>t</w:t>
      </w:r>
      <w:r w:rsidRPr="00045F0D">
        <w:rPr>
          <w:rFonts w:ascii="Garamond" w:hAnsi="Garamond" w:cs="Garamond"/>
          <w:color w:val="000000"/>
          <w:sz w:val="24"/>
          <w:szCs w:val="24"/>
        </w:rPr>
        <w:t>atimpaguesit ka hyrje fondesh ose pasurish të tjera që i kalojnë kufijtë e njohur të të ardhurave ose burimeve të tatimpaguesit</w:t>
      </w:r>
      <w:r w:rsidR="00593586">
        <w:rPr>
          <w:rFonts w:ascii="Garamond" w:hAnsi="Garamond" w:cs="Garamond"/>
          <w:color w:val="000000"/>
          <w:sz w:val="24"/>
          <w:szCs w:val="24"/>
        </w:rPr>
        <w:t>;</w:t>
      </w:r>
    </w:p>
    <w:p w14:paraId="6D1C2C46" w14:textId="0E28C64C" w:rsidR="00C47DB5" w:rsidRPr="00045F0D" w:rsidRDefault="00EA14CE" w:rsidP="00C47DB5">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Transaksione të kryera në favor të palëve të panjohura</w:t>
      </w:r>
      <w:r w:rsidR="00C47DB5">
        <w:rPr>
          <w:rFonts w:ascii="Garamond" w:hAnsi="Garamond" w:cs="Garamond"/>
          <w:color w:val="000000"/>
          <w:sz w:val="24"/>
          <w:szCs w:val="24"/>
        </w:rPr>
        <w:t>;</w:t>
      </w:r>
    </w:p>
    <w:p w14:paraId="34DEB131" w14:textId="768EC421"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Transferta të qarkulluara përmes bankave të shumta vendase ose të huaja</w:t>
      </w:r>
      <w:r w:rsidR="00C47DB5">
        <w:rPr>
          <w:rFonts w:ascii="Garamond" w:hAnsi="Garamond" w:cs="Garamond"/>
          <w:color w:val="000000"/>
          <w:sz w:val="24"/>
          <w:szCs w:val="24"/>
        </w:rPr>
        <w:t>;</w:t>
      </w:r>
    </w:p>
    <w:p w14:paraId="5E4062FD" w14:textId="52488372"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lastRenderedPageBreak/>
        <w:t xml:space="preserve">- </w:t>
      </w:r>
      <w:r w:rsidRPr="00045F0D">
        <w:rPr>
          <w:rFonts w:ascii="Garamond" w:hAnsi="Garamond" w:cs="Garamond"/>
          <w:color w:val="000000"/>
          <w:sz w:val="24"/>
          <w:szCs w:val="24"/>
        </w:rPr>
        <w:t>Mbajtja dhe përdorimi i shumë llogarive bankare të panevojshme</w:t>
      </w:r>
      <w:r w:rsidR="00C47DB5">
        <w:rPr>
          <w:rFonts w:ascii="Garamond" w:hAnsi="Garamond" w:cs="Garamond"/>
          <w:color w:val="000000"/>
          <w:sz w:val="24"/>
          <w:szCs w:val="24"/>
        </w:rPr>
        <w:t>;</w:t>
      </w:r>
    </w:p>
    <w:p w14:paraId="67227AF8" w14:textId="5CA71DF5"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Rivlerësimi i aseteve të shoqërisë në vlera jashtë atyre të tregut</w:t>
      </w:r>
      <w:r w:rsidR="00C47DB5">
        <w:rPr>
          <w:rFonts w:ascii="Garamond" w:hAnsi="Garamond" w:cs="Garamond"/>
          <w:color w:val="000000"/>
          <w:sz w:val="24"/>
          <w:szCs w:val="24"/>
        </w:rPr>
        <w:t>;</w:t>
      </w:r>
    </w:p>
    <w:p w14:paraId="30D46DFC" w14:textId="3D837CAA" w:rsidR="00EA14CE" w:rsidRPr="00045F0D" w:rsidRDefault="00EA14CE" w:rsidP="00EA14CE">
      <w:pPr>
        <w:autoSpaceDE w:val="0"/>
        <w:autoSpaceDN w:val="0"/>
        <w:adjustRightInd w:val="0"/>
        <w:spacing w:after="0" w:line="240" w:lineRule="auto"/>
        <w:ind w:firstLine="284"/>
        <w:jc w:val="both"/>
        <w:rPr>
          <w:rFonts w:ascii="Garamond" w:hAnsi="Garamond" w:cs="Garamond"/>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Deklarimi i fitimeve tepër të larta</w:t>
      </w:r>
      <w:r w:rsidR="00C47DB5">
        <w:rPr>
          <w:rFonts w:ascii="Garamond" w:hAnsi="Garamond" w:cs="Garamond"/>
          <w:color w:val="000000"/>
          <w:sz w:val="24"/>
          <w:szCs w:val="24"/>
        </w:rPr>
        <w:t>,</w:t>
      </w:r>
      <w:r w:rsidRPr="00045F0D">
        <w:rPr>
          <w:rFonts w:ascii="Garamond" w:hAnsi="Garamond" w:cs="Garamond"/>
          <w:color w:val="000000"/>
          <w:sz w:val="24"/>
          <w:szCs w:val="24"/>
        </w:rPr>
        <w:t xml:space="preserve"> të cilat nuk janë të zakonshme për llojin dhe fushën në të cilën zhvillohet ky aktivitet tregta</w:t>
      </w:r>
      <w:r w:rsidR="00C47DB5">
        <w:rPr>
          <w:rFonts w:ascii="Garamond" w:hAnsi="Garamond" w:cs="Garamond"/>
          <w:color w:val="000000"/>
          <w:sz w:val="24"/>
          <w:szCs w:val="24"/>
        </w:rPr>
        <w:t>r;</w:t>
      </w:r>
    </w:p>
    <w:p w14:paraId="608C39FB" w14:textId="785247D7" w:rsidR="00EA14CE" w:rsidRPr="00045F0D" w:rsidRDefault="00EA14CE" w:rsidP="00EA14CE">
      <w:pPr>
        <w:autoSpaceDE w:val="0"/>
        <w:autoSpaceDN w:val="0"/>
        <w:adjustRightInd w:val="0"/>
        <w:spacing w:after="0" w:line="240" w:lineRule="auto"/>
        <w:ind w:firstLine="284"/>
        <w:jc w:val="both"/>
        <w:rPr>
          <w:rFonts w:ascii="Garamond" w:hAnsi="Garamond" w:cs="Garamond"/>
          <w:b/>
          <w:bCs/>
          <w:color w:val="000000"/>
          <w:sz w:val="24"/>
          <w:szCs w:val="24"/>
        </w:rPr>
      </w:pPr>
      <w:r w:rsidRPr="00045F0D">
        <w:rPr>
          <w:rFonts w:ascii="Garamond" w:hAnsi="Garamond" w:cs="Times New Roman"/>
          <w:color w:val="000000"/>
          <w:sz w:val="24"/>
          <w:szCs w:val="24"/>
        </w:rPr>
        <w:t xml:space="preserve">- </w:t>
      </w:r>
      <w:r w:rsidRPr="00045F0D">
        <w:rPr>
          <w:rFonts w:ascii="Garamond" w:hAnsi="Garamond" w:cs="Garamond"/>
          <w:color w:val="000000"/>
          <w:sz w:val="24"/>
          <w:szCs w:val="24"/>
        </w:rPr>
        <w:t>Financimi i shoqërive në vlera të larta i ortakëve</w:t>
      </w:r>
      <w:r w:rsidR="00C47DB5">
        <w:rPr>
          <w:rFonts w:ascii="Garamond" w:hAnsi="Garamond" w:cs="Garamond"/>
          <w:color w:val="000000"/>
          <w:sz w:val="24"/>
          <w:szCs w:val="24"/>
        </w:rPr>
        <w:t>,</w:t>
      </w:r>
      <w:r w:rsidRPr="00045F0D">
        <w:rPr>
          <w:rFonts w:ascii="Garamond" w:hAnsi="Garamond" w:cs="Garamond"/>
          <w:color w:val="000000"/>
          <w:sz w:val="24"/>
          <w:szCs w:val="24"/>
        </w:rPr>
        <w:t xml:space="preserve"> të cilat nuk janë të justifikuara qartësisht nga burime të ligjshme apo të rrjedhin nga fitimet e aktivitetit tregtar.</w:t>
      </w:r>
    </w:p>
    <w:sectPr w:rsidR="00EA14CE" w:rsidRPr="00045F0D" w:rsidSect="008C4C2A">
      <w:pgSz w:w="11906" w:h="16838"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98573" w16cex:dateUtc="2022-03-23T07:46:00Z"/>
  <w16cex:commentExtensible w16cex:durableId="26098574" w16cex:dateUtc="2022-04-19T08:05:00Z"/>
  <w16cex:commentExtensible w16cex:durableId="26098575" w16cex:dateUtc="2022-04-19T08:06:00Z"/>
  <w16cex:commentExtensible w16cex:durableId="26098576" w16cex:dateUtc="2022-04-19T08:07:00Z"/>
  <w16cex:commentExtensible w16cex:durableId="26098577" w16cex:dateUtc="2022-04-19T08:08:00Z"/>
  <w16cex:commentExtensible w16cex:durableId="26098578" w16cex:dateUtc="2022-04-19T08:09:00Z"/>
  <w16cex:commentExtensible w16cex:durableId="26098579" w16cex:dateUtc="2022-04-19T08:10:00Z"/>
  <w16cex:commentExtensible w16cex:durableId="2609857A" w16cex:dateUtc="2022-04-19T08:13:00Z"/>
  <w16cex:commentExtensible w16cex:durableId="2609857B" w16cex:dateUtc="2022-04-19T08:11:00Z"/>
  <w16cex:commentExtensible w16cex:durableId="2609857C" w16cex:dateUtc="2022-04-19T08:13:00Z"/>
  <w16cex:commentExtensible w16cex:durableId="2609857D" w16cex:dateUtc="2022-04-18T14:21:00Z"/>
  <w16cex:commentExtensible w16cex:durableId="2609857E" w16cex:dateUtc="2022-04-17T15:31:00Z"/>
  <w16cex:commentExtensible w16cex:durableId="2609857F" w16cex:dateUtc="2022-03-23T09:04:00Z"/>
  <w16cex:commentExtensible w16cex:durableId="26098580" w16cex:dateUtc="2022-03-23T09:03:00Z"/>
  <w16cex:commentExtensible w16cex:durableId="26098581" w16cex:dateUtc="2022-04-19T08:17:00Z"/>
  <w16cex:commentExtensible w16cex:durableId="26098582" w16cex:dateUtc="2022-04-19T08:20:00Z"/>
  <w16cex:commentExtensible w16cex:durableId="26098583" w16cex:dateUtc="2022-04-19T08:19:00Z"/>
  <w16cex:commentExtensible w16cex:durableId="26098584" w16cex:dateUtc="2022-04-19T08:19:00Z"/>
  <w16cex:commentExtensible w16cex:durableId="26098585" w16cex:dateUtc="2022-04-19T08:20:00Z"/>
  <w16cex:commentExtensible w16cex:durableId="26098586" w16cex:dateUtc="2022-04-19T08:19:00Z"/>
  <w16cex:commentExtensible w16cex:durableId="26098587" w16cex:dateUtc="2022-04-19T08:23:00Z"/>
  <w16cex:commentExtensible w16cex:durableId="26098588" w16cex:dateUtc="2022-03-23T09:37:00Z"/>
  <w16cex:commentExtensible w16cex:durableId="26098589" w16cex:dateUtc="2022-03-23T09:37:00Z"/>
  <w16cex:commentExtensible w16cex:durableId="2609858A" w16cex:dateUtc="2022-04-19T08:24:00Z"/>
  <w16cex:commentExtensible w16cex:durableId="2609858B" w16cex:dateUtc="2022-04-18T14:40:00Z"/>
  <w16cex:commentExtensible w16cex:durableId="2609858C" w16cex:dateUtc="2022-04-19T08:26:00Z"/>
  <w16cex:commentExtensible w16cex:durableId="2609858D" w16cex:dateUtc="2022-04-18T15:45:00Z"/>
  <w16cex:commentExtensible w16cex:durableId="2609858E" w16cex:dateUtc="2022-04-18T15:46:00Z"/>
  <w16cex:commentExtensible w16cex:durableId="2609858F" w16cex:dateUtc="2022-03-23T12:43:00Z"/>
  <w16cex:commentExtensible w16cex:durableId="26098590" w16cex:dateUtc="2022-03-23T09:53:00Z"/>
  <w16cex:commentExtensible w16cex:durableId="26098591" w16cex:dateUtc="2022-04-19T08:29:00Z"/>
  <w16cex:commentExtensible w16cex:durableId="26098592" w16cex:dateUtc="2022-04-19T08:30:00Z"/>
  <w16cex:commentExtensible w16cex:durableId="26098593" w16cex:dateUtc="2022-03-23T10:47:00Z"/>
  <w16cex:commentExtensible w16cex:durableId="26098594" w16cex:dateUtc="2022-04-19T08:32:00Z"/>
  <w16cex:commentExtensible w16cex:durableId="26098595" w16cex:dateUtc="2022-04-19T08:34:00Z"/>
  <w16cex:commentExtensible w16cex:durableId="26098596" w16cex:dateUtc="2022-04-19T09:00:00Z"/>
  <w16cex:commentExtensible w16cex:durableId="26098597" w16cex:dateUtc="2022-04-19T08:54:00Z"/>
  <w16cex:commentExtensible w16cex:durableId="26098598" w16cex:dateUtc="2022-04-19T08:54:00Z"/>
  <w16cex:commentExtensible w16cex:durableId="26098599" w16cex:dateUtc="2022-04-19T08:50:00Z"/>
  <w16cex:commentExtensible w16cex:durableId="2609859A" w16cex:dateUtc="2022-04-19T08: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1D921" w14:textId="77777777" w:rsidR="003F1DEE" w:rsidRDefault="003F1DEE" w:rsidP="000B36FE">
      <w:pPr>
        <w:spacing w:after="0" w:line="240" w:lineRule="auto"/>
      </w:pPr>
      <w:r>
        <w:separator/>
      </w:r>
    </w:p>
  </w:endnote>
  <w:endnote w:type="continuationSeparator" w:id="0">
    <w:p w14:paraId="315780B8" w14:textId="77777777" w:rsidR="003F1DEE" w:rsidRDefault="003F1DEE" w:rsidP="000B36FE">
      <w:pPr>
        <w:spacing w:after="0" w:line="240" w:lineRule="auto"/>
      </w:pPr>
      <w:r>
        <w:continuationSeparator/>
      </w:r>
    </w:p>
  </w:endnote>
  <w:endnote w:type="continuationNotice" w:id="1">
    <w:p w14:paraId="4F7F2DD7" w14:textId="77777777" w:rsidR="003F1DEE" w:rsidRDefault="003F1D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C48CB" w14:textId="77777777" w:rsidR="003F1DEE" w:rsidRDefault="003F1DEE" w:rsidP="000B36FE">
      <w:pPr>
        <w:spacing w:after="0" w:line="240" w:lineRule="auto"/>
      </w:pPr>
      <w:r>
        <w:separator/>
      </w:r>
    </w:p>
  </w:footnote>
  <w:footnote w:type="continuationSeparator" w:id="0">
    <w:p w14:paraId="311764DB" w14:textId="77777777" w:rsidR="003F1DEE" w:rsidRDefault="003F1DEE" w:rsidP="000B36FE">
      <w:pPr>
        <w:spacing w:after="0" w:line="240" w:lineRule="auto"/>
      </w:pPr>
      <w:r>
        <w:continuationSeparator/>
      </w:r>
    </w:p>
  </w:footnote>
  <w:footnote w:type="continuationNotice" w:id="1">
    <w:p w14:paraId="2AC30635" w14:textId="77777777" w:rsidR="003F1DEE" w:rsidRDefault="003F1D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A27BA"/>
    <w:multiLevelType w:val="hybridMultilevel"/>
    <w:tmpl w:val="4A308282"/>
    <w:lvl w:ilvl="0" w:tplc="041C000F">
      <w:start w:val="1"/>
      <w:numFmt w:val="decimal"/>
      <w:lvlText w:val="%1."/>
      <w:lvlJc w:val="left"/>
      <w:pPr>
        <w:ind w:left="1224" w:hanging="360"/>
      </w:pPr>
    </w:lvl>
    <w:lvl w:ilvl="1" w:tplc="041C0019" w:tentative="1">
      <w:start w:val="1"/>
      <w:numFmt w:val="lowerLetter"/>
      <w:lvlText w:val="%2."/>
      <w:lvlJc w:val="left"/>
      <w:pPr>
        <w:ind w:left="1944" w:hanging="360"/>
      </w:pPr>
    </w:lvl>
    <w:lvl w:ilvl="2" w:tplc="041C001B" w:tentative="1">
      <w:start w:val="1"/>
      <w:numFmt w:val="lowerRoman"/>
      <w:lvlText w:val="%3."/>
      <w:lvlJc w:val="right"/>
      <w:pPr>
        <w:ind w:left="2664" w:hanging="180"/>
      </w:pPr>
    </w:lvl>
    <w:lvl w:ilvl="3" w:tplc="041C000F" w:tentative="1">
      <w:start w:val="1"/>
      <w:numFmt w:val="decimal"/>
      <w:lvlText w:val="%4."/>
      <w:lvlJc w:val="left"/>
      <w:pPr>
        <w:ind w:left="3384" w:hanging="360"/>
      </w:pPr>
    </w:lvl>
    <w:lvl w:ilvl="4" w:tplc="041C0019" w:tentative="1">
      <w:start w:val="1"/>
      <w:numFmt w:val="lowerLetter"/>
      <w:lvlText w:val="%5."/>
      <w:lvlJc w:val="left"/>
      <w:pPr>
        <w:ind w:left="4104" w:hanging="360"/>
      </w:pPr>
    </w:lvl>
    <w:lvl w:ilvl="5" w:tplc="041C001B" w:tentative="1">
      <w:start w:val="1"/>
      <w:numFmt w:val="lowerRoman"/>
      <w:lvlText w:val="%6."/>
      <w:lvlJc w:val="right"/>
      <w:pPr>
        <w:ind w:left="4824" w:hanging="180"/>
      </w:pPr>
    </w:lvl>
    <w:lvl w:ilvl="6" w:tplc="041C000F" w:tentative="1">
      <w:start w:val="1"/>
      <w:numFmt w:val="decimal"/>
      <w:lvlText w:val="%7."/>
      <w:lvlJc w:val="left"/>
      <w:pPr>
        <w:ind w:left="5544" w:hanging="360"/>
      </w:pPr>
    </w:lvl>
    <w:lvl w:ilvl="7" w:tplc="041C0019" w:tentative="1">
      <w:start w:val="1"/>
      <w:numFmt w:val="lowerLetter"/>
      <w:lvlText w:val="%8."/>
      <w:lvlJc w:val="left"/>
      <w:pPr>
        <w:ind w:left="6264" w:hanging="360"/>
      </w:pPr>
    </w:lvl>
    <w:lvl w:ilvl="8" w:tplc="041C001B" w:tentative="1">
      <w:start w:val="1"/>
      <w:numFmt w:val="lowerRoman"/>
      <w:lvlText w:val="%9."/>
      <w:lvlJc w:val="right"/>
      <w:pPr>
        <w:ind w:left="6984" w:hanging="180"/>
      </w:pPr>
    </w:lvl>
  </w:abstractNum>
  <w:abstractNum w:abstractNumId="1" w15:restartNumberingAfterBreak="0">
    <w:nsid w:val="0B991CBB"/>
    <w:multiLevelType w:val="hybridMultilevel"/>
    <w:tmpl w:val="EA6CF382"/>
    <w:lvl w:ilvl="0" w:tplc="409E522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75ABC"/>
    <w:multiLevelType w:val="hybridMultilevel"/>
    <w:tmpl w:val="75B29960"/>
    <w:lvl w:ilvl="0" w:tplc="041C000F">
      <w:start w:val="1"/>
      <w:numFmt w:val="decimal"/>
      <w:lvlText w:val="%1."/>
      <w:lvlJc w:val="left"/>
      <w:pPr>
        <w:ind w:left="1224" w:hanging="360"/>
      </w:pPr>
    </w:lvl>
    <w:lvl w:ilvl="1" w:tplc="041C0019" w:tentative="1">
      <w:start w:val="1"/>
      <w:numFmt w:val="lowerLetter"/>
      <w:lvlText w:val="%2."/>
      <w:lvlJc w:val="left"/>
      <w:pPr>
        <w:ind w:left="1944" w:hanging="360"/>
      </w:pPr>
    </w:lvl>
    <w:lvl w:ilvl="2" w:tplc="041C001B" w:tentative="1">
      <w:start w:val="1"/>
      <w:numFmt w:val="lowerRoman"/>
      <w:lvlText w:val="%3."/>
      <w:lvlJc w:val="right"/>
      <w:pPr>
        <w:ind w:left="2664" w:hanging="180"/>
      </w:pPr>
    </w:lvl>
    <w:lvl w:ilvl="3" w:tplc="041C000F" w:tentative="1">
      <w:start w:val="1"/>
      <w:numFmt w:val="decimal"/>
      <w:lvlText w:val="%4."/>
      <w:lvlJc w:val="left"/>
      <w:pPr>
        <w:ind w:left="3384" w:hanging="360"/>
      </w:pPr>
    </w:lvl>
    <w:lvl w:ilvl="4" w:tplc="041C0019" w:tentative="1">
      <w:start w:val="1"/>
      <w:numFmt w:val="lowerLetter"/>
      <w:lvlText w:val="%5."/>
      <w:lvlJc w:val="left"/>
      <w:pPr>
        <w:ind w:left="4104" w:hanging="360"/>
      </w:pPr>
    </w:lvl>
    <w:lvl w:ilvl="5" w:tplc="041C001B" w:tentative="1">
      <w:start w:val="1"/>
      <w:numFmt w:val="lowerRoman"/>
      <w:lvlText w:val="%6."/>
      <w:lvlJc w:val="right"/>
      <w:pPr>
        <w:ind w:left="4824" w:hanging="180"/>
      </w:pPr>
    </w:lvl>
    <w:lvl w:ilvl="6" w:tplc="041C000F" w:tentative="1">
      <w:start w:val="1"/>
      <w:numFmt w:val="decimal"/>
      <w:lvlText w:val="%7."/>
      <w:lvlJc w:val="left"/>
      <w:pPr>
        <w:ind w:left="5544" w:hanging="360"/>
      </w:pPr>
    </w:lvl>
    <w:lvl w:ilvl="7" w:tplc="041C0019" w:tentative="1">
      <w:start w:val="1"/>
      <w:numFmt w:val="lowerLetter"/>
      <w:lvlText w:val="%8."/>
      <w:lvlJc w:val="left"/>
      <w:pPr>
        <w:ind w:left="6264" w:hanging="360"/>
      </w:pPr>
    </w:lvl>
    <w:lvl w:ilvl="8" w:tplc="041C001B" w:tentative="1">
      <w:start w:val="1"/>
      <w:numFmt w:val="lowerRoman"/>
      <w:lvlText w:val="%9."/>
      <w:lvlJc w:val="right"/>
      <w:pPr>
        <w:ind w:left="6984" w:hanging="180"/>
      </w:pPr>
    </w:lvl>
  </w:abstractNum>
  <w:abstractNum w:abstractNumId="3" w15:restartNumberingAfterBreak="0">
    <w:nsid w:val="1DB848FE"/>
    <w:multiLevelType w:val="hybridMultilevel"/>
    <w:tmpl w:val="4E94F814"/>
    <w:lvl w:ilvl="0" w:tplc="AFD62194">
      <w:start w:val="1"/>
      <w:numFmt w:val="lowerLetter"/>
      <w:lvlText w:val="%1)"/>
      <w:lvlJc w:val="left"/>
      <w:pPr>
        <w:ind w:left="1440" w:hanging="360"/>
      </w:pPr>
      <w:rPr>
        <w:rFonts w:ascii="Times New Roman" w:eastAsiaTheme="minorHAnsi" w:hAnsi="Times New Roman" w:cs="Times New Roman"/>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EB53F4C"/>
    <w:multiLevelType w:val="hybridMultilevel"/>
    <w:tmpl w:val="3CCCD0F8"/>
    <w:lvl w:ilvl="0" w:tplc="B0A66A50">
      <w:start w:val="1"/>
      <w:numFmt w:val="decimal"/>
      <w:lvlText w:val="%1."/>
      <w:lvlJc w:val="left"/>
      <w:pPr>
        <w:ind w:left="1080" w:hanging="360"/>
      </w:pPr>
      <w:rPr>
        <w:rFonts w:hint="default"/>
        <w:b w:val="0"/>
      </w:rPr>
    </w:lvl>
    <w:lvl w:ilvl="1" w:tplc="4386CBCC">
      <w:start w:val="1"/>
      <w:numFmt w:val="lowerLetter"/>
      <w:lvlText w:val="%2)"/>
      <w:lvlJc w:val="left"/>
      <w:pPr>
        <w:ind w:left="1800" w:hanging="360"/>
      </w:pPr>
      <w:rPr>
        <w:rFonts w:hint="default"/>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3E4A78"/>
    <w:multiLevelType w:val="hybridMultilevel"/>
    <w:tmpl w:val="3D78B57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51415F8B"/>
    <w:multiLevelType w:val="hybridMultilevel"/>
    <w:tmpl w:val="0BF2A728"/>
    <w:lvl w:ilvl="0" w:tplc="04090017">
      <w:start w:val="1"/>
      <w:numFmt w:val="lowerLetter"/>
      <w:lvlText w:val="%1)"/>
      <w:lvlJc w:val="left"/>
      <w:pPr>
        <w:ind w:left="576" w:hanging="360"/>
      </w:pPr>
    </w:lvl>
    <w:lvl w:ilvl="1" w:tplc="041C0019" w:tentative="1">
      <w:start w:val="1"/>
      <w:numFmt w:val="lowerLetter"/>
      <w:lvlText w:val="%2."/>
      <w:lvlJc w:val="left"/>
      <w:pPr>
        <w:ind w:left="1296" w:hanging="360"/>
      </w:pPr>
    </w:lvl>
    <w:lvl w:ilvl="2" w:tplc="041C001B" w:tentative="1">
      <w:start w:val="1"/>
      <w:numFmt w:val="lowerRoman"/>
      <w:lvlText w:val="%3."/>
      <w:lvlJc w:val="right"/>
      <w:pPr>
        <w:ind w:left="2016" w:hanging="180"/>
      </w:pPr>
    </w:lvl>
    <w:lvl w:ilvl="3" w:tplc="041C000F" w:tentative="1">
      <w:start w:val="1"/>
      <w:numFmt w:val="decimal"/>
      <w:lvlText w:val="%4."/>
      <w:lvlJc w:val="left"/>
      <w:pPr>
        <w:ind w:left="2736" w:hanging="360"/>
      </w:pPr>
    </w:lvl>
    <w:lvl w:ilvl="4" w:tplc="041C0019" w:tentative="1">
      <w:start w:val="1"/>
      <w:numFmt w:val="lowerLetter"/>
      <w:lvlText w:val="%5."/>
      <w:lvlJc w:val="left"/>
      <w:pPr>
        <w:ind w:left="3456" w:hanging="360"/>
      </w:pPr>
    </w:lvl>
    <w:lvl w:ilvl="5" w:tplc="041C001B" w:tentative="1">
      <w:start w:val="1"/>
      <w:numFmt w:val="lowerRoman"/>
      <w:lvlText w:val="%6."/>
      <w:lvlJc w:val="right"/>
      <w:pPr>
        <w:ind w:left="4176" w:hanging="180"/>
      </w:pPr>
    </w:lvl>
    <w:lvl w:ilvl="6" w:tplc="041C000F" w:tentative="1">
      <w:start w:val="1"/>
      <w:numFmt w:val="decimal"/>
      <w:lvlText w:val="%7."/>
      <w:lvlJc w:val="left"/>
      <w:pPr>
        <w:ind w:left="4896" w:hanging="360"/>
      </w:pPr>
    </w:lvl>
    <w:lvl w:ilvl="7" w:tplc="041C0019" w:tentative="1">
      <w:start w:val="1"/>
      <w:numFmt w:val="lowerLetter"/>
      <w:lvlText w:val="%8."/>
      <w:lvlJc w:val="left"/>
      <w:pPr>
        <w:ind w:left="5616" w:hanging="360"/>
      </w:pPr>
    </w:lvl>
    <w:lvl w:ilvl="8" w:tplc="041C001B" w:tentative="1">
      <w:start w:val="1"/>
      <w:numFmt w:val="lowerRoman"/>
      <w:lvlText w:val="%9."/>
      <w:lvlJc w:val="right"/>
      <w:pPr>
        <w:ind w:left="6336" w:hanging="180"/>
      </w:pPr>
    </w:lvl>
  </w:abstractNum>
  <w:abstractNum w:abstractNumId="7" w15:restartNumberingAfterBreak="0">
    <w:nsid w:val="582B3340"/>
    <w:multiLevelType w:val="hybridMultilevel"/>
    <w:tmpl w:val="75B29960"/>
    <w:lvl w:ilvl="0" w:tplc="041C000F">
      <w:start w:val="1"/>
      <w:numFmt w:val="decimal"/>
      <w:lvlText w:val="%1."/>
      <w:lvlJc w:val="left"/>
      <w:pPr>
        <w:ind w:left="1224" w:hanging="360"/>
      </w:pPr>
    </w:lvl>
    <w:lvl w:ilvl="1" w:tplc="041C0019" w:tentative="1">
      <w:start w:val="1"/>
      <w:numFmt w:val="lowerLetter"/>
      <w:lvlText w:val="%2."/>
      <w:lvlJc w:val="left"/>
      <w:pPr>
        <w:ind w:left="1944" w:hanging="360"/>
      </w:pPr>
    </w:lvl>
    <w:lvl w:ilvl="2" w:tplc="041C001B" w:tentative="1">
      <w:start w:val="1"/>
      <w:numFmt w:val="lowerRoman"/>
      <w:lvlText w:val="%3."/>
      <w:lvlJc w:val="right"/>
      <w:pPr>
        <w:ind w:left="2664" w:hanging="180"/>
      </w:pPr>
    </w:lvl>
    <w:lvl w:ilvl="3" w:tplc="041C000F" w:tentative="1">
      <w:start w:val="1"/>
      <w:numFmt w:val="decimal"/>
      <w:lvlText w:val="%4."/>
      <w:lvlJc w:val="left"/>
      <w:pPr>
        <w:ind w:left="3384" w:hanging="360"/>
      </w:pPr>
    </w:lvl>
    <w:lvl w:ilvl="4" w:tplc="041C0019" w:tentative="1">
      <w:start w:val="1"/>
      <w:numFmt w:val="lowerLetter"/>
      <w:lvlText w:val="%5."/>
      <w:lvlJc w:val="left"/>
      <w:pPr>
        <w:ind w:left="4104" w:hanging="360"/>
      </w:pPr>
    </w:lvl>
    <w:lvl w:ilvl="5" w:tplc="041C001B" w:tentative="1">
      <w:start w:val="1"/>
      <w:numFmt w:val="lowerRoman"/>
      <w:lvlText w:val="%6."/>
      <w:lvlJc w:val="right"/>
      <w:pPr>
        <w:ind w:left="4824" w:hanging="180"/>
      </w:pPr>
    </w:lvl>
    <w:lvl w:ilvl="6" w:tplc="041C000F" w:tentative="1">
      <w:start w:val="1"/>
      <w:numFmt w:val="decimal"/>
      <w:lvlText w:val="%7."/>
      <w:lvlJc w:val="left"/>
      <w:pPr>
        <w:ind w:left="5544" w:hanging="360"/>
      </w:pPr>
    </w:lvl>
    <w:lvl w:ilvl="7" w:tplc="041C0019" w:tentative="1">
      <w:start w:val="1"/>
      <w:numFmt w:val="lowerLetter"/>
      <w:lvlText w:val="%8."/>
      <w:lvlJc w:val="left"/>
      <w:pPr>
        <w:ind w:left="6264" w:hanging="360"/>
      </w:pPr>
    </w:lvl>
    <w:lvl w:ilvl="8" w:tplc="041C001B" w:tentative="1">
      <w:start w:val="1"/>
      <w:numFmt w:val="lowerRoman"/>
      <w:lvlText w:val="%9."/>
      <w:lvlJc w:val="right"/>
      <w:pPr>
        <w:ind w:left="6984" w:hanging="180"/>
      </w:pPr>
    </w:lvl>
  </w:abstractNum>
  <w:abstractNum w:abstractNumId="8" w15:restartNumberingAfterBreak="0">
    <w:nsid w:val="5CEB5DB0"/>
    <w:multiLevelType w:val="hybridMultilevel"/>
    <w:tmpl w:val="ED7C379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3"/>
  </w:num>
  <w:num w:numId="2">
    <w:abstractNumId w:val="4"/>
  </w:num>
  <w:num w:numId="3">
    <w:abstractNumId w:val="5"/>
  </w:num>
  <w:num w:numId="4">
    <w:abstractNumId w:val="0"/>
  </w:num>
  <w:num w:numId="5">
    <w:abstractNumId w:val="2"/>
  </w:num>
  <w:num w:numId="6">
    <w:abstractNumId w:val="6"/>
  </w:num>
  <w:num w:numId="7">
    <w:abstractNumId w:val="7"/>
  </w:num>
  <w:num w:numId="8">
    <w:abstractNumId w:val="8"/>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C94"/>
    <w:rsid w:val="000023A7"/>
    <w:rsid w:val="00002EC7"/>
    <w:rsid w:val="00003CF5"/>
    <w:rsid w:val="00012D2D"/>
    <w:rsid w:val="00014A73"/>
    <w:rsid w:val="00016981"/>
    <w:rsid w:val="0001733F"/>
    <w:rsid w:val="00020A38"/>
    <w:rsid w:val="000214F8"/>
    <w:rsid w:val="0002329C"/>
    <w:rsid w:val="00023456"/>
    <w:rsid w:val="000263E8"/>
    <w:rsid w:val="00026D8B"/>
    <w:rsid w:val="000356F3"/>
    <w:rsid w:val="00045F0D"/>
    <w:rsid w:val="00045F5C"/>
    <w:rsid w:val="00046255"/>
    <w:rsid w:val="00047847"/>
    <w:rsid w:val="000505FD"/>
    <w:rsid w:val="00051F15"/>
    <w:rsid w:val="00052F2E"/>
    <w:rsid w:val="000551BF"/>
    <w:rsid w:val="0006039D"/>
    <w:rsid w:val="00064522"/>
    <w:rsid w:val="000732E1"/>
    <w:rsid w:val="00075BC9"/>
    <w:rsid w:val="0007682E"/>
    <w:rsid w:val="000847B7"/>
    <w:rsid w:val="00084A89"/>
    <w:rsid w:val="0009008E"/>
    <w:rsid w:val="000949FE"/>
    <w:rsid w:val="000A16D6"/>
    <w:rsid w:val="000A20D8"/>
    <w:rsid w:val="000A4422"/>
    <w:rsid w:val="000A4D02"/>
    <w:rsid w:val="000B3425"/>
    <w:rsid w:val="000B36FE"/>
    <w:rsid w:val="000B446F"/>
    <w:rsid w:val="000B6862"/>
    <w:rsid w:val="000B6F4F"/>
    <w:rsid w:val="000C396A"/>
    <w:rsid w:val="000D0FD8"/>
    <w:rsid w:val="000D251A"/>
    <w:rsid w:val="000D4086"/>
    <w:rsid w:val="000E03AC"/>
    <w:rsid w:val="000E09BF"/>
    <w:rsid w:val="000E236B"/>
    <w:rsid w:val="000E4535"/>
    <w:rsid w:val="000E5476"/>
    <w:rsid w:val="000E69EB"/>
    <w:rsid w:val="000E7C44"/>
    <w:rsid w:val="000F2CA6"/>
    <w:rsid w:val="000F3332"/>
    <w:rsid w:val="000F4398"/>
    <w:rsid w:val="000F502B"/>
    <w:rsid w:val="000F62BF"/>
    <w:rsid w:val="000F7ECE"/>
    <w:rsid w:val="001013B4"/>
    <w:rsid w:val="001019FA"/>
    <w:rsid w:val="001059B1"/>
    <w:rsid w:val="00112091"/>
    <w:rsid w:val="00117C23"/>
    <w:rsid w:val="00125FBC"/>
    <w:rsid w:val="0012771F"/>
    <w:rsid w:val="00136380"/>
    <w:rsid w:val="0013735F"/>
    <w:rsid w:val="00143122"/>
    <w:rsid w:val="0014605B"/>
    <w:rsid w:val="00150B7F"/>
    <w:rsid w:val="0016292A"/>
    <w:rsid w:val="00164C5D"/>
    <w:rsid w:val="00167229"/>
    <w:rsid w:val="00167C96"/>
    <w:rsid w:val="001709E9"/>
    <w:rsid w:val="00173791"/>
    <w:rsid w:val="001753CD"/>
    <w:rsid w:val="00175FCA"/>
    <w:rsid w:val="001765C6"/>
    <w:rsid w:val="00180614"/>
    <w:rsid w:val="001815ED"/>
    <w:rsid w:val="0018336E"/>
    <w:rsid w:val="001838FC"/>
    <w:rsid w:val="00183F24"/>
    <w:rsid w:val="0018479A"/>
    <w:rsid w:val="00192767"/>
    <w:rsid w:val="001928F5"/>
    <w:rsid w:val="00195E37"/>
    <w:rsid w:val="00196718"/>
    <w:rsid w:val="00196B41"/>
    <w:rsid w:val="00197510"/>
    <w:rsid w:val="001A7832"/>
    <w:rsid w:val="001B0817"/>
    <w:rsid w:val="001B16D0"/>
    <w:rsid w:val="001B510A"/>
    <w:rsid w:val="001B65F7"/>
    <w:rsid w:val="001C174B"/>
    <w:rsid w:val="001C196A"/>
    <w:rsid w:val="001C256B"/>
    <w:rsid w:val="001C3362"/>
    <w:rsid w:val="001C3811"/>
    <w:rsid w:val="001C70C5"/>
    <w:rsid w:val="001D2D53"/>
    <w:rsid w:val="001D711E"/>
    <w:rsid w:val="001D75C9"/>
    <w:rsid w:val="001E12F0"/>
    <w:rsid w:val="001E2531"/>
    <w:rsid w:val="001E2A1A"/>
    <w:rsid w:val="001E3794"/>
    <w:rsid w:val="00201D8A"/>
    <w:rsid w:val="00207375"/>
    <w:rsid w:val="00212F45"/>
    <w:rsid w:val="00217E5C"/>
    <w:rsid w:val="00220030"/>
    <w:rsid w:val="0022753C"/>
    <w:rsid w:val="00227A46"/>
    <w:rsid w:val="00233248"/>
    <w:rsid w:val="00233EF2"/>
    <w:rsid w:val="002348DE"/>
    <w:rsid w:val="00235CEE"/>
    <w:rsid w:val="0023705C"/>
    <w:rsid w:val="00240AE2"/>
    <w:rsid w:val="00241CD1"/>
    <w:rsid w:val="00242352"/>
    <w:rsid w:val="00242D58"/>
    <w:rsid w:val="00244E90"/>
    <w:rsid w:val="00251277"/>
    <w:rsid w:val="0025239B"/>
    <w:rsid w:val="00252E64"/>
    <w:rsid w:val="002531F0"/>
    <w:rsid w:val="00256072"/>
    <w:rsid w:val="00260040"/>
    <w:rsid w:val="0026133E"/>
    <w:rsid w:val="00264B7B"/>
    <w:rsid w:val="00266701"/>
    <w:rsid w:val="00272502"/>
    <w:rsid w:val="0027589A"/>
    <w:rsid w:val="00276DFF"/>
    <w:rsid w:val="00284C9E"/>
    <w:rsid w:val="00284E88"/>
    <w:rsid w:val="00287460"/>
    <w:rsid w:val="002903B2"/>
    <w:rsid w:val="00290C68"/>
    <w:rsid w:val="0029349C"/>
    <w:rsid w:val="002936C6"/>
    <w:rsid w:val="00293CA5"/>
    <w:rsid w:val="00294FC3"/>
    <w:rsid w:val="0029624B"/>
    <w:rsid w:val="00297C5E"/>
    <w:rsid w:val="002A06B3"/>
    <w:rsid w:val="002A16EE"/>
    <w:rsid w:val="002A5BDD"/>
    <w:rsid w:val="002A64AD"/>
    <w:rsid w:val="002B5488"/>
    <w:rsid w:val="002B7418"/>
    <w:rsid w:val="002C185F"/>
    <w:rsid w:val="002C1E39"/>
    <w:rsid w:val="002C7F38"/>
    <w:rsid w:val="002D6ACA"/>
    <w:rsid w:val="002E1F8D"/>
    <w:rsid w:val="002E60E0"/>
    <w:rsid w:val="002E7720"/>
    <w:rsid w:val="002F16CF"/>
    <w:rsid w:val="002F1CD2"/>
    <w:rsid w:val="002F1ECB"/>
    <w:rsid w:val="002F58BB"/>
    <w:rsid w:val="002F595E"/>
    <w:rsid w:val="002F7B02"/>
    <w:rsid w:val="0030558C"/>
    <w:rsid w:val="00305A14"/>
    <w:rsid w:val="00307F48"/>
    <w:rsid w:val="00310237"/>
    <w:rsid w:val="00312418"/>
    <w:rsid w:val="00315818"/>
    <w:rsid w:val="0034165E"/>
    <w:rsid w:val="00344003"/>
    <w:rsid w:val="003455F0"/>
    <w:rsid w:val="0034588A"/>
    <w:rsid w:val="003502FC"/>
    <w:rsid w:val="00350519"/>
    <w:rsid w:val="003536D4"/>
    <w:rsid w:val="0035595D"/>
    <w:rsid w:val="00365EBA"/>
    <w:rsid w:val="00366BAC"/>
    <w:rsid w:val="00370C94"/>
    <w:rsid w:val="0038295B"/>
    <w:rsid w:val="003832E6"/>
    <w:rsid w:val="0039125B"/>
    <w:rsid w:val="00393AEF"/>
    <w:rsid w:val="00395D97"/>
    <w:rsid w:val="00395F41"/>
    <w:rsid w:val="00397F49"/>
    <w:rsid w:val="003A1D69"/>
    <w:rsid w:val="003A209D"/>
    <w:rsid w:val="003A28FD"/>
    <w:rsid w:val="003A6BBF"/>
    <w:rsid w:val="003B0B40"/>
    <w:rsid w:val="003B5068"/>
    <w:rsid w:val="003C33C9"/>
    <w:rsid w:val="003C6B7E"/>
    <w:rsid w:val="003D08FE"/>
    <w:rsid w:val="003D21DD"/>
    <w:rsid w:val="003D41FB"/>
    <w:rsid w:val="003E0166"/>
    <w:rsid w:val="003E6E13"/>
    <w:rsid w:val="003E7A4B"/>
    <w:rsid w:val="003F01DD"/>
    <w:rsid w:val="003F1DEE"/>
    <w:rsid w:val="003F21F4"/>
    <w:rsid w:val="003F72E7"/>
    <w:rsid w:val="00400119"/>
    <w:rsid w:val="0040231B"/>
    <w:rsid w:val="00403E61"/>
    <w:rsid w:val="00405F1C"/>
    <w:rsid w:val="004073F4"/>
    <w:rsid w:val="00421DCC"/>
    <w:rsid w:val="00424959"/>
    <w:rsid w:val="0042670E"/>
    <w:rsid w:val="00430C03"/>
    <w:rsid w:val="00430C95"/>
    <w:rsid w:val="00432A9B"/>
    <w:rsid w:val="004357D9"/>
    <w:rsid w:val="00440D73"/>
    <w:rsid w:val="0044219E"/>
    <w:rsid w:val="004427AF"/>
    <w:rsid w:val="0044490E"/>
    <w:rsid w:val="00446466"/>
    <w:rsid w:val="00453504"/>
    <w:rsid w:val="00453BF3"/>
    <w:rsid w:val="004547EE"/>
    <w:rsid w:val="00454C35"/>
    <w:rsid w:val="00455FB6"/>
    <w:rsid w:val="00456BC0"/>
    <w:rsid w:val="004617EA"/>
    <w:rsid w:val="00464805"/>
    <w:rsid w:val="00464AE7"/>
    <w:rsid w:val="00467782"/>
    <w:rsid w:val="00474CB2"/>
    <w:rsid w:val="004757A6"/>
    <w:rsid w:val="004761DA"/>
    <w:rsid w:val="004804C7"/>
    <w:rsid w:val="00480CD7"/>
    <w:rsid w:val="00484A9C"/>
    <w:rsid w:val="004903E2"/>
    <w:rsid w:val="00495C99"/>
    <w:rsid w:val="004967FA"/>
    <w:rsid w:val="00497A63"/>
    <w:rsid w:val="004A03DC"/>
    <w:rsid w:val="004A3C1F"/>
    <w:rsid w:val="004B1635"/>
    <w:rsid w:val="004B3E39"/>
    <w:rsid w:val="004B48D6"/>
    <w:rsid w:val="004C7FCE"/>
    <w:rsid w:val="005008DD"/>
    <w:rsid w:val="005058A7"/>
    <w:rsid w:val="00512428"/>
    <w:rsid w:val="00515D23"/>
    <w:rsid w:val="00524EEF"/>
    <w:rsid w:val="00526D4C"/>
    <w:rsid w:val="00527E5A"/>
    <w:rsid w:val="00531199"/>
    <w:rsid w:val="00531272"/>
    <w:rsid w:val="0053321D"/>
    <w:rsid w:val="0053493C"/>
    <w:rsid w:val="005434E3"/>
    <w:rsid w:val="00543FBD"/>
    <w:rsid w:val="00544D1D"/>
    <w:rsid w:val="005464E9"/>
    <w:rsid w:val="005479F3"/>
    <w:rsid w:val="00553541"/>
    <w:rsid w:val="00555543"/>
    <w:rsid w:val="00561C7B"/>
    <w:rsid w:val="005622D4"/>
    <w:rsid w:val="005671F3"/>
    <w:rsid w:val="00570178"/>
    <w:rsid w:val="00570300"/>
    <w:rsid w:val="00577C3E"/>
    <w:rsid w:val="00581786"/>
    <w:rsid w:val="00581CCD"/>
    <w:rsid w:val="005821B8"/>
    <w:rsid w:val="00593586"/>
    <w:rsid w:val="005A130E"/>
    <w:rsid w:val="005A613D"/>
    <w:rsid w:val="005A6F01"/>
    <w:rsid w:val="005A75CF"/>
    <w:rsid w:val="005B0320"/>
    <w:rsid w:val="005B1413"/>
    <w:rsid w:val="005B41E5"/>
    <w:rsid w:val="005B4508"/>
    <w:rsid w:val="005C30E1"/>
    <w:rsid w:val="005C3D68"/>
    <w:rsid w:val="005C4874"/>
    <w:rsid w:val="005C4DE8"/>
    <w:rsid w:val="005C55C3"/>
    <w:rsid w:val="005D1FBC"/>
    <w:rsid w:val="005D276C"/>
    <w:rsid w:val="005D2B78"/>
    <w:rsid w:val="005D3A25"/>
    <w:rsid w:val="005D45E9"/>
    <w:rsid w:val="005E57FB"/>
    <w:rsid w:val="005F1929"/>
    <w:rsid w:val="005F24E5"/>
    <w:rsid w:val="005F5297"/>
    <w:rsid w:val="006004E6"/>
    <w:rsid w:val="006015B3"/>
    <w:rsid w:val="0061188E"/>
    <w:rsid w:val="00612A07"/>
    <w:rsid w:val="00616006"/>
    <w:rsid w:val="00617E9B"/>
    <w:rsid w:val="00623BA2"/>
    <w:rsid w:val="006245E3"/>
    <w:rsid w:val="00627D3D"/>
    <w:rsid w:val="00630ADB"/>
    <w:rsid w:val="0063114E"/>
    <w:rsid w:val="006331F8"/>
    <w:rsid w:val="00633316"/>
    <w:rsid w:val="00633C4A"/>
    <w:rsid w:val="006346CC"/>
    <w:rsid w:val="00635597"/>
    <w:rsid w:val="00644BF7"/>
    <w:rsid w:val="00645A62"/>
    <w:rsid w:val="0064707E"/>
    <w:rsid w:val="00650632"/>
    <w:rsid w:val="00650EF5"/>
    <w:rsid w:val="00654D45"/>
    <w:rsid w:val="00655626"/>
    <w:rsid w:val="00657F9C"/>
    <w:rsid w:val="0066305D"/>
    <w:rsid w:val="00663D49"/>
    <w:rsid w:val="006644AA"/>
    <w:rsid w:val="00665746"/>
    <w:rsid w:val="0067263C"/>
    <w:rsid w:val="0067323B"/>
    <w:rsid w:val="0067582C"/>
    <w:rsid w:val="00677AE0"/>
    <w:rsid w:val="00681909"/>
    <w:rsid w:val="00685D4B"/>
    <w:rsid w:val="00685FB4"/>
    <w:rsid w:val="00686D8A"/>
    <w:rsid w:val="0069102D"/>
    <w:rsid w:val="00691F27"/>
    <w:rsid w:val="006939E8"/>
    <w:rsid w:val="006951BD"/>
    <w:rsid w:val="00696763"/>
    <w:rsid w:val="006968CF"/>
    <w:rsid w:val="00696AD2"/>
    <w:rsid w:val="006A640C"/>
    <w:rsid w:val="006B1DD1"/>
    <w:rsid w:val="006B2E9E"/>
    <w:rsid w:val="006B5E9A"/>
    <w:rsid w:val="006B60F4"/>
    <w:rsid w:val="006C396C"/>
    <w:rsid w:val="006C61B0"/>
    <w:rsid w:val="006D1769"/>
    <w:rsid w:val="006D1F28"/>
    <w:rsid w:val="006D3959"/>
    <w:rsid w:val="006D74A3"/>
    <w:rsid w:val="006D7D30"/>
    <w:rsid w:val="006E0267"/>
    <w:rsid w:val="006E115C"/>
    <w:rsid w:val="006E1678"/>
    <w:rsid w:val="006E703A"/>
    <w:rsid w:val="006E7F46"/>
    <w:rsid w:val="006F5156"/>
    <w:rsid w:val="006F541B"/>
    <w:rsid w:val="00702D70"/>
    <w:rsid w:val="00705744"/>
    <w:rsid w:val="00711AD6"/>
    <w:rsid w:val="00711C33"/>
    <w:rsid w:val="00713A9A"/>
    <w:rsid w:val="007163CF"/>
    <w:rsid w:val="00716C78"/>
    <w:rsid w:val="00717C6D"/>
    <w:rsid w:val="00720E13"/>
    <w:rsid w:val="00723874"/>
    <w:rsid w:val="00724786"/>
    <w:rsid w:val="00735FBA"/>
    <w:rsid w:val="00736D29"/>
    <w:rsid w:val="00741C59"/>
    <w:rsid w:val="00742780"/>
    <w:rsid w:val="00745228"/>
    <w:rsid w:val="00746A09"/>
    <w:rsid w:val="007478D1"/>
    <w:rsid w:val="00761CAB"/>
    <w:rsid w:val="00762079"/>
    <w:rsid w:val="0076625C"/>
    <w:rsid w:val="00770623"/>
    <w:rsid w:val="00771DC4"/>
    <w:rsid w:val="00774541"/>
    <w:rsid w:val="007757DA"/>
    <w:rsid w:val="0078092A"/>
    <w:rsid w:val="00780D4A"/>
    <w:rsid w:val="00780DE3"/>
    <w:rsid w:val="007810A5"/>
    <w:rsid w:val="00783293"/>
    <w:rsid w:val="00783B62"/>
    <w:rsid w:val="00784B1F"/>
    <w:rsid w:val="00786145"/>
    <w:rsid w:val="00786FDE"/>
    <w:rsid w:val="007974D1"/>
    <w:rsid w:val="007A3A63"/>
    <w:rsid w:val="007A6478"/>
    <w:rsid w:val="007B04B0"/>
    <w:rsid w:val="007B4D5C"/>
    <w:rsid w:val="007B510C"/>
    <w:rsid w:val="007B6EA8"/>
    <w:rsid w:val="007C1D7A"/>
    <w:rsid w:val="007C2689"/>
    <w:rsid w:val="007C3282"/>
    <w:rsid w:val="007C51DF"/>
    <w:rsid w:val="007C702C"/>
    <w:rsid w:val="007D36E2"/>
    <w:rsid w:val="007D3BA9"/>
    <w:rsid w:val="007D47BC"/>
    <w:rsid w:val="007E42E6"/>
    <w:rsid w:val="007E51E2"/>
    <w:rsid w:val="007F2961"/>
    <w:rsid w:val="007F7D20"/>
    <w:rsid w:val="008003FD"/>
    <w:rsid w:val="00805F94"/>
    <w:rsid w:val="00806E41"/>
    <w:rsid w:val="0081555F"/>
    <w:rsid w:val="008164F4"/>
    <w:rsid w:val="00823536"/>
    <w:rsid w:val="0082784E"/>
    <w:rsid w:val="00833684"/>
    <w:rsid w:val="00834E9B"/>
    <w:rsid w:val="00836C9A"/>
    <w:rsid w:val="008430C8"/>
    <w:rsid w:val="008432FF"/>
    <w:rsid w:val="008466C3"/>
    <w:rsid w:val="00852F3F"/>
    <w:rsid w:val="00853E7B"/>
    <w:rsid w:val="00856975"/>
    <w:rsid w:val="0087289B"/>
    <w:rsid w:val="00872C66"/>
    <w:rsid w:val="008736D9"/>
    <w:rsid w:val="008822CE"/>
    <w:rsid w:val="008826DD"/>
    <w:rsid w:val="00884806"/>
    <w:rsid w:val="00884BA5"/>
    <w:rsid w:val="008869B0"/>
    <w:rsid w:val="00886B38"/>
    <w:rsid w:val="00887F73"/>
    <w:rsid w:val="00890235"/>
    <w:rsid w:val="00891367"/>
    <w:rsid w:val="00893C6F"/>
    <w:rsid w:val="00893C8C"/>
    <w:rsid w:val="00893E1C"/>
    <w:rsid w:val="0089493E"/>
    <w:rsid w:val="008A2323"/>
    <w:rsid w:val="008A502C"/>
    <w:rsid w:val="008B25B7"/>
    <w:rsid w:val="008B7DC6"/>
    <w:rsid w:val="008C068A"/>
    <w:rsid w:val="008C4C2A"/>
    <w:rsid w:val="008C558B"/>
    <w:rsid w:val="008D167D"/>
    <w:rsid w:val="008D1AD9"/>
    <w:rsid w:val="008D405D"/>
    <w:rsid w:val="008D6657"/>
    <w:rsid w:val="008E65E6"/>
    <w:rsid w:val="008F0086"/>
    <w:rsid w:val="008F0ABC"/>
    <w:rsid w:val="008F177C"/>
    <w:rsid w:val="008F1AF5"/>
    <w:rsid w:val="008F28C4"/>
    <w:rsid w:val="008F2AE7"/>
    <w:rsid w:val="008F2F61"/>
    <w:rsid w:val="00904619"/>
    <w:rsid w:val="00906CF2"/>
    <w:rsid w:val="00906F7B"/>
    <w:rsid w:val="00907321"/>
    <w:rsid w:val="00910B9F"/>
    <w:rsid w:val="00912C32"/>
    <w:rsid w:val="009137A0"/>
    <w:rsid w:val="0091408F"/>
    <w:rsid w:val="00916994"/>
    <w:rsid w:val="0091741A"/>
    <w:rsid w:val="00924CF5"/>
    <w:rsid w:val="00924E11"/>
    <w:rsid w:val="0092669F"/>
    <w:rsid w:val="00926B8A"/>
    <w:rsid w:val="009312DE"/>
    <w:rsid w:val="0093367F"/>
    <w:rsid w:val="00933D00"/>
    <w:rsid w:val="0093568F"/>
    <w:rsid w:val="00935D04"/>
    <w:rsid w:val="00937993"/>
    <w:rsid w:val="00946ADE"/>
    <w:rsid w:val="00947C6A"/>
    <w:rsid w:val="00947CDF"/>
    <w:rsid w:val="00951346"/>
    <w:rsid w:val="009517A8"/>
    <w:rsid w:val="00955DD9"/>
    <w:rsid w:val="00962247"/>
    <w:rsid w:val="00962F79"/>
    <w:rsid w:val="009667EA"/>
    <w:rsid w:val="00981643"/>
    <w:rsid w:val="00981DEF"/>
    <w:rsid w:val="0098283E"/>
    <w:rsid w:val="00983658"/>
    <w:rsid w:val="00983C12"/>
    <w:rsid w:val="009845D9"/>
    <w:rsid w:val="00984834"/>
    <w:rsid w:val="00985324"/>
    <w:rsid w:val="00990F40"/>
    <w:rsid w:val="009A1A89"/>
    <w:rsid w:val="009A1FE5"/>
    <w:rsid w:val="009A2785"/>
    <w:rsid w:val="009B168C"/>
    <w:rsid w:val="009B2B9F"/>
    <w:rsid w:val="009C38A6"/>
    <w:rsid w:val="009C55EE"/>
    <w:rsid w:val="009C5B8C"/>
    <w:rsid w:val="009C5F65"/>
    <w:rsid w:val="009C608C"/>
    <w:rsid w:val="009D043D"/>
    <w:rsid w:val="009D2783"/>
    <w:rsid w:val="009D4659"/>
    <w:rsid w:val="009D5DDE"/>
    <w:rsid w:val="009D7114"/>
    <w:rsid w:val="009D79D7"/>
    <w:rsid w:val="009E350F"/>
    <w:rsid w:val="009E77F5"/>
    <w:rsid w:val="009F32D3"/>
    <w:rsid w:val="009F72EF"/>
    <w:rsid w:val="009F7D1F"/>
    <w:rsid w:val="00A03607"/>
    <w:rsid w:val="00A03FCF"/>
    <w:rsid w:val="00A067A8"/>
    <w:rsid w:val="00A1109F"/>
    <w:rsid w:val="00A118DB"/>
    <w:rsid w:val="00A14520"/>
    <w:rsid w:val="00A14E00"/>
    <w:rsid w:val="00A21AFA"/>
    <w:rsid w:val="00A268AA"/>
    <w:rsid w:val="00A26F20"/>
    <w:rsid w:val="00A337C8"/>
    <w:rsid w:val="00A35A7C"/>
    <w:rsid w:val="00A412C2"/>
    <w:rsid w:val="00A41B55"/>
    <w:rsid w:val="00A41B9E"/>
    <w:rsid w:val="00A445E6"/>
    <w:rsid w:val="00A45353"/>
    <w:rsid w:val="00A4594B"/>
    <w:rsid w:val="00A50007"/>
    <w:rsid w:val="00A51158"/>
    <w:rsid w:val="00A54570"/>
    <w:rsid w:val="00A56B39"/>
    <w:rsid w:val="00A57478"/>
    <w:rsid w:val="00A57D14"/>
    <w:rsid w:val="00A6413A"/>
    <w:rsid w:val="00A678AA"/>
    <w:rsid w:val="00A7056B"/>
    <w:rsid w:val="00A72576"/>
    <w:rsid w:val="00A74A5F"/>
    <w:rsid w:val="00A76348"/>
    <w:rsid w:val="00A7693F"/>
    <w:rsid w:val="00A80CE2"/>
    <w:rsid w:val="00A8475D"/>
    <w:rsid w:val="00A87F49"/>
    <w:rsid w:val="00A911FB"/>
    <w:rsid w:val="00A9260F"/>
    <w:rsid w:val="00A92BBC"/>
    <w:rsid w:val="00AA0739"/>
    <w:rsid w:val="00AA1EBB"/>
    <w:rsid w:val="00AA263F"/>
    <w:rsid w:val="00AA2A32"/>
    <w:rsid w:val="00AA3940"/>
    <w:rsid w:val="00AA477F"/>
    <w:rsid w:val="00AA72F3"/>
    <w:rsid w:val="00AB4461"/>
    <w:rsid w:val="00AB4C76"/>
    <w:rsid w:val="00AB58F0"/>
    <w:rsid w:val="00AC1A99"/>
    <w:rsid w:val="00AC5994"/>
    <w:rsid w:val="00AC6F24"/>
    <w:rsid w:val="00AC7C8C"/>
    <w:rsid w:val="00AD1290"/>
    <w:rsid w:val="00AD20C1"/>
    <w:rsid w:val="00AD2BF3"/>
    <w:rsid w:val="00AD3D1A"/>
    <w:rsid w:val="00AD54B3"/>
    <w:rsid w:val="00AD666C"/>
    <w:rsid w:val="00AF0D27"/>
    <w:rsid w:val="00AF2716"/>
    <w:rsid w:val="00AF2744"/>
    <w:rsid w:val="00AF571E"/>
    <w:rsid w:val="00AF63D7"/>
    <w:rsid w:val="00AF6F5E"/>
    <w:rsid w:val="00B00F10"/>
    <w:rsid w:val="00B10157"/>
    <w:rsid w:val="00B11DFE"/>
    <w:rsid w:val="00B23AAE"/>
    <w:rsid w:val="00B30899"/>
    <w:rsid w:val="00B30DBF"/>
    <w:rsid w:val="00B34ABA"/>
    <w:rsid w:val="00B360D9"/>
    <w:rsid w:val="00B41073"/>
    <w:rsid w:val="00B465C0"/>
    <w:rsid w:val="00B46DA6"/>
    <w:rsid w:val="00B50CBC"/>
    <w:rsid w:val="00B53B81"/>
    <w:rsid w:val="00B54DA5"/>
    <w:rsid w:val="00B55F5E"/>
    <w:rsid w:val="00B562D6"/>
    <w:rsid w:val="00B66211"/>
    <w:rsid w:val="00B67335"/>
    <w:rsid w:val="00B7222E"/>
    <w:rsid w:val="00B73560"/>
    <w:rsid w:val="00B739A6"/>
    <w:rsid w:val="00B751B3"/>
    <w:rsid w:val="00B7668D"/>
    <w:rsid w:val="00B77A83"/>
    <w:rsid w:val="00B814A2"/>
    <w:rsid w:val="00B9371C"/>
    <w:rsid w:val="00B94ECF"/>
    <w:rsid w:val="00BA13B9"/>
    <w:rsid w:val="00BA251E"/>
    <w:rsid w:val="00BB0869"/>
    <w:rsid w:val="00BB13A9"/>
    <w:rsid w:val="00BB50E6"/>
    <w:rsid w:val="00BC01CD"/>
    <w:rsid w:val="00BC1489"/>
    <w:rsid w:val="00BC4161"/>
    <w:rsid w:val="00BC485F"/>
    <w:rsid w:val="00BC71C5"/>
    <w:rsid w:val="00BD031A"/>
    <w:rsid w:val="00BE4785"/>
    <w:rsid w:val="00BE6983"/>
    <w:rsid w:val="00BF108B"/>
    <w:rsid w:val="00BF1386"/>
    <w:rsid w:val="00BF1B5F"/>
    <w:rsid w:val="00BF4815"/>
    <w:rsid w:val="00BF5AF7"/>
    <w:rsid w:val="00C009F5"/>
    <w:rsid w:val="00C030F3"/>
    <w:rsid w:val="00C0487F"/>
    <w:rsid w:val="00C06CF7"/>
    <w:rsid w:val="00C070E8"/>
    <w:rsid w:val="00C070FF"/>
    <w:rsid w:val="00C13A61"/>
    <w:rsid w:val="00C1469C"/>
    <w:rsid w:val="00C15B23"/>
    <w:rsid w:val="00C15B4C"/>
    <w:rsid w:val="00C17201"/>
    <w:rsid w:val="00C214ED"/>
    <w:rsid w:val="00C22624"/>
    <w:rsid w:val="00C2372E"/>
    <w:rsid w:val="00C23FE0"/>
    <w:rsid w:val="00C2651D"/>
    <w:rsid w:val="00C329F8"/>
    <w:rsid w:val="00C35A15"/>
    <w:rsid w:val="00C36AD1"/>
    <w:rsid w:val="00C37E1C"/>
    <w:rsid w:val="00C411CC"/>
    <w:rsid w:val="00C441AE"/>
    <w:rsid w:val="00C44403"/>
    <w:rsid w:val="00C47DB5"/>
    <w:rsid w:val="00C50324"/>
    <w:rsid w:val="00C50E16"/>
    <w:rsid w:val="00C51691"/>
    <w:rsid w:val="00C56BC7"/>
    <w:rsid w:val="00C6084F"/>
    <w:rsid w:val="00C63D21"/>
    <w:rsid w:val="00C65D4A"/>
    <w:rsid w:val="00C671FB"/>
    <w:rsid w:val="00C67239"/>
    <w:rsid w:val="00C67BED"/>
    <w:rsid w:val="00C72337"/>
    <w:rsid w:val="00C74B1B"/>
    <w:rsid w:val="00C7548D"/>
    <w:rsid w:val="00C76493"/>
    <w:rsid w:val="00C80AAE"/>
    <w:rsid w:val="00C8120F"/>
    <w:rsid w:val="00C8606C"/>
    <w:rsid w:val="00C862B5"/>
    <w:rsid w:val="00C87B68"/>
    <w:rsid w:val="00C92902"/>
    <w:rsid w:val="00C92BE0"/>
    <w:rsid w:val="00C93385"/>
    <w:rsid w:val="00C93DF0"/>
    <w:rsid w:val="00C9548B"/>
    <w:rsid w:val="00CA3829"/>
    <w:rsid w:val="00CA5586"/>
    <w:rsid w:val="00CA629A"/>
    <w:rsid w:val="00CA78EF"/>
    <w:rsid w:val="00CA7FD5"/>
    <w:rsid w:val="00CB4397"/>
    <w:rsid w:val="00CB5144"/>
    <w:rsid w:val="00CC21AE"/>
    <w:rsid w:val="00CC4551"/>
    <w:rsid w:val="00CC4FBF"/>
    <w:rsid w:val="00CC7829"/>
    <w:rsid w:val="00CD2DA8"/>
    <w:rsid w:val="00CD3C8F"/>
    <w:rsid w:val="00CD69AA"/>
    <w:rsid w:val="00CE1322"/>
    <w:rsid w:val="00CF0A94"/>
    <w:rsid w:val="00D02008"/>
    <w:rsid w:val="00D05909"/>
    <w:rsid w:val="00D06DDD"/>
    <w:rsid w:val="00D11CDC"/>
    <w:rsid w:val="00D14321"/>
    <w:rsid w:val="00D14AE4"/>
    <w:rsid w:val="00D16040"/>
    <w:rsid w:val="00D213F1"/>
    <w:rsid w:val="00D21B88"/>
    <w:rsid w:val="00D22A00"/>
    <w:rsid w:val="00D32EE8"/>
    <w:rsid w:val="00D336A5"/>
    <w:rsid w:val="00D355A6"/>
    <w:rsid w:val="00D374DD"/>
    <w:rsid w:val="00D379E6"/>
    <w:rsid w:val="00D40733"/>
    <w:rsid w:val="00D4366D"/>
    <w:rsid w:val="00D45D28"/>
    <w:rsid w:val="00D47C24"/>
    <w:rsid w:val="00D53807"/>
    <w:rsid w:val="00D54CE6"/>
    <w:rsid w:val="00D6012D"/>
    <w:rsid w:val="00D63C5E"/>
    <w:rsid w:val="00D67EE1"/>
    <w:rsid w:val="00D70DF1"/>
    <w:rsid w:val="00D713CE"/>
    <w:rsid w:val="00D737F2"/>
    <w:rsid w:val="00D74A85"/>
    <w:rsid w:val="00D81198"/>
    <w:rsid w:val="00D94CCF"/>
    <w:rsid w:val="00DA5627"/>
    <w:rsid w:val="00DA6758"/>
    <w:rsid w:val="00DA6776"/>
    <w:rsid w:val="00DA7838"/>
    <w:rsid w:val="00DB314E"/>
    <w:rsid w:val="00DB69B7"/>
    <w:rsid w:val="00DB763B"/>
    <w:rsid w:val="00DB7668"/>
    <w:rsid w:val="00DC41CA"/>
    <w:rsid w:val="00DC59B0"/>
    <w:rsid w:val="00DC62EC"/>
    <w:rsid w:val="00DD0057"/>
    <w:rsid w:val="00DD685E"/>
    <w:rsid w:val="00DD6B55"/>
    <w:rsid w:val="00DD7B1B"/>
    <w:rsid w:val="00DE2BB5"/>
    <w:rsid w:val="00DE5940"/>
    <w:rsid w:val="00DF2CF9"/>
    <w:rsid w:val="00DF41E1"/>
    <w:rsid w:val="00DF5098"/>
    <w:rsid w:val="00E014B5"/>
    <w:rsid w:val="00E02EF9"/>
    <w:rsid w:val="00E0371C"/>
    <w:rsid w:val="00E12B9A"/>
    <w:rsid w:val="00E14364"/>
    <w:rsid w:val="00E14717"/>
    <w:rsid w:val="00E1478D"/>
    <w:rsid w:val="00E1639B"/>
    <w:rsid w:val="00E16E72"/>
    <w:rsid w:val="00E21CA6"/>
    <w:rsid w:val="00E27B03"/>
    <w:rsid w:val="00E318B4"/>
    <w:rsid w:val="00E3738E"/>
    <w:rsid w:val="00E456CE"/>
    <w:rsid w:val="00E47A81"/>
    <w:rsid w:val="00E47C8F"/>
    <w:rsid w:val="00E500D7"/>
    <w:rsid w:val="00E518DD"/>
    <w:rsid w:val="00E5462F"/>
    <w:rsid w:val="00E55FC2"/>
    <w:rsid w:val="00E601CA"/>
    <w:rsid w:val="00E63623"/>
    <w:rsid w:val="00E74B97"/>
    <w:rsid w:val="00E758B7"/>
    <w:rsid w:val="00E76511"/>
    <w:rsid w:val="00E767AE"/>
    <w:rsid w:val="00E77F5D"/>
    <w:rsid w:val="00E812FD"/>
    <w:rsid w:val="00E87DFD"/>
    <w:rsid w:val="00E908F9"/>
    <w:rsid w:val="00E92720"/>
    <w:rsid w:val="00E93789"/>
    <w:rsid w:val="00E971E1"/>
    <w:rsid w:val="00EA14CE"/>
    <w:rsid w:val="00EA37B0"/>
    <w:rsid w:val="00EA3AA8"/>
    <w:rsid w:val="00EA4B56"/>
    <w:rsid w:val="00EA5074"/>
    <w:rsid w:val="00EB0535"/>
    <w:rsid w:val="00EB05A9"/>
    <w:rsid w:val="00EB0D8E"/>
    <w:rsid w:val="00EB13E5"/>
    <w:rsid w:val="00EB3548"/>
    <w:rsid w:val="00EB635C"/>
    <w:rsid w:val="00EC12F4"/>
    <w:rsid w:val="00ED4690"/>
    <w:rsid w:val="00ED5CA4"/>
    <w:rsid w:val="00ED781E"/>
    <w:rsid w:val="00ED7D78"/>
    <w:rsid w:val="00EE0ED1"/>
    <w:rsid w:val="00EE1EE8"/>
    <w:rsid w:val="00EE3D98"/>
    <w:rsid w:val="00EE4EE1"/>
    <w:rsid w:val="00EE633C"/>
    <w:rsid w:val="00EE6689"/>
    <w:rsid w:val="00EE69C8"/>
    <w:rsid w:val="00EE738D"/>
    <w:rsid w:val="00EE7CBF"/>
    <w:rsid w:val="00EF079C"/>
    <w:rsid w:val="00EF0B6A"/>
    <w:rsid w:val="00EF19B2"/>
    <w:rsid w:val="00EF34B5"/>
    <w:rsid w:val="00F00580"/>
    <w:rsid w:val="00F02B0B"/>
    <w:rsid w:val="00F0398B"/>
    <w:rsid w:val="00F04BFD"/>
    <w:rsid w:val="00F17ACB"/>
    <w:rsid w:val="00F37554"/>
    <w:rsid w:val="00F41B97"/>
    <w:rsid w:val="00F44839"/>
    <w:rsid w:val="00F5147A"/>
    <w:rsid w:val="00F53734"/>
    <w:rsid w:val="00F53AAC"/>
    <w:rsid w:val="00F61D3E"/>
    <w:rsid w:val="00F65231"/>
    <w:rsid w:val="00F66D81"/>
    <w:rsid w:val="00F70188"/>
    <w:rsid w:val="00F70DA3"/>
    <w:rsid w:val="00F73BDC"/>
    <w:rsid w:val="00F7678F"/>
    <w:rsid w:val="00F77915"/>
    <w:rsid w:val="00F80EF4"/>
    <w:rsid w:val="00F8647D"/>
    <w:rsid w:val="00F86938"/>
    <w:rsid w:val="00F92E3A"/>
    <w:rsid w:val="00F946FB"/>
    <w:rsid w:val="00F94CD4"/>
    <w:rsid w:val="00FA0E54"/>
    <w:rsid w:val="00FA26E8"/>
    <w:rsid w:val="00FA3812"/>
    <w:rsid w:val="00FA6026"/>
    <w:rsid w:val="00FA6EA3"/>
    <w:rsid w:val="00FB09AE"/>
    <w:rsid w:val="00FB17DE"/>
    <w:rsid w:val="00FB2FB0"/>
    <w:rsid w:val="00FB39B5"/>
    <w:rsid w:val="00FB47B8"/>
    <w:rsid w:val="00FC22EB"/>
    <w:rsid w:val="00FC64B5"/>
    <w:rsid w:val="00FD55C9"/>
    <w:rsid w:val="00FD756A"/>
    <w:rsid w:val="00FE00C6"/>
    <w:rsid w:val="00FE0D11"/>
    <w:rsid w:val="00FE2EED"/>
    <w:rsid w:val="00FE5825"/>
    <w:rsid w:val="00FE6A33"/>
    <w:rsid w:val="00FF1B5A"/>
    <w:rsid w:val="00FF5F06"/>
    <w:rsid w:val="00FF79E2"/>
    <w:rsid w:val="00FF7AA0"/>
    <w:rsid w:val="00FF7E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93569"/>
  <w15:docId w15:val="{A03C5E99-3760-48BD-A9E5-63D6F35BA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6718"/>
    <w:rPr>
      <w:lang w:val="sq-AL"/>
    </w:rPr>
  </w:style>
  <w:style w:type="paragraph" w:styleId="Heading1">
    <w:name w:val="heading 1"/>
    <w:basedOn w:val="Normal"/>
    <w:next w:val="Normal"/>
    <w:link w:val="Heading1Char"/>
    <w:uiPriority w:val="9"/>
    <w:qFormat/>
    <w:rsid w:val="00805F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05F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F1AF5"/>
    <w:pPr>
      <w:spacing w:before="100" w:beforeAutospacing="1" w:after="100" w:afterAutospacing="1" w:line="240" w:lineRule="auto"/>
      <w:outlineLvl w:val="2"/>
    </w:pPr>
    <w:rPr>
      <w:rFonts w:ascii="Times New Roman" w:eastAsia="Times New Roman" w:hAnsi="Times New Roman" w:cs="Times New Roman"/>
      <w:b/>
      <w:bCs/>
      <w:sz w:val="27"/>
      <w:szCs w:val="27"/>
      <w:lang w:eastAsia="sq-AL"/>
    </w:rPr>
  </w:style>
  <w:style w:type="paragraph" w:styleId="Heading4">
    <w:name w:val="heading 4"/>
    <w:basedOn w:val="Normal"/>
    <w:next w:val="Normal"/>
    <w:link w:val="Heading4Char"/>
    <w:uiPriority w:val="9"/>
    <w:semiHidden/>
    <w:unhideWhenUsed/>
    <w:qFormat/>
    <w:rsid w:val="008826D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35FB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95D97"/>
    <w:pPr>
      <w:keepNext/>
      <w:spacing w:after="0"/>
      <w:outlineLvl w:val="5"/>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6718"/>
    <w:pPr>
      <w:widowControl w:val="0"/>
      <w:spacing w:after="0" w:line="240" w:lineRule="auto"/>
      <w:ind w:firstLine="720"/>
      <w:jc w:val="both"/>
    </w:pPr>
    <w:rPr>
      <w:rFonts w:ascii="CG Times" w:eastAsia="MS Mincho" w:hAnsi="CG Times" w:cs="CG Times"/>
      <w:lang w:val="en-US"/>
    </w:rPr>
  </w:style>
  <w:style w:type="character" w:customStyle="1" w:styleId="ParagrafiChar">
    <w:name w:val="Paragrafi Char"/>
    <w:link w:val="Paragrafi"/>
    <w:locked/>
    <w:rsid w:val="00196718"/>
    <w:rPr>
      <w:rFonts w:ascii="CG Times" w:eastAsia="MS Mincho" w:hAnsi="CG Times" w:cs="CG Times"/>
      <w:lang w:val="en-US"/>
    </w:rPr>
  </w:style>
  <w:style w:type="paragraph" w:styleId="ListParagraph">
    <w:name w:val="List Paragraph"/>
    <w:aliases w:val="Normal 1,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99"/>
    <w:qFormat/>
    <w:rsid w:val="00196718"/>
    <w:pPr>
      <w:ind w:left="720"/>
      <w:contextualSpacing/>
    </w:pPr>
  </w:style>
  <w:style w:type="character" w:customStyle="1" w:styleId="ListParagraphChar">
    <w:name w:val="List Paragraph Char"/>
    <w:aliases w:val="Normal 1 Char,Dot pt Char,No Spacing1 Char,List Paragraph Char Char Char Char,Indicator Text Char,Numbered Para 1 Char,List Paragraph à moi Char,TOC style Char,lp1 Char,Bullet OSM Char,Proposal Bullet List Char,Welt L Char Char"/>
    <w:basedOn w:val="DefaultParagraphFont"/>
    <w:link w:val="ListParagraph"/>
    <w:uiPriority w:val="34"/>
    <w:locked/>
    <w:rsid w:val="00196718"/>
    <w:rPr>
      <w:lang w:val="en-US"/>
    </w:rPr>
  </w:style>
  <w:style w:type="character" w:styleId="Hyperlink">
    <w:name w:val="Hyperlink"/>
    <w:basedOn w:val="DefaultParagraphFont"/>
    <w:uiPriority w:val="99"/>
    <w:unhideWhenUsed/>
    <w:rsid w:val="008C558B"/>
    <w:rPr>
      <w:color w:val="0000FF"/>
      <w:u w:val="single"/>
    </w:rPr>
  </w:style>
  <w:style w:type="paragraph" w:styleId="BalloonText">
    <w:name w:val="Balloon Text"/>
    <w:basedOn w:val="Normal"/>
    <w:link w:val="BalloonTextChar"/>
    <w:uiPriority w:val="99"/>
    <w:semiHidden/>
    <w:unhideWhenUsed/>
    <w:rsid w:val="00E27B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B03"/>
    <w:rPr>
      <w:rFonts w:ascii="Tahoma" w:hAnsi="Tahoma" w:cs="Tahoma"/>
      <w:sz w:val="16"/>
      <w:szCs w:val="16"/>
      <w:lang w:val="en-US"/>
    </w:rPr>
  </w:style>
  <w:style w:type="character" w:styleId="CommentReference">
    <w:name w:val="annotation reference"/>
    <w:basedOn w:val="DefaultParagraphFont"/>
    <w:uiPriority w:val="99"/>
    <w:semiHidden/>
    <w:unhideWhenUsed/>
    <w:rsid w:val="009F32D3"/>
    <w:rPr>
      <w:sz w:val="16"/>
      <w:szCs w:val="16"/>
    </w:rPr>
  </w:style>
  <w:style w:type="paragraph" w:styleId="CommentText">
    <w:name w:val="annotation text"/>
    <w:basedOn w:val="Normal"/>
    <w:link w:val="CommentTextChar"/>
    <w:uiPriority w:val="99"/>
    <w:unhideWhenUsed/>
    <w:rsid w:val="009F32D3"/>
    <w:pPr>
      <w:spacing w:line="240" w:lineRule="auto"/>
    </w:pPr>
    <w:rPr>
      <w:sz w:val="20"/>
      <w:szCs w:val="20"/>
    </w:rPr>
  </w:style>
  <w:style w:type="character" w:customStyle="1" w:styleId="CommentTextChar">
    <w:name w:val="Comment Text Char"/>
    <w:basedOn w:val="DefaultParagraphFont"/>
    <w:link w:val="CommentText"/>
    <w:uiPriority w:val="99"/>
    <w:rsid w:val="009F32D3"/>
    <w:rPr>
      <w:sz w:val="20"/>
      <w:szCs w:val="20"/>
      <w:lang w:val="en-US"/>
    </w:rPr>
  </w:style>
  <w:style w:type="paragraph" w:styleId="CommentSubject">
    <w:name w:val="annotation subject"/>
    <w:basedOn w:val="CommentText"/>
    <w:next w:val="CommentText"/>
    <w:link w:val="CommentSubjectChar"/>
    <w:uiPriority w:val="99"/>
    <w:semiHidden/>
    <w:unhideWhenUsed/>
    <w:rsid w:val="009F32D3"/>
    <w:rPr>
      <w:b/>
      <w:bCs/>
    </w:rPr>
  </w:style>
  <w:style w:type="character" w:customStyle="1" w:styleId="CommentSubjectChar">
    <w:name w:val="Comment Subject Char"/>
    <w:basedOn w:val="CommentTextChar"/>
    <w:link w:val="CommentSubject"/>
    <w:uiPriority w:val="99"/>
    <w:semiHidden/>
    <w:rsid w:val="009F32D3"/>
    <w:rPr>
      <w:b/>
      <w:bCs/>
      <w:sz w:val="20"/>
      <w:szCs w:val="20"/>
      <w:lang w:val="en-US"/>
    </w:rPr>
  </w:style>
  <w:style w:type="paragraph" w:styleId="Revision">
    <w:name w:val="Revision"/>
    <w:hidden/>
    <w:uiPriority w:val="99"/>
    <w:semiHidden/>
    <w:rsid w:val="00020A38"/>
    <w:pPr>
      <w:spacing w:after="0" w:line="240" w:lineRule="auto"/>
    </w:pPr>
    <w:rPr>
      <w:lang w:val="en-US"/>
    </w:rPr>
  </w:style>
  <w:style w:type="paragraph" w:styleId="FootnoteText">
    <w:name w:val="footnote text"/>
    <w:basedOn w:val="Normal"/>
    <w:link w:val="FootnoteTextChar"/>
    <w:uiPriority w:val="99"/>
    <w:unhideWhenUsed/>
    <w:rsid w:val="000B36FE"/>
    <w:pPr>
      <w:spacing w:after="0" w:line="240" w:lineRule="auto"/>
    </w:pPr>
    <w:rPr>
      <w:sz w:val="20"/>
      <w:szCs w:val="20"/>
    </w:rPr>
  </w:style>
  <w:style w:type="character" w:customStyle="1" w:styleId="FootnoteTextChar">
    <w:name w:val="Footnote Text Char"/>
    <w:basedOn w:val="DefaultParagraphFont"/>
    <w:link w:val="FootnoteText"/>
    <w:uiPriority w:val="99"/>
    <w:rsid w:val="000B36FE"/>
    <w:rPr>
      <w:sz w:val="20"/>
      <w:szCs w:val="20"/>
      <w:lang w:val="en-US"/>
    </w:rPr>
  </w:style>
  <w:style w:type="character" w:styleId="FootnoteReference">
    <w:name w:val="footnote reference"/>
    <w:basedOn w:val="DefaultParagraphFont"/>
    <w:uiPriority w:val="99"/>
    <w:semiHidden/>
    <w:unhideWhenUsed/>
    <w:rsid w:val="000B36FE"/>
    <w:rPr>
      <w:vertAlign w:val="superscript"/>
    </w:rPr>
  </w:style>
  <w:style w:type="paragraph" w:styleId="NormalWeb">
    <w:name w:val="Normal (Web)"/>
    <w:basedOn w:val="Normal"/>
    <w:uiPriority w:val="99"/>
    <w:unhideWhenUsed/>
    <w:rsid w:val="00B46DA6"/>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Header">
    <w:name w:val="header"/>
    <w:basedOn w:val="Normal"/>
    <w:link w:val="HeaderChar"/>
    <w:uiPriority w:val="99"/>
    <w:unhideWhenUsed/>
    <w:rsid w:val="00C1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01"/>
    <w:rPr>
      <w:lang w:val="en-US"/>
    </w:rPr>
  </w:style>
  <w:style w:type="paragraph" w:styleId="Footer">
    <w:name w:val="footer"/>
    <w:basedOn w:val="Normal"/>
    <w:link w:val="FooterChar"/>
    <w:uiPriority w:val="99"/>
    <w:unhideWhenUsed/>
    <w:rsid w:val="00C1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01"/>
    <w:rPr>
      <w:lang w:val="en-US"/>
    </w:rPr>
  </w:style>
  <w:style w:type="paragraph" w:customStyle="1" w:styleId="Akti">
    <w:name w:val="Akti"/>
    <w:link w:val="AktiChar"/>
    <w:uiPriority w:val="99"/>
    <w:rsid w:val="00C17201"/>
    <w:pPr>
      <w:keepNext/>
      <w:widowControl w:val="0"/>
      <w:spacing w:after="0" w:line="240" w:lineRule="auto"/>
      <w:jc w:val="center"/>
      <w:outlineLvl w:val="0"/>
    </w:pPr>
    <w:rPr>
      <w:rFonts w:ascii="CG Times" w:eastAsia="MS Mincho" w:hAnsi="CG Times" w:cs="CG Times"/>
      <w:b/>
      <w:bCs/>
      <w:caps/>
      <w:color w:val="000000"/>
    </w:rPr>
  </w:style>
  <w:style w:type="character" w:customStyle="1" w:styleId="AktiChar">
    <w:name w:val="Akti Char"/>
    <w:basedOn w:val="DefaultParagraphFont"/>
    <w:link w:val="Akti"/>
    <w:rsid w:val="00C17201"/>
    <w:rPr>
      <w:rFonts w:ascii="CG Times" w:eastAsia="MS Mincho" w:hAnsi="CG Times" w:cs="CG Times"/>
      <w:b/>
      <w:bCs/>
      <w:caps/>
      <w:color w:val="000000"/>
    </w:rPr>
  </w:style>
  <w:style w:type="character" w:customStyle="1" w:styleId="Heading3Char">
    <w:name w:val="Heading 3 Char"/>
    <w:basedOn w:val="DefaultParagraphFont"/>
    <w:link w:val="Heading3"/>
    <w:uiPriority w:val="9"/>
    <w:rsid w:val="008F1AF5"/>
    <w:rPr>
      <w:rFonts w:ascii="Times New Roman" w:eastAsia="Times New Roman" w:hAnsi="Times New Roman" w:cs="Times New Roman"/>
      <w:b/>
      <w:bCs/>
      <w:sz w:val="27"/>
      <w:szCs w:val="27"/>
      <w:lang w:val="sq-AL" w:eastAsia="sq-AL"/>
    </w:rPr>
  </w:style>
  <w:style w:type="character" w:customStyle="1" w:styleId="Heading1Char">
    <w:name w:val="Heading 1 Char"/>
    <w:basedOn w:val="DefaultParagraphFont"/>
    <w:link w:val="Heading1"/>
    <w:uiPriority w:val="9"/>
    <w:rsid w:val="00805F9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805F94"/>
    <w:rPr>
      <w:rFonts w:asciiTheme="majorHAnsi" w:eastAsiaTheme="majorEastAsia" w:hAnsiTheme="majorHAnsi" w:cstheme="majorBidi"/>
      <w:b/>
      <w:bCs/>
      <w:color w:val="4F81BD" w:themeColor="accent1"/>
      <w:sz w:val="26"/>
      <w:szCs w:val="26"/>
      <w:lang w:val="en-US"/>
    </w:rPr>
  </w:style>
  <w:style w:type="character" w:customStyle="1" w:styleId="Heading5Char">
    <w:name w:val="Heading 5 Char"/>
    <w:basedOn w:val="DefaultParagraphFont"/>
    <w:link w:val="Heading5"/>
    <w:uiPriority w:val="9"/>
    <w:semiHidden/>
    <w:rsid w:val="00735FBA"/>
    <w:rPr>
      <w:rFonts w:asciiTheme="majorHAnsi" w:eastAsiaTheme="majorEastAsia" w:hAnsiTheme="majorHAnsi" w:cstheme="majorBidi"/>
      <w:color w:val="243F60" w:themeColor="accent1" w:themeShade="7F"/>
      <w:lang w:val="en-US"/>
    </w:rPr>
  </w:style>
  <w:style w:type="character" w:styleId="Strong">
    <w:name w:val="Strong"/>
    <w:basedOn w:val="DefaultParagraphFont"/>
    <w:uiPriority w:val="22"/>
    <w:qFormat/>
    <w:rsid w:val="00735FBA"/>
    <w:rPr>
      <w:b/>
      <w:bCs/>
    </w:rPr>
  </w:style>
  <w:style w:type="character" w:styleId="Emphasis">
    <w:name w:val="Emphasis"/>
    <w:basedOn w:val="DefaultParagraphFont"/>
    <w:uiPriority w:val="20"/>
    <w:qFormat/>
    <w:rsid w:val="00735FBA"/>
    <w:rPr>
      <w:i/>
      <w:iCs/>
    </w:rPr>
  </w:style>
  <w:style w:type="character" w:customStyle="1" w:styleId="Heading4Char">
    <w:name w:val="Heading 4 Char"/>
    <w:basedOn w:val="DefaultParagraphFont"/>
    <w:link w:val="Heading4"/>
    <w:uiPriority w:val="9"/>
    <w:semiHidden/>
    <w:rsid w:val="008826DD"/>
    <w:rPr>
      <w:rFonts w:asciiTheme="majorHAnsi" w:eastAsiaTheme="majorEastAsia" w:hAnsiTheme="majorHAnsi" w:cstheme="majorBidi"/>
      <w:b/>
      <w:bCs/>
      <w:i/>
      <w:iCs/>
      <w:color w:val="4F81BD" w:themeColor="accent1"/>
      <w:lang w:val="en-US"/>
    </w:rPr>
  </w:style>
  <w:style w:type="character" w:customStyle="1" w:styleId="hscoswrapper">
    <w:name w:val="hs_cos_wrapper"/>
    <w:basedOn w:val="DefaultParagraphFont"/>
    <w:rsid w:val="008826DD"/>
  </w:style>
  <w:style w:type="character" w:customStyle="1" w:styleId="hs-cta-node">
    <w:name w:val="hs-cta-node"/>
    <w:basedOn w:val="DefaultParagraphFont"/>
    <w:rsid w:val="008826DD"/>
  </w:style>
  <w:style w:type="paragraph" w:styleId="Caption">
    <w:name w:val="caption"/>
    <w:basedOn w:val="Normal"/>
    <w:next w:val="Normal"/>
    <w:qFormat/>
    <w:rsid w:val="003A28FD"/>
    <w:pPr>
      <w:spacing w:after="0" w:line="240" w:lineRule="auto"/>
    </w:pPr>
    <w:rPr>
      <w:rFonts w:ascii="Times New Roman" w:eastAsia="Times New Roman" w:hAnsi="Times New Roman" w:cs="Times New Roman"/>
      <w:b/>
      <w:bCs/>
      <w:sz w:val="20"/>
      <w:szCs w:val="20"/>
      <w:lang w:val="en-GB"/>
    </w:rPr>
  </w:style>
  <w:style w:type="table" w:customStyle="1" w:styleId="TableGrid">
    <w:name w:val="TableGrid"/>
    <w:rsid w:val="00400119"/>
    <w:pPr>
      <w:spacing w:after="0" w:line="240" w:lineRule="auto"/>
    </w:pPr>
    <w:rPr>
      <w:rFonts w:eastAsiaTheme="minorEastAsia"/>
      <w:lang w:val="en-US"/>
    </w:rPr>
    <w:tblPr>
      <w:tblCellMar>
        <w:top w:w="0" w:type="dxa"/>
        <w:left w:w="0" w:type="dxa"/>
        <w:bottom w:w="0" w:type="dxa"/>
        <w:right w:w="0" w:type="dxa"/>
      </w:tblCellMar>
    </w:tblPr>
  </w:style>
  <w:style w:type="paragraph" w:customStyle="1" w:styleId="xmsonormal">
    <w:name w:val="x_msonormal"/>
    <w:basedOn w:val="Normal"/>
    <w:uiPriority w:val="99"/>
    <w:rsid w:val="003B0B40"/>
    <w:pPr>
      <w:spacing w:after="0" w:line="240" w:lineRule="auto"/>
    </w:pPr>
    <w:rPr>
      <w:rFonts w:ascii="Times New Roman" w:eastAsia="Calibri" w:hAnsi="Times New Roman" w:cs="Times New Roman"/>
      <w:sz w:val="24"/>
      <w:szCs w:val="24"/>
      <w:lang w:eastAsia="sq-AL"/>
    </w:rPr>
  </w:style>
  <w:style w:type="paragraph" w:customStyle="1" w:styleId="NeniNr">
    <w:name w:val="Neni_Nr"/>
    <w:next w:val="Normal"/>
    <w:rsid w:val="00685FB4"/>
    <w:pPr>
      <w:keepNext/>
      <w:widowControl w:val="0"/>
      <w:spacing w:after="0" w:line="240" w:lineRule="auto"/>
      <w:jc w:val="center"/>
    </w:pPr>
    <w:rPr>
      <w:rFonts w:ascii="CG Times" w:eastAsia="Times New Roman" w:hAnsi="CG Times" w:cs="Times New Roman"/>
      <w:szCs w:val="20"/>
    </w:rPr>
  </w:style>
  <w:style w:type="paragraph" w:customStyle="1" w:styleId="NeniTitull">
    <w:name w:val="Neni_Titull"/>
    <w:next w:val="Normal"/>
    <w:link w:val="NeniTitullChar"/>
    <w:rsid w:val="00685FB4"/>
    <w:pPr>
      <w:keepNext/>
      <w:widowControl w:val="0"/>
      <w:spacing w:after="0" w:line="240" w:lineRule="auto"/>
      <w:jc w:val="center"/>
      <w:outlineLvl w:val="2"/>
    </w:pPr>
    <w:rPr>
      <w:rFonts w:ascii="CG Times" w:eastAsia="Times New Roman" w:hAnsi="CG Times" w:cs="Times New Roman"/>
      <w:b/>
      <w:szCs w:val="20"/>
    </w:rPr>
  </w:style>
  <w:style w:type="character" w:customStyle="1" w:styleId="NeniTitullChar">
    <w:name w:val="Neni_Titull Char"/>
    <w:basedOn w:val="DefaultParagraphFont"/>
    <w:link w:val="NeniTitull"/>
    <w:locked/>
    <w:rsid w:val="00685FB4"/>
    <w:rPr>
      <w:rFonts w:ascii="CG Times" w:eastAsia="Times New Roman" w:hAnsi="CG Times" w:cs="Times New Roman"/>
      <w:b/>
      <w:szCs w:val="20"/>
    </w:rPr>
  </w:style>
  <w:style w:type="paragraph" w:customStyle="1" w:styleId="Titulli">
    <w:name w:val="Titulli"/>
    <w:next w:val="Normal"/>
    <w:rsid w:val="00266701"/>
    <w:pPr>
      <w:keepNext/>
      <w:widowControl w:val="0"/>
      <w:spacing w:after="0" w:line="240" w:lineRule="auto"/>
      <w:jc w:val="center"/>
      <w:outlineLvl w:val="1"/>
    </w:pPr>
    <w:rPr>
      <w:rFonts w:ascii="CG Times" w:eastAsia="MS Mincho" w:hAnsi="CG Times" w:cs="Times New Roman"/>
      <w:b/>
      <w:caps/>
    </w:rPr>
  </w:style>
  <w:style w:type="table" w:styleId="TableGrid0">
    <w:name w:val="Table Grid"/>
    <w:basedOn w:val="TableNormal"/>
    <w:uiPriority w:val="59"/>
    <w:rsid w:val="00AA0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696AD2"/>
    <w:pPr>
      <w:spacing w:after="0"/>
      <w:ind w:firstLine="36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696AD2"/>
    <w:rPr>
      <w:rFonts w:ascii="Times New Roman" w:hAnsi="Times New Roman" w:cs="Times New Roman"/>
      <w:sz w:val="24"/>
      <w:szCs w:val="24"/>
      <w:lang w:val="sq-AL"/>
    </w:rPr>
  </w:style>
  <w:style w:type="paragraph" w:styleId="Title">
    <w:name w:val="Title"/>
    <w:basedOn w:val="Normal"/>
    <w:next w:val="Normal"/>
    <w:link w:val="TitleChar"/>
    <w:uiPriority w:val="99"/>
    <w:qFormat/>
    <w:rsid w:val="00C214ED"/>
    <w:pPr>
      <w:spacing w:after="0"/>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C214ED"/>
    <w:rPr>
      <w:rFonts w:ascii="Times New Roman" w:hAnsi="Times New Roman" w:cs="Times New Roman"/>
      <w:b/>
      <w:sz w:val="24"/>
      <w:szCs w:val="24"/>
      <w:lang w:val="sq-AL"/>
    </w:rPr>
  </w:style>
  <w:style w:type="character" w:customStyle="1" w:styleId="Heading6Char">
    <w:name w:val="Heading 6 Char"/>
    <w:basedOn w:val="DefaultParagraphFont"/>
    <w:link w:val="Heading6"/>
    <w:uiPriority w:val="9"/>
    <w:rsid w:val="00395D97"/>
    <w:rPr>
      <w:rFonts w:ascii="Times New Roman" w:hAnsi="Times New Roman" w:cs="Times New Roman"/>
      <w:b/>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23451">
      <w:bodyDiv w:val="1"/>
      <w:marLeft w:val="0"/>
      <w:marRight w:val="0"/>
      <w:marTop w:val="0"/>
      <w:marBottom w:val="0"/>
      <w:divBdr>
        <w:top w:val="none" w:sz="0" w:space="0" w:color="auto"/>
        <w:left w:val="none" w:sz="0" w:space="0" w:color="auto"/>
        <w:bottom w:val="none" w:sz="0" w:space="0" w:color="auto"/>
        <w:right w:val="none" w:sz="0" w:space="0" w:color="auto"/>
      </w:divBdr>
    </w:div>
    <w:div w:id="258178664">
      <w:bodyDiv w:val="1"/>
      <w:marLeft w:val="0"/>
      <w:marRight w:val="0"/>
      <w:marTop w:val="0"/>
      <w:marBottom w:val="0"/>
      <w:divBdr>
        <w:top w:val="none" w:sz="0" w:space="0" w:color="auto"/>
        <w:left w:val="none" w:sz="0" w:space="0" w:color="auto"/>
        <w:bottom w:val="none" w:sz="0" w:space="0" w:color="auto"/>
        <w:right w:val="none" w:sz="0" w:space="0" w:color="auto"/>
      </w:divBdr>
      <w:divsChild>
        <w:div w:id="2143037193">
          <w:marLeft w:val="0"/>
          <w:marRight w:val="0"/>
          <w:marTop w:val="0"/>
          <w:marBottom w:val="0"/>
          <w:divBdr>
            <w:top w:val="none" w:sz="0" w:space="0" w:color="auto"/>
            <w:left w:val="none" w:sz="0" w:space="0" w:color="auto"/>
            <w:bottom w:val="none" w:sz="0" w:space="0" w:color="auto"/>
            <w:right w:val="none" w:sz="0" w:space="0" w:color="auto"/>
          </w:divBdr>
        </w:div>
        <w:div w:id="210580934">
          <w:marLeft w:val="0"/>
          <w:marRight w:val="0"/>
          <w:marTop w:val="0"/>
          <w:marBottom w:val="0"/>
          <w:divBdr>
            <w:top w:val="none" w:sz="0" w:space="0" w:color="auto"/>
            <w:left w:val="none" w:sz="0" w:space="0" w:color="auto"/>
            <w:bottom w:val="none" w:sz="0" w:space="0" w:color="auto"/>
            <w:right w:val="none" w:sz="0" w:space="0" w:color="auto"/>
          </w:divBdr>
        </w:div>
      </w:divsChild>
    </w:div>
    <w:div w:id="304896972">
      <w:bodyDiv w:val="1"/>
      <w:marLeft w:val="0"/>
      <w:marRight w:val="0"/>
      <w:marTop w:val="0"/>
      <w:marBottom w:val="0"/>
      <w:divBdr>
        <w:top w:val="none" w:sz="0" w:space="0" w:color="auto"/>
        <w:left w:val="none" w:sz="0" w:space="0" w:color="auto"/>
        <w:bottom w:val="none" w:sz="0" w:space="0" w:color="auto"/>
        <w:right w:val="none" w:sz="0" w:space="0" w:color="auto"/>
      </w:divBdr>
      <w:divsChild>
        <w:div w:id="369574875">
          <w:marLeft w:val="0"/>
          <w:marRight w:val="0"/>
          <w:marTop w:val="0"/>
          <w:marBottom w:val="0"/>
          <w:divBdr>
            <w:top w:val="none" w:sz="0" w:space="0" w:color="auto"/>
            <w:left w:val="none" w:sz="0" w:space="0" w:color="auto"/>
            <w:bottom w:val="none" w:sz="0" w:space="0" w:color="auto"/>
            <w:right w:val="none" w:sz="0" w:space="0" w:color="auto"/>
          </w:divBdr>
          <w:divsChild>
            <w:div w:id="1814179810">
              <w:marLeft w:val="0"/>
              <w:marRight w:val="0"/>
              <w:marTop w:val="0"/>
              <w:marBottom w:val="0"/>
              <w:divBdr>
                <w:top w:val="none" w:sz="0" w:space="0" w:color="auto"/>
                <w:left w:val="none" w:sz="0" w:space="0" w:color="auto"/>
                <w:bottom w:val="none" w:sz="0" w:space="0" w:color="auto"/>
                <w:right w:val="none" w:sz="0" w:space="0" w:color="auto"/>
              </w:divBdr>
              <w:divsChild>
                <w:div w:id="2134714280">
                  <w:marLeft w:val="0"/>
                  <w:marRight w:val="0"/>
                  <w:marTop w:val="0"/>
                  <w:marBottom w:val="0"/>
                  <w:divBdr>
                    <w:top w:val="none" w:sz="0" w:space="0" w:color="auto"/>
                    <w:left w:val="none" w:sz="0" w:space="0" w:color="auto"/>
                    <w:bottom w:val="none" w:sz="0" w:space="0" w:color="auto"/>
                    <w:right w:val="none" w:sz="0" w:space="0" w:color="auto"/>
                  </w:divBdr>
                  <w:divsChild>
                    <w:div w:id="45063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0025">
          <w:marLeft w:val="0"/>
          <w:marRight w:val="0"/>
          <w:marTop w:val="0"/>
          <w:marBottom w:val="0"/>
          <w:divBdr>
            <w:top w:val="none" w:sz="0" w:space="0" w:color="auto"/>
            <w:left w:val="none" w:sz="0" w:space="0" w:color="auto"/>
            <w:bottom w:val="none" w:sz="0" w:space="0" w:color="auto"/>
            <w:right w:val="none" w:sz="0" w:space="0" w:color="auto"/>
          </w:divBdr>
          <w:divsChild>
            <w:div w:id="350649806">
              <w:marLeft w:val="0"/>
              <w:marRight w:val="0"/>
              <w:marTop w:val="0"/>
              <w:marBottom w:val="0"/>
              <w:divBdr>
                <w:top w:val="none" w:sz="0" w:space="0" w:color="auto"/>
                <w:left w:val="none" w:sz="0" w:space="0" w:color="auto"/>
                <w:bottom w:val="none" w:sz="0" w:space="0" w:color="auto"/>
                <w:right w:val="none" w:sz="0" w:space="0" w:color="auto"/>
              </w:divBdr>
              <w:divsChild>
                <w:div w:id="2116633852">
                  <w:marLeft w:val="0"/>
                  <w:marRight w:val="0"/>
                  <w:marTop w:val="0"/>
                  <w:marBottom w:val="0"/>
                  <w:divBdr>
                    <w:top w:val="none" w:sz="0" w:space="0" w:color="auto"/>
                    <w:left w:val="none" w:sz="0" w:space="0" w:color="auto"/>
                    <w:bottom w:val="none" w:sz="0" w:space="0" w:color="auto"/>
                    <w:right w:val="none" w:sz="0" w:space="0" w:color="auto"/>
                  </w:divBdr>
                </w:div>
              </w:divsChild>
            </w:div>
            <w:div w:id="1096906339">
              <w:marLeft w:val="0"/>
              <w:marRight w:val="0"/>
              <w:marTop w:val="0"/>
              <w:marBottom w:val="0"/>
              <w:divBdr>
                <w:top w:val="none" w:sz="0" w:space="0" w:color="auto"/>
                <w:left w:val="none" w:sz="0" w:space="0" w:color="auto"/>
                <w:bottom w:val="none" w:sz="0" w:space="0" w:color="auto"/>
                <w:right w:val="none" w:sz="0" w:space="0" w:color="auto"/>
              </w:divBdr>
              <w:divsChild>
                <w:div w:id="667094375">
                  <w:marLeft w:val="0"/>
                  <w:marRight w:val="0"/>
                  <w:marTop w:val="0"/>
                  <w:marBottom w:val="0"/>
                  <w:divBdr>
                    <w:top w:val="none" w:sz="0" w:space="0" w:color="auto"/>
                    <w:left w:val="none" w:sz="0" w:space="0" w:color="auto"/>
                    <w:bottom w:val="none" w:sz="0" w:space="0" w:color="auto"/>
                    <w:right w:val="none" w:sz="0" w:space="0" w:color="auto"/>
                  </w:divBdr>
                  <w:divsChild>
                    <w:div w:id="165125412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59302358">
              <w:marLeft w:val="0"/>
              <w:marRight w:val="0"/>
              <w:marTop w:val="0"/>
              <w:marBottom w:val="0"/>
              <w:divBdr>
                <w:top w:val="none" w:sz="0" w:space="0" w:color="auto"/>
                <w:left w:val="none" w:sz="0" w:space="0" w:color="auto"/>
                <w:bottom w:val="none" w:sz="0" w:space="0" w:color="auto"/>
                <w:right w:val="none" w:sz="0" w:space="0" w:color="auto"/>
              </w:divBdr>
              <w:divsChild>
                <w:div w:id="117727542">
                  <w:marLeft w:val="0"/>
                  <w:marRight w:val="0"/>
                  <w:marTop w:val="0"/>
                  <w:marBottom w:val="0"/>
                  <w:divBdr>
                    <w:top w:val="none" w:sz="0" w:space="0" w:color="auto"/>
                    <w:left w:val="none" w:sz="0" w:space="0" w:color="auto"/>
                    <w:bottom w:val="none" w:sz="0" w:space="0" w:color="auto"/>
                    <w:right w:val="none" w:sz="0" w:space="0" w:color="auto"/>
                  </w:divBdr>
                  <w:divsChild>
                    <w:div w:id="153768905">
                      <w:marLeft w:val="0"/>
                      <w:marRight w:val="0"/>
                      <w:marTop w:val="0"/>
                      <w:marBottom w:val="0"/>
                      <w:divBdr>
                        <w:top w:val="none" w:sz="0" w:space="0" w:color="auto"/>
                        <w:left w:val="none" w:sz="0" w:space="0" w:color="auto"/>
                        <w:bottom w:val="none" w:sz="0" w:space="0" w:color="auto"/>
                        <w:right w:val="none" w:sz="0" w:space="0" w:color="auto"/>
                      </w:divBdr>
                    </w:div>
                    <w:div w:id="1571227548">
                      <w:marLeft w:val="0"/>
                      <w:marRight w:val="0"/>
                      <w:marTop w:val="0"/>
                      <w:marBottom w:val="0"/>
                      <w:divBdr>
                        <w:top w:val="none" w:sz="0" w:space="0" w:color="auto"/>
                        <w:left w:val="none" w:sz="0" w:space="0" w:color="auto"/>
                        <w:bottom w:val="none" w:sz="0" w:space="0" w:color="auto"/>
                        <w:right w:val="none" w:sz="0" w:space="0" w:color="auto"/>
                      </w:divBdr>
                    </w:div>
                    <w:div w:id="70278618">
                      <w:marLeft w:val="0"/>
                      <w:marRight w:val="0"/>
                      <w:marTop w:val="0"/>
                      <w:marBottom w:val="0"/>
                      <w:divBdr>
                        <w:top w:val="none" w:sz="0" w:space="0" w:color="auto"/>
                        <w:left w:val="none" w:sz="0" w:space="0" w:color="auto"/>
                        <w:bottom w:val="none" w:sz="0" w:space="0" w:color="auto"/>
                        <w:right w:val="none" w:sz="0" w:space="0" w:color="auto"/>
                      </w:divBdr>
                    </w:div>
                    <w:div w:id="634021432">
                      <w:marLeft w:val="0"/>
                      <w:marRight w:val="0"/>
                      <w:marTop w:val="0"/>
                      <w:marBottom w:val="0"/>
                      <w:divBdr>
                        <w:top w:val="none" w:sz="0" w:space="0" w:color="auto"/>
                        <w:left w:val="none" w:sz="0" w:space="0" w:color="auto"/>
                        <w:bottom w:val="none" w:sz="0" w:space="0" w:color="auto"/>
                        <w:right w:val="none" w:sz="0" w:space="0" w:color="auto"/>
                      </w:divBdr>
                    </w:div>
                  </w:divsChild>
                </w:div>
                <w:div w:id="2048289321">
                  <w:marLeft w:val="0"/>
                  <w:marRight w:val="0"/>
                  <w:marTop w:val="0"/>
                  <w:marBottom w:val="0"/>
                  <w:divBdr>
                    <w:top w:val="none" w:sz="0" w:space="0" w:color="auto"/>
                    <w:left w:val="none" w:sz="0" w:space="0" w:color="auto"/>
                    <w:bottom w:val="none" w:sz="0" w:space="0" w:color="auto"/>
                    <w:right w:val="none" w:sz="0" w:space="0" w:color="auto"/>
                  </w:divBdr>
                </w:div>
              </w:divsChild>
            </w:div>
            <w:div w:id="272396711">
              <w:marLeft w:val="0"/>
              <w:marRight w:val="0"/>
              <w:marTop w:val="0"/>
              <w:marBottom w:val="0"/>
              <w:divBdr>
                <w:top w:val="none" w:sz="0" w:space="0" w:color="auto"/>
                <w:left w:val="none" w:sz="0" w:space="0" w:color="auto"/>
                <w:bottom w:val="none" w:sz="0" w:space="0" w:color="auto"/>
                <w:right w:val="none" w:sz="0" w:space="0" w:color="auto"/>
              </w:divBdr>
              <w:divsChild>
                <w:div w:id="277837149">
                  <w:marLeft w:val="0"/>
                  <w:marRight w:val="0"/>
                  <w:marTop w:val="0"/>
                  <w:marBottom w:val="0"/>
                  <w:divBdr>
                    <w:top w:val="none" w:sz="0" w:space="0" w:color="auto"/>
                    <w:left w:val="none" w:sz="0" w:space="0" w:color="auto"/>
                    <w:bottom w:val="none" w:sz="0" w:space="0" w:color="auto"/>
                    <w:right w:val="none" w:sz="0" w:space="0" w:color="auto"/>
                  </w:divBdr>
                  <w:divsChild>
                    <w:div w:id="513112026">
                      <w:marLeft w:val="0"/>
                      <w:marRight w:val="0"/>
                      <w:marTop w:val="0"/>
                      <w:marBottom w:val="0"/>
                      <w:divBdr>
                        <w:top w:val="none" w:sz="0" w:space="0" w:color="auto"/>
                        <w:left w:val="none" w:sz="0" w:space="0" w:color="auto"/>
                        <w:bottom w:val="none" w:sz="0" w:space="0" w:color="auto"/>
                        <w:right w:val="none" w:sz="0" w:space="0" w:color="auto"/>
                      </w:divBdr>
                      <w:divsChild>
                        <w:div w:id="208341697">
                          <w:marLeft w:val="0"/>
                          <w:marRight w:val="0"/>
                          <w:marTop w:val="0"/>
                          <w:marBottom w:val="0"/>
                          <w:divBdr>
                            <w:top w:val="none" w:sz="0" w:space="0" w:color="auto"/>
                            <w:left w:val="none" w:sz="0" w:space="0" w:color="auto"/>
                            <w:bottom w:val="none" w:sz="0" w:space="0" w:color="auto"/>
                            <w:right w:val="none" w:sz="0" w:space="0" w:color="auto"/>
                          </w:divBdr>
                          <w:divsChild>
                            <w:div w:id="77204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5699">
                  <w:marLeft w:val="0"/>
                  <w:marRight w:val="0"/>
                  <w:marTop w:val="0"/>
                  <w:marBottom w:val="0"/>
                  <w:divBdr>
                    <w:top w:val="none" w:sz="0" w:space="0" w:color="auto"/>
                    <w:left w:val="none" w:sz="0" w:space="0" w:color="auto"/>
                    <w:bottom w:val="none" w:sz="0" w:space="0" w:color="auto"/>
                    <w:right w:val="none" w:sz="0" w:space="0" w:color="auto"/>
                  </w:divBdr>
                  <w:divsChild>
                    <w:div w:id="719868359">
                      <w:marLeft w:val="0"/>
                      <w:marRight w:val="0"/>
                      <w:marTop w:val="300"/>
                      <w:marBottom w:val="300"/>
                      <w:divBdr>
                        <w:top w:val="none" w:sz="0" w:space="0" w:color="auto"/>
                        <w:left w:val="none" w:sz="0" w:space="0" w:color="auto"/>
                        <w:bottom w:val="none" w:sz="0" w:space="0" w:color="auto"/>
                        <w:right w:val="none" w:sz="0" w:space="0" w:color="auto"/>
                      </w:divBdr>
                    </w:div>
                  </w:divsChild>
                </w:div>
                <w:div w:id="1456367670">
                  <w:marLeft w:val="0"/>
                  <w:marRight w:val="0"/>
                  <w:marTop w:val="0"/>
                  <w:marBottom w:val="0"/>
                  <w:divBdr>
                    <w:top w:val="none" w:sz="0" w:space="0" w:color="auto"/>
                    <w:left w:val="none" w:sz="0" w:space="0" w:color="auto"/>
                    <w:bottom w:val="none" w:sz="0" w:space="0" w:color="auto"/>
                    <w:right w:val="none" w:sz="0" w:space="0" w:color="auto"/>
                  </w:divBdr>
                  <w:divsChild>
                    <w:div w:id="1395590817">
                      <w:marLeft w:val="0"/>
                      <w:marRight w:val="0"/>
                      <w:marTop w:val="0"/>
                      <w:marBottom w:val="0"/>
                      <w:divBdr>
                        <w:top w:val="none" w:sz="0" w:space="0" w:color="auto"/>
                        <w:left w:val="none" w:sz="0" w:space="0" w:color="auto"/>
                        <w:bottom w:val="none" w:sz="0" w:space="0" w:color="auto"/>
                        <w:right w:val="none" w:sz="0" w:space="0" w:color="auto"/>
                      </w:divBdr>
                      <w:divsChild>
                        <w:div w:id="1663199626">
                          <w:marLeft w:val="0"/>
                          <w:marRight w:val="0"/>
                          <w:marTop w:val="0"/>
                          <w:marBottom w:val="0"/>
                          <w:divBdr>
                            <w:top w:val="none" w:sz="0" w:space="0" w:color="auto"/>
                            <w:left w:val="none" w:sz="0" w:space="0" w:color="auto"/>
                            <w:bottom w:val="none" w:sz="0" w:space="0" w:color="auto"/>
                            <w:right w:val="none" w:sz="0" w:space="0" w:color="auto"/>
                          </w:divBdr>
                          <w:divsChild>
                            <w:div w:id="1904869735">
                              <w:marLeft w:val="0"/>
                              <w:marRight w:val="0"/>
                              <w:marTop w:val="0"/>
                              <w:marBottom w:val="0"/>
                              <w:divBdr>
                                <w:top w:val="none" w:sz="0" w:space="0" w:color="auto"/>
                                <w:left w:val="none" w:sz="0" w:space="0" w:color="auto"/>
                                <w:bottom w:val="none" w:sz="0" w:space="0" w:color="auto"/>
                                <w:right w:val="none" w:sz="0" w:space="0" w:color="auto"/>
                              </w:divBdr>
                            </w:div>
                          </w:divsChild>
                        </w:div>
                        <w:div w:id="2091191282">
                          <w:marLeft w:val="0"/>
                          <w:marRight w:val="0"/>
                          <w:marTop w:val="0"/>
                          <w:marBottom w:val="0"/>
                          <w:divBdr>
                            <w:top w:val="none" w:sz="0" w:space="0" w:color="auto"/>
                            <w:left w:val="none" w:sz="0" w:space="0" w:color="auto"/>
                            <w:bottom w:val="none" w:sz="0" w:space="0" w:color="auto"/>
                            <w:right w:val="none" w:sz="0" w:space="0" w:color="auto"/>
                          </w:divBdr>
                        </w:div>
                        <w:div w:id="1087504446">
                          <w:marLeft w:val="0"/>
                          <w:marRight w:val="0"/>
                          <w:marTop w:val="0"/>
                          <w:marBottom w:val="0"/>
                          <w:divBdr>
                            <w:top w:val="none" w:sz="0" w:space="0" w:color="auto"/>
                            <w:left w:val="none" w:sz="0" w:space="0" w:color="auto"/>
                            <w:bottom w:val="none" w:sz="0" w:space="0" w:color="auto"/>
                            <w:right w:val="none" w:sz="0" w:space="0" w:color="auto"/>
                          </w:divBdr>
                          <w:divsChild>
                            <w:div w:id="120363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65912">
      <w:bodyDiv w:val="1"/>
      <w:marLeft w:val="0"/>
      <w:marRight w:val="0"/>
      <w:marTop w:val="0"/>
      <w:marBottom w:val="0"/>
      <w:divBdr>
        <w:top w:val="none" w:sz="0" w:space="0" w:color="auto"/>
        <w:left w:val="none" w:sz="0" w:space="0" w:color="auto"/>
        <w:bottom w:val="none" w:sz="0" w:space="0" w:color="auto"/>
        <w:right w:val="none" w:sz="0" w:space="0" w:color="auto"/>
      </w:divBdr>
    </w:div>
    <w:div w:id="689839908">
      <w:bodyDiv w:val="1"/>
      <w:marLeft w:val="0"/>
      <w:marRight w:val="0"/>
      <w:marTop w:val="0"/>
      <w:marBottom w:val="0"/>
      <w:divBdr>
        <w:top w:val="none" w:sz="0" w:space="0" w:color="auto"/>
        <w:left w:val="none" w:sz="0" w:space="0" w:color="auto"/>
        <w:bottom w:val="none" w:sz="0" w:space="0" w:color="auto"/>
        <w:right w:val="none" w:sz="0" w:space="0" w:color="auto"/>
      </w:divBdr>
      <w:divsChild>
        <w:div w:id="2140416421">
          <w:marLeft w:val="0"/>
          <w:marRight w:val="0"/>
          <w:marTop w:val="0"/>
          <w:marBottom w:val="0"/>
          <w:divBdr>
            <w:top w:val="none" w:sz="0" w:space="0" w:color="auto"/>
            <w:left w:val="none" w:sz="0" w:space="0" w:color="auto"/>
            <w:bottom w:val="none" w:sz="0" w:space="0" w:color="auto"/>
            <w:right w:val="none" w:sz="0" w:space="0" w:color="auto"/>
          </w:divBdr>
          <w:divsChild>
            <w:div w:id="1616905753">
              <w:marLeft w:val="0"/>
              <w:marRight w:val="0"/>
              <w:marTop w:val="0"/>
              <w:marBottom w:val="0"/>
              <w:divBdr>
                <w:top w:val="none" w:sz="0" w:space="0" w:color="auto"/>
                <w:left w:val="none" w:sz="0" w:space="0" w:color="auto"/>
                <w:bottom w:val="none" w:sz="0" w:space="0" w:color="auto"/>
                <w:right w:val="none" w:sz="0" w:space="0" w:color="auto"/>
              </w:divBdr>
            </w:div>
          </w:divsChild>
        </w:div>
        <w:div w:id="2099709710">
          <w:marLeft w:val="0"/>
          <w:marRight w:val="0"/>
          <w:marTop w:val="0"/>
          <w:marBottom w:val="0"/>
          <w:divBdr>
            <w:top w:val="none" w:sz="0" w:space="0" w:color="auto"/>
            <w:left w:val="none" w:sz="0" w:space="0" w:color="auto"/>
            <w:bottom w:val="none" w:sz="0" w:space="0" w:color="auto"/>
            <w:right w:val="none" w:sz="0" w:space="0" w:color="auto"/>
          </w:divBdr>
          <w:divsChild>
            <w:div w:id="1350638180">
              <w:marLeft w:val="0"/>
              <w:marRight w:val="0"/>
              <w:marTop w:val="0"/>
              <w:marBottom w:val="0"/>
              <w:divBdr>
                <w:top w:val="none" w:sz="0" w:space="0" w:color="auto"/>
                <w:left w:val="none" w:sz="0" w:space="0" w:color="auto"/>
                <w:bottom w:val="none" w:sz="0" w:space="0" w:color="auto"/>
                <w:right w:val="none" w:sz="0" w:space="0" w:color="auto"/>
              </w:divBdr>
              <w:divsChild>
                <w:div w:id="1204057098">
                  <w:marLeft w:val="0"/>
                  <w:marRight w:val="0"/>
                  <w:marTop w:val="0"/>
                  <w:marBottom w:val="0"/>
                  <w:divBdr>
                    <w:top w:val="none" w:sz="0" w:space="0" w:color="auto"/>
                    <w:left w:val="none" w:sz="0" w:space="0" w:color="auto"/>
                    <w:bottom w:val="none" w:sz="0" w:space="0" w:color="auto"/>
                    <w:right w:val="none" w:sz="0" w:space="0" w:color="auto"/>
                  </w:divBdr>
                  <w:divsChild>
                    <w:div w:id="297995704">
                      <w:marLeft w:val="0"/>
                      <w:marRight w:val="0"/>
                      <w:marTop w:val="0"/>
                      <w:marBottom w:val="0"/>
                      <w:divBdr>
                        <w:top w:val="none" w:sz="0" w:space="0" w:color="auto"/>
                        <w:left w:val="none" w:sz="0" w:space="0" w:color="auto"/>
                        <w:bottom w:val="none" w:sz="0" w:space="0" w:color="auto"/>
                        <w:right w:val="none" w:sz="0" w:space="0" w:color="auto"/>
                      </w:divBdr>
                      <w:divsChild>
                        <w:div w:id="740105371">
                          <w:marLeft w:val="0"/>
                          <w:marRight w:val="0"/>
                          <w:marTop w:val="0"/>
                          <w:marBottom w:val="0"/>
                          <w:divBdr>
                            <w:top w:val="none" w:sz="0" w:space="0" w:color="auto"/>
                            <w:left w:val="none" w:sz="0" w:space="0" w:color="auto"/>
                            <w:bottom w:val="none" w:sz="0" w:space="0" w:color="auto"/>
                            <w:right w:val="none" w:sz="0" w:space="0" w:color="auto"/>
                          </w:divBdr>
                          <w:divsChild>
                            <w:div w:id="1060399252">
                              <w:marLeft w:val="0"/>
                              <w:marRight w:val="0"/>
                              <w:marTop w:val="0"/>
                              <w:marBottom w:val="0"/>
                              <w:divBdr>
                                <w:top w:val="none" w:sz="0" w:space="0" w:color="auto"/>
                                <w:left w:val="none" w:sz="0" w:space="0" w:color="auto"/>
                                <w:bottom w:val="none" w:sz="0" w:space="0" w:color="auto"/>
                                <w:right w:val="none" w:sz="0" w:space="0" w:color="auto"/>
                              </w:divBdr>
                            </w:div>
                          </w:divsChild>
                        </w:div>
                        <w:div w:id="8656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417781">
      <w:bodyDiv w:val="1"/>
      <w:marLeft w:val="0"/>
      <w:marRight w:val="0"/>
      <w:marTop w:val="0"/>
      <w:marBottom w:val="0"/>
      <w:divBdr>
        <w:top w:val="none" w:sz="0" w:space="0" w:color="auto"/>
        <w:left w:val="none" w:sz="0" w:space="0" w:color="auto"/>
        <w:bottom w:val="none" w:sz="0" w:space="0" w:color="auto"/>
        <w:right w:val="none" w:sz="0" w:space="0" w:color="auto"/>
      </w:divBdr>
      <w:divsChild>
        <w:div w:id="1764956161">
          <w:marLeft w:val="0"/>
          <w:marRight w:val="0"/>
          <w:marTop w:val="0"/>
          <w:marBottom w:val="0"/>
          <w:divBdr>
            <w:top w:val="none" w:sz="0" w:space="0" w:color="auto"/>
            <w:left w:val="none" w:sz="0" w:space="0" w:color="auto"/>
            <w:bottom w:val="single" w:sz="6" w:space="15" w:color="BBBBBB"/>
            <w:right w:val="none" w:sz="0" w:space="0" w:color="auto"/>
          </w:divBdr>
        </w:div>
        <w:div w:id="1786461213">
          <w:marLeft w:val="345"/>
          <w:marRight w:val="345"/>
          <w:marTop w:val="0"/>
          <w:marBottom w:val="0"/>
          <w:divBdr>
            <w:top w:val="none" w:sz="0" w:space="0" w:color="auto"/>
            <w:left w:val="none" w:sz="0" w:space="0" w:color="auto"/>
            <w:bottom w:val="none" w:sz="0" w:space="0" w:color="auto"/>
            <w:right w:val="none" w:sz="0" w:space="0" w:color="auto"/>
          </w:divBdr>
          <w:divsChild>
            <w:div w:id="151834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3146">
      <w:bodyDiv w:val="1"/>
      <w:marLeft w:val="0"/>
      <w:marRight w:val="0"/>
      <w:marTop w:val="0"/>
      <w:marBottom w:val="0"/>
      <w:divBdr>
        <w:top w:val="none" w:sz="0" w:space="0" w:color="auto"/>
        <w:left w:val="none" w:sz="0" w:space="0" w:color="auto"/>
        <w:bottom w:val="none" w:sz="0" w:space="0" w:color="auto"/>
        <w:right w:val="none" w:sz="0" w:space="0" w:color="auto"/>
      </w:divBdr>
    </w:div>
    <w:div w:id="1154220749">
      <w:bodyDiv w:val="1"/>
      <w:marLeft w:val="0"/>
      <w:marRight w:val="0"/>
      <w:marTop w:val="0"/>
      <w:marBottom w:val="0"/>
      <w:divBdr>
        <w:top w:val="none" w:sz="0" w:space="0" w:color="auto"/>
        <w:left w:val="none" w:sz="0" w:space="0" w:color="auto"/>
        <w:bottom w:val="none" w:sz="0" w:space="0" w:color="auto"/>
        <w:right w:val="none" w:sz="0" w:space="0" w:color="auto"/>
      </w:divBdr>
      <w:divsChild>
        <w:div w:id="131169996">
          <w:marLeft w:val="0"/>
          <w:marRight w:val="0"/>
          <w:marTop w:val="0"/>
          <w:marBottom w:val="0"/>
          <w:divBdr>
            <w:top w:val="none" w:sz="0" w:space="0" w:color="auto"/>
            <w:left w:val="none" w:sz="0" w:space="0" w:color="auto"/>
            <w:bottom w:val="none" w:sz="0" w:space="0" w:color="auto"/>
            <w:right w:val="none" w:sz="0" w:space="0" w:color="auto"/>
          </w:divBdr>
          <w:divsChild>
            <w:div w:id="89933285">
              <w:marLeft w:val="0"/>
              <w:marRight w:val="0"/>
              <w:marTop w:val="0"/>
              <w:marBottom w:val="0"/>
              <w:divBdr>
                <w:top w:val="none" w:sz="0" w:space="0" w:color="auto"/>
                <w:left w:val="none" w:sz="0" w:space="0" w:color="auto"/>
                <w:bottom w:val="none" w:sz="0" w:space="0" w:color="auto"/>
                <w:right w:val="none" w:sz="0" w:space="0" w:color="auto"/>
              </w:divBdr>
              <w:divsChild>
                <w:div w:id="1112164751">
                  <w:marLeft w:val="0"/>
                  <w:marRight w:val="0"/>
                  <w:marTop w:val="0"/>
                  <w:marBottom w:val="0"/>
                  <w:divBdr>
                    <w:top w:val="none" w:sz="0" w:space="0" w:color="auto"/>
                    <w:left w:val="none" w:sz="0" w:space="0" w:color="auto"/>
                    <w:bottom w:val="none" w:sz="0" w:space="0" w:color="auto"/>
                    <w:right w:val="none" w:sz="0" w:space="0" w:color="auto"/>
                  </w:divBdr>
                  <w:divsChild>
                    <w:div w:id="1521747400">
                      <w:marLeft w:val="0"/>
                      <w:marRight w:val="0"/>
                      <w:marTop w:val="0"/>
                      <w:marBottom w:val="0"/>
                      <w:divBdr>
                        <w:top w:val="none" w:sz="0" w:space="0" w:color="auto"/>
                        <w:left w:val="none" w:sz="0" w:space="0" w:color="auto"/>
                        <w:bottom w:val="none" w:sz="0" w:space="0" w:color="auto"/>
                        <w:right w:val="none" w:sz="0" w:space="0" w:color="auto"/>
                      </w:divBdr>
                      <w:divsChild>
                        <w:div w:id="1090002421">
                          <w:marLeft w:val="0"/>
                          <w:marRight w:val="0"/>
                          <w:marTop w:val="0"/>
                          <w:marBottom w:val="0"/>
                          <w:divBdr>
                            <w:top w:val="none" w:sz="0" w:space="0" w:color="auto"/>
                            <w:left w:val="none" w:sz="0" w:space="0" w:color="auto"/>
                            <w:bottom w:val="none" w:sz="0" w:space="0" w:color="auto"/>
                            <w:right w:val="none" w:sz="0" w:space="0" w:color="auto"/>
                          </w:divBdr>
                          <w:divsChild>
                            <w:div w:id="399835561">
                              <w:marLeft w:val="-225"/>
                              <w:marRight w:val="-225"/>
                              <w:marTop w:val="0"/>
                              <w:marBottom w:val="0"/>
                              <w:divBdr>
                                <w:top w:val="none" w:sz="0" w:space="0" w:color="auto"/>
                                <w:left w:val="none" w:sz="0" w:space="0" w:color="auto"/>
                                <w:bottom w:val="none" w:sz="0" w:space="0" w:color="auto"/>
                                <w:right w:val="none" w:sz="0" w:space="0" w:color="auto"/>
                              </w:divBdr>
                              <w:divsChild>
                                <w:div w:id="160356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0167">
          <w:marLeft w:val="0"/>
          <w:marRight w:val="0"/>
          <w:marTop w:val="0"/>
          <w:marBottom w:val="0"/>
          <w:divBdr>
            <w:top w:val="none" w:sz="0" w:space="0" w:color="auto"/>
            <w:left w:val="none" w:sz="0" w:space="0" w:color="auto"/>
            <w:bottom w:val="none" w:sz="0" w:space="0" w:color="auto"/>
            <w:right w:val="none" w:sz="0" w:space="0" w:color="auto"/>
          </w:divBdr>
          <w:divsChild>
            <w:div w:id="704063798">
              <w:marLeft w:val="0"/>
              <w:marRight w:val="0"/>
              <w:marTop w:val="0"/>
              <w:marBottom w:val="0"/>
              <w:divBdr>
                <w:top w:val="none" w:sz="0" w:space="0" w:color="auto"/>
                <w:left w:val="none" w:sz="0" w:space="0" w:color="auto"/>
                <w:bottom w:val="none" w:sz="0" w:space="0" w:color="auto"/>
                <w:right w:val="none" w:sz="0" w:space="0" w:color="auto"/>
              </w:divBdr>
              <w:divsChild>
                <w:div w:id="1763644672">
                  <w:marLeft w:val="0"/>
                  <w:marRight w:val="0"/>
                  <w:marTop w:val="600"/>
                  <w:marBottom w:val="600"/>
                  <w:divBdr>
                    <w:top w:val="none" w:sz="0" w:space="0" w:color="auto"/>
                    <w:left w:val="none" w:sz="0" w:space="0" w:color="auto"/>
                    <w:bottom w:val="none" w:sz="0" w:space="0" w:color="auto"/>
                    <w:right w:val="none" w:sz="0" w:space="0" w:color="auto"/>
                  </w:divBdr>
                  <w:divsChild>
                    <w:div w:id="211651356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3301">
      <w:bodyDiv w:val="1"/>
      <w:marLeft w:val="0"/>
      <w:marRight w:val="0"/>
      <w:marTop w:val="0"/>
      <w:marBottom w:val="0"/>
      <w:divBdr>
        <w:top w:val="none" w:sz="0" w:space="0" w:color="auto"/>
        <w:left w:val="none" w:sz="0" w:space="0" w:color="auto"/>
        <w:bottom w:val="none" w:sz="0" w:space="0" w:color="auto"/>
        <w:right w:val="none" w:sz="0" w:space="0" w:color="auto"/>
      </w:divBdr>
    </w:div>
    <w:div w:id="1547909202">
      <w:bodyDiv w:val="1"/>
      <w:marLeft w:val="0"/>
      <w:marRight w:val="0"/>
      <w:marTop w:val="0"/>
      <w:marBottom w:val="0"/>
      <w:divBdr>
        <w:top w:val="none" w:sz="0" w:space="0" w:color="auto"/>
        <w:left w:val="none" w:sz="0" w:space="0" w:color="auto"/>
        <w:bottom w:val="none" w:sz="0" w:space="0" w:color="auto"/>
        <w:right w:val="none" w:sz="0" w:space="0" w:color="auto"/>
      </w:divBdr>
      <w:divsChild>
        <w:div w:id="1346441902">
          <w:marLeft w:val="0"/>
          <w:marRight w:val="0"/>
          <w:marTop w:val="0"/>
          <w:marBottom w:val="0"/>
          <w:divBdr>
            <w:top w:val="none" w:sz="0" w:space="0" w:color="auto"/>
            <w:left w:val="none" w:sz="0" w:space="0" w:color="auto"/>
            <w:bottom w:val="none" w:sz="0" w:space="0" w:color="auto"/>
            <w:right w:val="none" w:sz="0" w:space="0" w:color="auto"/>
          </w:divBdr>
          <w:divsChild>
            <w:div w:id="157232483">
              <w:marLeft w:val="0"/>
              <w:marRight w:val="0"/>
              <w:marTop w:val="0"/>
              <w:marBottom w:val="0"/>
              <w:divBdr>
                <w:top w:val="none" w:sz="0" w:space="0" w:color="auto"/>
                <w:left w:val="none" w:sz="0" w:space="0" w:color="auto"/>
                <w:bottom w:val="none" w:sz="0" w:space="0" w:color="auto"/>
                <w:right w:val="none" w:sz="0" w:space="0" w:color="auto"/>
              </w:divBdr>
              <w:divsChild>
                <w:div w:id="1198004870">
                  <w:marLeft w:val="0"/>
                  <w:marRight w:val="0"/>
                  <w:marTop w:val="0"/>
                  <w:marBottom w:val="0"/>
                  <w:divBdr>
                    <w:top w:val="none" w:sz="0" w:space="0" w:color="auto"/>
                    <w:left w:val="none" w:sz="0" w:space="0" w:color="auto"/>
                    <w:bottom w:val="none" w:sz="0" w:space="0" w:color="auto"/>
                    <w:right w:val="none" w:sz="0" w:space="0" w:color="auto"/>
                  </w:divBdr>
                  <w:divsChild>
                    <w:div w:id="197157897">
                      <w:marLeft w:val="0"/>
                      <w:marRight w:val="0"/>
                      <w:marTop w:val="0"/>
                      <w:marBottom w:val="0"/>
                      <w:divBdr>
                        <w:top w:val="none" w:sz="0" w:space="0" w:color="auto"/>
                        <w:left w:val="none" w:sz="0" w:space="0" w:color="auto"/>
                        <w:bottom w:val="none" w:sz="0" w:space="0" w:color="auto"/>
                        <w:right w:val="none" w:sz="0" w:space="0" w:color="auto"/>
                      </w:divBdr>
                      <w:divsChild>
                        <w:div w:id="2133863941">
                          <w:marLeft w:val="0"/>
                          <w:marRight w:val="0"/>
                          <w:marTop w:val="0"/>
                          <w:marBottom w:val="0"/>
                          <w:divBdr>
                            <w:top w:val="none" w:sz="0" w:space="0" w:color="auto"/>
                            <w:left w:val="none" w:sz="0" w:space="0" w:color="auto"/>
                            <w:bottom w:val="none" w:sz="0" w:space="0" w:color="auto"/>
                            <w:right w:val="none" w:sz="0" w:space="0" w:color="auto"/>
                          </w:divBdr>
                          <w:divsChild>
                            <w:div w:id="125468008">
                              <w:marLeft w:val="0"/>
                              <w:marRight w:val="0"/>
                              <w:marTop w:val="0"/>
                              <w:marBottom w:val="0"/>
                              <w:divBdr>
                                <w:top w:val="none" w:sz="0" w:space="0" w:color="auto"/>
                                <w:left w:val="none" w:sz="0" w:space="0" w:color="auto"/>
                                <w:bottom w:val="none" w:sz="0" w:space="0" w:color="auto"/>
                                <w:right w:val="none" w:sz="0" w:space="0" w:color="auto"/>
                              </w:divBdr>
                              <w:divsChild>
                                <w:div w:id="561796225">
                                  <w:marLeft w:val="0"/>
                                  <w:marRight w:val="0"/>
                                  <w:marTop w:val="0"/>
                                  <w:marBottom w:val="0"/>
                                  <w:divBdr>
                                    <w:top w:val="none" w:sz="0" w:space="0" w:color="auto"/>
                                    <w:left w:val="none" w:sz="0" w:space="0" w:color="auto"/>
                                    <w:bottom w:val="none" w:sz="0" w:space="0" w:color="auto"/>
                                    <w:right w:val="none" w:sz="0" w:space="0" w:color="auto"/>
                                  </w:divBdr>
                                  <w:divsChild>
                                    <w:div w:id="1750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52672">
                              <w:marLeft w:val="0"/>
                              <w:marRight w:val="0"/>
                              <w:marTop w:val="600"/>
                              <w:marBottom w:val="0"/>
                              <w:divBdr>
                                <w:top w:val="none" w:sz="0" w:space="0" w:color="auto"/>
                                <w:left w:val="none" w:sz="0" w:space="0" w:color="auto"/>
                                <w:bottom w:val="none" w:sz="0" w:space="0" w:color="auto"/>
                                <w:right w:val="none" w:sz="0" w:space="0" w:color="auto"/>
                              </w:divBdr>
                              <w:divsChild>
                                <w:div w:id="1666468090">
                                  <w:marLeft w:val="0"/>
                                  <w:marRight w:val="0"/>
                                  <w:marTop w:val="0"/>
                                  <w:marBottom w:val="0"/>
                                  <w:divBdr>
                                    <w:top w:val="none" w:sz="0" w:space="0" w:color="auto"/>
                                    <w:left w:val="none" w:sz="0" w:space="0" w:color="auto"/>
                                    <w:bottom w:val="none" w:sz="0" w:space="0" w:color="auto"/>
                                    <w:right w:val="none" w:sz="0" w:space="0" w:color="auto"/>
                                  </w:divBdr>
                                  <w:divsChild>
                                    <w:div w:id="611521103">
                                      <w:marLeft w:val="0"/>
                                      <w:marRight w:val="0"/>
                                      <w:marTop w:val="0"/>
                                      <w:marBottom w:val="0"/>
                                      <w:divBdr>
                                        <w:top w:val="none" w:sz="0" w:space="0" w:color="auto"/>
                                        <w:left w:val="none" w:sz="0" w:space="0" w:color="auto"/>
                                        <w:bottom w:val="none" w:sz="0" w:space="0" w:color="auto"/>
                                        <w:right w:val="none" w:sz="0" w:space="0" w:color="auto"/>
                                      </w:divBdr>
                                    </w:div>
                                    <w:div w:id="17262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90533">
          <w:marLeft w:val="0"/>
          <w:marRight w:val="0"/>
          <w:marTop w:val="0"/>
          <w:marBottom w:val="0"/>
          <w:divBdr>
            <w:top w:val="none" w:sz="0" w:space="0" w:color="auto"/>
            <w:left w:val="none" w:sz="0" w:space="0" w:color="auto"/>
            <w:bottom w:val="none" w:sz="0" w:space="0" w:color="auto"/>
            <w:right w:val="none" w:sz="0" w:space="0" w:color="auto"/>
          </w:divBdr>
          <w:divsChild>
            <w:div w:id="687679581">
              <w:marLeft w:val="0"/>
              <w:marRight w:val="0"/>
              <w:marTop w:val="0"/>
              <w:marBottom w:val="0"/>
              <w:divBdr>
                <w:top w:val="none" w:sz="0" w:space="0" w:color="auto"/>
                <w:left w:val="none" w:sz="0" w:space="0" w:color="auto"/>
                <w:bottom w:val="none" w:sz="0" w:space="0" w:color="auto"/>
                <w:right w:val="none" w:sz="0" w:space="0" w:color="auto"/>
              </w:divBdr>
              <w:divsChild>
                <w:div w:id="1972905888">
                  <w:marLeft w:val="0"/>
                  <w:marRight w:val="0"/>
                  <w:marTop w:val="0"/>
                  <w:marBottom w:val="0"/>
                  <w:divBdr>
                    <w:top w:val="none" w:sz="0" w:space="0" w:color="auto"/>
                    <w:left w:val="none" w:sz="0" w:space="0" w:color="auto"/>
                    <w:bottom w:val="none" w:sz="0" w:space="0" w:color="auto"/>
                    <w:right w:val="none" w:sz="0" w:space="0" w:color="auto"/>
                  </w:divBdr>
                  <w:divsChild>
                    <w:div w:id="316960649">
                      <w:marLeft w:val="0"/>
                      <w:marRight w:val="0"/>
                      <w:marTop w:val="0"/>
                      <w:marBottom w:val="0"/>
                      <w:divBdr>
                        <w:top w:val="none" w:sz="0" w:space="0" w:color="auto"/>
                        <w:left w:val="none" w:sz="0" w:space="0" w:color="auto"/>
                        <w:bottom w:val="none" w:sz="0" w:space="0" w:color="auto"/>
                        <w:right w:val="none" w:sz="0" w:space="0" w:color="auto"/>
                      </w:divBdr>
                      <w:divsChild>
                        <w:div w:id="1726678600">
                          <w:marLeft w:val="0"/>
                          <w:marRight w:val="0"/>
                          <w:marTop w:val="0"/>
                          <w:marBottom w:val="0"/>
                          <w:divBdr>
                            <w:top w:val="none" w:sz="0" w:space="0" w:color="auto"/>
                            <w:left w:val="none" w:sz="0" w:space="0" w:color="auto"/>
                            <w:bottom w:val="none" w:sz="0" w:space="0" w:color="auto"/>
                            <w:right w:val="none" w:sz="0" w:space="0" w:color="auto"/>
                          </w:divBdr>
                          <w:divsChild>
                            <w:div w:id="1621033333">
                              <w:marLeft w:val="0"/>
                              <w:marRight w:val="0"/>
                              <w:marTop w:val="0"/>
                              <w:marBottom w:val="0"/>
                              <w:divBdr>
                                <w:top w:val="none" w:sz="0" w:space="0" w:color="auto"/>
                                <w:left w:val="none" w:sz="0" w:space="0" w:color="auto"/>
                                <w:bottom w:val="none" w:sz="0" w:space="0" w:color="auto"/>
                                <w:right w:val="none" w:sz="0" w:space="0" w:color="auto"/>
                              </w:divBdr>
                              <w:divsChild>
                                <w:div w:id="98123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48502">
      <w:bodyDiv w:val="1"/>
      <w:marLeft w:val="0"/>
      <w:marRight w:val="0"/>
      <w:marTop w:val="0"/>
      <w:marBottom w:val="0"/>
      <w:divBdr>
        <w:top w:val="none" w:sz="0" w:space="0" w:color="auto"/>
        <w:left w:val="none" w:sz="0" w:space="0" w:color="auto"/>
        <w:bottom w:val="none" w:sz="0" w:space="0" w:color="auto"/>
        <w:right w:val="none" w:sz="0" w:space="0" w:color="auto"/>
      </w:divBdr>
    </w:div>
    <w:div w:id="1723748901">
      <w:bodyDiv w:val="1"/>
      <w:marLeft w:val="0"/>
      <w:marRight w:val="0"/>
      <w:marTop w:val="0"/>
      <w:marBottom w:val="0"/>
      <w:divBdr>
        <w:top w:val="none" w:sz="0" w:space="0" w:color="auto"/>
        <w:left w:val="none" w:sz="0" w:space="0" w:color="auto"/>
        <w:bottom w:val="none" w:sz="0" w:space="0" w:color="auto"/>
        <w:right w:val="none" w:sz="0" w:space="0" w:color="auto"/>
      </w:divBdr>
      <w:divsChild>
        <w:div w:id="266934644">
          <w:marLeft w:val="0"/>
          <w:marRight w:val="0"/>
          <w:marTop w:val="0"/>
          <w:marBottom w:val="0"/>
          <w:divBdr>
            <w:top w:val="none" w:sz="0" w:space="0" w:color="auto"/>
            <w:left w:val="none" w:sz="0" w:space="0" w:color="auto"/>
            <w:bottom w:val="single" w:sz="6" w:space="15" w:color="BBBBBB"/>
            <w:right w:val="none" w:sz="0" w:space="0" w:color="auto"/>
          </w:divBdr>
        </w:div>
        <w:div w:id="289824480">
          <w:marLeft w:val="345"/>
          <w:marRight w:val="345"/>
          <w:marTop w:val="0"/>
          <w:marBottom w:val="0"/>
          <w:divBdr>
            <w:top w:val="none" w:sz="0" w:space="0" w:color="auto"/>
            <w:left w:val="none" w:sz="0" w:space="0" w:color="auto"/>
            <w:bottom w:val="none" w:sz="0" w:space="0" w:color="auto"/>
            <w:right w:val="none" w:sz="0" w:space="0" w:color="auto"/>
          </w:divBdr>
          <w:divsChild>
            <w:div w:id="10661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8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42" Type="http://schemas.microsoft.com/office/2018/08/relationships/commentsExtensible" Target="commentsExtensible.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924EED3CC174864800347F3E5FA79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2024-06-27T08:56:42Z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2024-06-26T00:00:00Z</Date_x0020_protokolli>
    <Titulli xmlns="0e656187-b300-4fb0-8bf4-3a50f872073c">Për parandalimin e pastrimit të parave dhe financimin e terrorizmit në sistemin tatimor</Titulli>
    <Modifikuesi xmlns="0e656187-b300-4fb0-8bf4-3a50f872073c">Fjora.Cahani</Modifikuesi>
    <Nr_x002e__x0020_prot_x0020_QBZ xmlns="0e656187-b300-4fb0-8bf4-3a50f872073c">1134/1</Nr_x002e__x0020_prot_x0020_QBZ>
    <Data_x0020_e_x0020_Modifikimit xmlns="0e656187-b300-4fb0-8bf4-3a50f872073c">2024-06-27T10:04:30Z</Data_x0020_e_x0020_Modifikimit>
    <Dekretuar xmlns="0e656187-b300-4fb0-8bf4-3a50f872073c">false</Dekretuar>
    <Data xmlns="0e656187-b300-4fb0-8bf4-3a50f872073c">2024-06-24T00:00:00Z</Data>
    <Nr_x002e__x0020_protokolli_x0020_i_x0020_aktit xmlns="0e656187-b300-4fb0-8bf4-3a50f872073c">8702/1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924EED3CC174864800347F3E5FA79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5FA4D-8D53-44DE-983D-AB0959CC36B5}">
  <ds:schemaRefs>
    <ds:schemaRef ds:uri="http://schemas.microsoft.com/sharepoint/v3/contenttype/forms"/>
  </ds:schemaRefs>
</ds:datastoreItem>
</file>

<file path=customXml/itemProps2.xml><?xml version="1.0" encoding="utf-8"?>
<ds:datastoreItem xmlns:ds="http://schemas.openxmlformats.org/officeDocument/2006/customXml" ds:itemID="{0CBABD50-619F-4534-9711-597F126D5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75737F-20CE-4510-B7E3-42EBA971CE08}">
  <ds:schemaRefs>
    <ds:schemaRef ds:uri="http://purl.org/dc/terms/"/>
    <ds:schemaRef ds:uri="0e656187-b300-4fb0-8bf4-3a50f872073c"/>
    <ds:schemaRef ds:uri="http://purl.org/dc/elements/1.1/"/>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64728615-352C-4D88-BB07-AD25FB6CE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5FCFA21-3C56-45E6-BF5D-9689AFCC2131}">
  <ds:schemaRefs>
    <ds:schemaRef ds:uri="http://schemas.microsoft.com/sharepoint/v3/contenttype/forms"/>
  </ds:schemaRefs>
</ds:datastoreItem>
</file>

<file path=customXml/itemProps6.xml><?xml version="1.0" encoding="utf-8"?>
<ds:datastoreItem xmlns:ds="http://schemas.openxmlformats.org/officeDocument/2006/customXml" ds:itemID="{8FF57030-EC48-4380-9526-599EB1581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2148</Words>
  <Characters>12246</Characters>
  <Application>Microsoft Office Word</Application>
  <DocSecurity>0</DocSecurity>
  <Lines>102</Lines>
  <Paragraphs>28</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parandalimin e pastrimit të parave dhe financimin e terrorizmit në sistemin tatimor</vt:lpstr>
      <vt:lpstr>Projektvendimi</vt:lpstr>
    </vt:vector>
  </TitlesOfParts>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parandalimin e pastrimit të parave dhe financimin e terrorizmit në sistemin tatimor</dc:title>
  <dc:creator>DPPPP</dc:creator>
  <cp:lastModifiedBy>Amarilda Muja</cp:lastModifiedBy>
  <cp:revision>5</cp:revision>
  <cp:lastPrinted>2024-06-18T12:04:00Z</cp:lastPrinted>
  <dcterms:created xsi:type="dcterms:W3CDTF">2024-06-27T08:18:00Z</dcterms:created>
  <dcterms:modified xsi:type="dcterms:W3CDTF">2024-06-27T10:17:00Z</dcterms:modified>
</cp:coreProperties>
</file>