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F26998" w14:textId="77777777" w:rsidR="00A300E2" w:rsidRPr="00A368B4" w:rsidRDefault="00A300E2" w:rsidP="00A300E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368B4">
        <w:rPr>
          <w:rFonts w:ascii="Garamond" w:hAnsi="Garamond"/>
          <w:b/>
          <w:sz w:val="24"/>
        </w:rPr>
        <w:t>UDHËZIM</w:t>
      </w:r>
    </w:p>
    <w:p w14:paraId="7B3DC603" w14:textId="65C9DC29" w:rsidR="00A300E2" w:rsidRPr="00A368B4" w:rsidRDefault="00A300E2" w:rsidP="00A300E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368B4">
        <w:rPr>
          <w:rFonts w:ascii="Garamond" w:hAnsi="Garamond"/>
          <w:b/>
          <w:sz w:val="24"/>
        </w:rPr>
        <w:t>Nr. 23, datë 28.10.2025</w:t>
      </w:r>
    </w:p>
    <w:p w14:paraId="0C0FF8F9" w14:textId="77777777" w:rsidR="00A300E2" w:rsidRPr="00A368B4" w:rsidRDefault="00A300E2" w:rsidP="00A300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BCF2765" w14:textId="771BEAC7" w:rsidR="00A300E2" w:rsidRPr="00A368B4" w:rsidRDefault="00A300E2" w:rsidP="00A300E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368B4">
        <w:rPr>
          <w:rFonts w:ascii="Garamond" w:hAnsi="Garamond"/>
          <w:b/>
          <w:sz w:val="24"/>
        </w:rPr>
        <w:t>PËR DISA SHTESA DHE NDRYSHIME NË UDHËZIMIN NR. 18, DATË 14.5.2018, “PËR FORMATIN E FORMULARIT TË DEKLARIMIT DHE PAGESËS SË TATIMIT MBI LOJËRAT E FATIT”</w:t>
      </w:r>
    </w:p>
    <w:p w14:paraId="35273DB6" w14:textId="77777777" w:rsidR="00A300E2" w:rsidRPr="00A368B4" w:rsidRDefault="00A300E2" w:rsidP="00A300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D7737CC" w14:textId="050ABF38" w:rsidR="00A300E2" w:rsidRPr="00A368B4" w:rsidRDefault="00A300E2" w:rsidP="00A300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68B4">
        <w:rPr>
          <w:rFonts w:ascii="Garamond" w:hAnsi="Garamond"/>
          <w:sz w:val="24"/>
        </w:rPr>
        <w:t>Në mbështetje të nenit 102, pika 4, të Kushtetutës së Republikës së Shqipërisë, si dhe të nenit 64, pika 4, të ligjit nr. 9920, datë 19.5.2008, “Për procedurat tatimore në Republikën e Shqipërisë”, të ndryshuar, ministri i Financave,</w:t>
      </w:r>
    </w:p>
    <w:p w14:paraId="21A46E4B" w14:textId="77777777" w:rsidR="00A300E2" w:rsidRPr="00A368B4" w:rsidRDefault="00A300E2" w:rsidP="00A300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C27FD47" w14:textId="43B10A63" w:rsidR="00A300E2" w:rsidRPr="00A368B4" w:rsidRDefault="00A300E2" w:rsidP="00A300E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A368B4">
        <w:rPr>
          <w:rFonts w:ascii="Garamond" w:hAnsi="Garamond"/>
          <w:sz w:val="24"/>
        </w:rPr>
        <w:t>UDHËZON:</w:t>
      </w:r>
    </w:p>
    <w:p w14:paraId="652C51F3" w14:textId="77777777" w:rsidR="00A300E2" w:rsidRPr="00A368B4" w:rsidRDefault="00A300E2" w:rsidP="00A300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050CA37" w14:textId="5EF37063" w:rsidR="00A300E2" w:rsidRPr="00A368B4" w:rsidRDefault="00A300E2" w:rsidP="00A300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68B4">
        <w:rPr>
          <w:rFonts w:ascii="Garamond" w:hAnsi="Garamond"/>
          <w:sz w:val="24"/>
        </w:rPr>
        <w:t>Në udhëzimin nr. 18, datë 14.5.2018, “Për formatin e formularit të deklarimit dhe pagesës së tatimit mbi lojërat e fatit”</w:t>
      </w:r>
      <w:r w:rsidR="00A368B4">
        <w:rPr>
          <w:rFonts w:ascii="Garamond" w:hAnsi="Garamond"/>
          <w:sz w:val="24"/>
        </w:rPr>
        <w:t>,</w:t>
      </w:r>
      <w:r w:rsidRPr="00A368B4">
        <w:rPr>
          <w:rFonts w:ascii="Garamond" w:hAnsi="Garamond"/>
          <w:sz w:val="24"/>
        </w:rPr>
        <w:t xml:space="preserve"> bëhen shtesat dhe ndryshimet si vijon:</w:t>
      </w:r>
    </w:p>
    <w:p w14:paraId="666A923E" w14:textId="0F93406D" w:rsidR="00A300E2" w:rsidRPr="00A368B4" w:rsidRDefault="00A300E2" w:rsidP="00A300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68B4">
        <w:rPr>
          <w:rFonts w:ascii="Garamond" w:hAnsi="Garamond"/>
          <w:sz w:val="24"/>
        </w:rPr>
        <w:t xml:space="preserve">1. Në rubrikën </w:t>
      </w:r>
      <w:proofErr w:type="spellStart"/>
      <w:r w:rsidRPr="00A368B4">
        <w:rPr>
          <w:rFonts w:ascii="Garamond" w:hAnsi="Garamond"/>
          <w:sz w:val="24"/>
        </w:rPr>
        <w:t>XVI</w:t>
      </w:r>
      <w:proofErr w:type="spellEnd"/>
      <w:r w:rsidRPr="00A368B4">
        <w:rPr>
          <w:rFonts w:ascii="Garamond" w:hAnsi="Garamond"/>
          <w:sz w:val="24"/>
        </w:rPr>
        <w:t xml:space="preserve"> “Kazino/</w:t>
      </w:r>
      <w:r w:rsidR="00A368B4">
        <w:rPr>
          <w:rFonts w:ascii="Garamond" w:hAnsi="Garamond"/>
          <w:sz w:val="24"/>
        </w:rPr>
        <w:t>k</w:t>
      </w:r>
      <w:r w:rsidRPr="00A368B4">
        <w:rPr>
          <w:rFonts w:ascii="Garamond" w:hAnsi="Garamond"/>
          <w:sz w:val="24"/>
        </w:rPr>
        <w:t>azino me 5 yje/</w:t>
      </w:r>
      <w:proofErr w:type="spellStart"/>
      <w:r w:rsidR="00A368B4" w:rsidRPr="00A368B4">
        <w:rPr>
          <w:rFonts w:ascii="Garamond" w:hAnsi="Garamond"/>
          <w:sz w:val="24"/>
        </w:rPr>
        <w:t>resort</w:t>
      </w:r>
      <w:proofErr w:type="spellEnd"/>
      <w:r w:rsidR="00A368B4" w:rsidRPr="00A368B4">
        <w:rPr>
          <w:rFonts w:ascii="Garamond" w:hAnsi="Garamond"/>
          <w:sz w:val="24"/>
        </w:rPr>
        <w:t xml:space="preserve"> k</w:t>
      </w:r>
      <w:r w:rsidRPr="00A368B4">
        <w:rPr>
          <w:rFonts w:ascii="Garamond" w:hAnsi="Garamond"/>
          <w:sz w:val="24"/>
        </w:rPr>
        <w:t>azino”, në seksionin C.1, në formularin e deklarimit dhe pagesës së tatimit mbi lojërat e fatit bëhen shtesat dhe ndryshimet:</w:t>
      </w:r>
    </w:p>
    <w:p w14:paraId="217954E1" w14:textId="77777777" w:rsidR="00A300E2" w:rsidRPr="00A368B4" w:rsidRDefault="00A300E2" w:rsidP="00A300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68B4">
        <w:rPr>
          <w:rFonts w:ascii="Garamond" w:hAnsi="Garamond"/>
          <w:sz w:val="24"/>
        </w:rPr>
        <w:t xml:space="preserve">a) Në rubrikën [95/96], emërtimi i veprimtarisë së lojës së fatit ndryshon me përmbajtjen, si më poshtë: </w:t>
      </w:r>
    </w:p>
    <w:p w14:paraId="46B9F4FC" w14:textId="74C0D038" w:rsidR="00A300E2" w:rsidRPr="00A368B4" w:rsidRDefault="00A300E2" w:rsidP="00A300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68B4">
        <w:rPr>
          <w:rFonts w:ascii="Garamond" w:hAnsi="Garamond"/>
          <w:sz w:val="24"/>
        </w:rPr>
        <w:t>“</w:t>
      </w:r>
      <w:r w:rsidRPr="00A368B4">
        <w:rPr>
          <w:rFonts w:ascii="Garamond" w:hAnsi="Garamond"/>
          <w:i/>
          <w:sz w:val="24"/>
        </w:rPr>
        <w:t>Për tryezat me më shumë se një pozicion ruletë, 25% mbi të ardhurat bruto</w:t>
      </w:r>
      <w:r w:rsidRPr="00A368B4">
        <w:rPr>
          <w:rFonts w:ascii="Garamond" w:hAnsi="Garamond"/>
          <w:sz w:val="24"/>
        </w:rPr>
        <w:t>”</w:t>
      </w:r>
      <w:r w:rsidR="00A368B4">
        <w:rPr>
          <w:rFonts w:ascii="Garamond" w:hAnsi="Garamond"/>
          <w:sz w:val="24"/>
        </w:rPr>
        <w:t>;</w:t>
      </w:r>
    </w:p>
    <w:p w14:paraId="66F838B1" w14:textId="77777777" w:rsidR="00A300E2" w:rsidRPr="00A368B4" w:rsidRDefault="00A300E2" w:rsidP="00A300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68B4">
        <w:rPr>
          <w:rFonts w:ascii="Garamond" w:hAnsi="Garamond"/>
          <w:sz w:val="24"/>
        </w:rPr>
        <w:t>b) Në rubrikën [97/98], emërtimi i veprimtarisë së lojës së fatit ndryshon me përmbajtjen, si më poshtë:</w:t>
      </w:r>
    </w:p>
    <w:p w14:paraId="5BA3D3A3" w14:textId="50F7EFF5" w:rsidR="00A300E2" w:rsidRPr="00A368B4" w:rsidRDefault="00A300E2" w:rsidP="00A300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68B4">
        <w:rPr>
          <w:rFonts w:ascii="Garamond" w:hAnsi="Garamond"/>
          <w:sz w:val="24"/>
        </w:rPr>
        <w:t>“</w:t>
      </w:r>
      <w:r w:rsidRPr="00A368B4">
        <w:rPr>
          <w:rFonts w:ascii="Garamond" w:hAnsi="Garamond"/>
          <w:i/>
          <w:sz w:val="24"/>
        </w:rPr>
        <w:t>Për tryezat e lojërave me letra dhe/ose me zare, 25% mbi të ardhurat bruto</w:t>
      </w:r>
      <w:r w:rsidRPr="00A368B4">
        <w:rPr>
          <w:rFonts w:ascii="Garamond" w:hAnsi="Garamond"/>
          <w:sz w:val="24"/>
        </w:rPr>
        <w:t>”</w:t>
      </w:r>
      <w:r w:rsidR="00A368B4">
        <w:rPr>
          <w:rFonts w:ascii="Garamond" w:hAnsi="Garamond"/>
          <w:sz w:val="24"/>
        </w:rPr>
        <w:t>;</w:t>
      </w:r>
    </w:p>
    <w:p w14:paraId="36FAFF4A" w14:textId="77777777" w:rsidR="00A300E2" w:rsidRPr="00A368B4" w:rsidRDefault="00A300E2" w:rsidP="00A300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68B4">
        <w:rPr>
          <w:rFonts w:ascii="Garamond" w:hAnsi="Garamond"/>
          <w:sz w:val="24"/>
        </w:rPr>
        <w:t xml:space="preserve">c) Pas rubrikës [101/102], shtohet rubrika [102.1/102.2], me përmbajtjen si vijon: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6"/>
        <w:gridCol w:w="4866"/>
        <w:gridCol w:w="1176"/>
        <w:gridCol w:w="1493"/>
      </w:tblGrid>
      <w:tr w:rsidR="00A300E2" w:rsidRPr="00A368B4" w14:paraId="71E0BC72" w14:textId="77777777" w:rsidTr="00A368B4">
        <w:trPr>
          <w:trHeight w:val="300"/>
          <w:jc w:val="center"/>
        </w:trPr>
        <w:tc>
          <w:tcPr>
            <w:tcW w:w="842" w:type="pct"/>
          </w:tcPr>
          <w:p w14:paraId="56208303" w14:textId="77777777" w:rsidR="00A300E2" w:rsidRPr="00A368B4" w:rsidRDefault="00A300E2" w:rsidP="00A300E2">
            <w:pPr>
              <w:pStyle w:val="ListParagraph"/>
              <w:spacing w:after="160"/>
              <w:ind w:left="0"/>
              <w:jc w:val="both"/>
              <w:rPr>
                <w:rFonts w:ascii="Garamond" w:hAnsi="Garamond"/>
                <w:i/>
                <w:iCs/>
                <w:sz w:val="24"/>
                <w:szCs w:val="24"/>
                <w:lang w:val="sq-AL"/>
              </w:rPr>
            </w:pPr>
            <w:r w:rsidRPr="00A368B4">
              <w:rPr>
                <w:rFonts w:ascii="Garamond" w:hAnsi="Garamond"/>
                <w:i/>
                <w:iCs/>
                <w:sz w:val="24"/>
                <w:szCs w:val="24"/>
                <w:lang w:val="sq-AL"/>
              </w:rPr>
              <w:t>[102.1/102.2]</w:t>
            </w:r>
          </w:p>
        </w:tc>
        <w:tc>
          <w:tcPr>
            <w:tcW w:w="2685" w:type="pct"/>
          </w:tcPr>
          <w:p w14:paraId="384EEEB8" w14:textId="77777777" w:rsidR="00A300E2" w:rsidRPr="00A368B4" w:rsidRDefault="00A300E2" w:rsidP="00A300E2">
            <w:pPr>
              <w:pStyle w:val="ListParagraph"/>
              <w:spacing w:after="160"/>
              <w:ind w:left="0"/>
              <w:jc w:val="both"/>
              <w:rPr>
                <w:rFonts w:ascii="Garamond" w:hAnsi="Garamond"/>
                <w:i/>
                <w:iCs/>
                <w:sz w:val="24"/>
                <w:szCs w:val="24"/>
                <w:lang w:val="sq-AL"/>
              </w:rPr>
            </w:pPr>
            <w:r w:rsidRPr="00A368B4">
              <w:rPr>
                <w:rFonts w:ascii="Garamond" w:hAnsi="Garamond"/>
                <w:i/>
                <w:iCs/>
                <w:sz w:val="24"/>
                <w:szCs w:val="24"/>
                <w:lang w:val="sq-AL"/>
              </w:rPr>
              <w:t>Turnetë e lojërave 25 % mbi të ardhurat bruto</w:t>
            </w:r>
          </w:p>
        </w:tc>
        <w:tc>
          <w:tcPr>
            <w:tcW w:w="649" w:type="pct"/>
          </w:tcPr>
          <w:p w14:paraId="4728E082" w14:textId="77777777" w:rsidR="00A300E2" w:rsidRPr="00A368B4" w:rsidRDefault="00A300E2" w:rsidP="00A300E2">
            <w:pPr>
              <w:pStyle w:val="ListParagraph"/>
              <w:spacing w:after="160"/>
              <w:ind w:left="0"/>
              <w:jc w:val="both"/>
              <w:rPr>
                <w:rFonts w:ascii="Garamond" w:hAnsi="Garamond"/>
                <w:i/>
                <w:iCs/>
                <w:sz w:val="24"/>
                <w:szCs w:val="24"/>
                <w:lang w:val="sq-AL"/>
              </w:rPr>
            </w:pPr>
            <w:r w:rsidRPr="00A368B4">
              <w:rPr>
                <w:rFonts w:ascii="Garamond" w:hAnsi="Garamond"/>
                <w:i/>
                <w:iCs/>
                <w:sz w:val="24"/>
                <w:szCs w:val="24"/>
                <w:lang w:val="sq-AL"/>
              </w:rPr>
              <w:t>102.1</w:t>
            </w:r>
          </w:p>
        </w:tc>
        <w:tc>
          <w:tcPr>
            <w:tcW w:w="824" w:type="pct"/>
          </w:tcPr>
          <w:p w14:paraId="0639C900" w14:textId="77777777" w:rsidR="00A300E2" w:rsidRPr="00A368B4" w:rsidRDefault="00A300E2" w:rsidP="00A300E2">
            <w:pPr>
              <w:pStyle w:val="ListParagraph"/>
              <w:spacing w:after="160"/>
              <w:ind w:left="0"/>
              <w:jc w:val="both"/>
              <w:rPr>
                <w:rFonts w:ascii="Garamond" w:hAnsi="Garamond"/>
                <w:i/>
                <w:iCs/>
                <w:sz w:val="24"/>
                <w:szCs w:val="24"/>
                <w:lang w:val="sq-AL"/>
              </w:rPr>
            </w:pPr>
            <w:r w:rsidRPr="00A368B4">
              <w:rPr>
                <w:rFonts w:ascii="Garamond" w:hAnsi="Garamond"/>
                <w:i/>
                <w:iCs/>
                <w:sz w:val="24"/>
                <w:szCs w:val="24"/>
                <w:lang w:val="sq-AL"/>
              </w:rPr>
              <w:t>102.2</w:t>
            </w:r>
          </w:p>
        </w:tc>
      </w:tr>
    </w:tbl>
    <w:p w14:paraId="55AA4B23" w14:textId="77777777" w:rsidR="00A300E2" w:rsidRPr="00A368B4" w:rsidRDefault="00A300E2" w:rsidP="00A368B4">
      <w:pPr>
        <w:spacing w:after="0" w:line="240" w:lineRule="auto"/>
        <w:jc w:val="both"/>
        <w:rPr>
          <w:rFonts w:ascii="Garamond" w:hAnsi="Garamond"/>
          <w:sz w:val="14"/>
        </w:rPr>
      </w:pPr>
    </w:p>
    <w:p w14:paraId="011162F2" w14:textId="77777777" w:rsidR="00A300E2" w:rsidRPr="00A368B4" w:rsidRDefault="00A300E2" w:rsidP="00A300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68B4">
        <w:rPr>
          <w:rFonts w:ascii="Garamond" w:hAnsi="Garamond"/>
          <w:sz w:val="24"/>
        </w:rPr>
        <w:t>2. Në udhëzuesin “Për mënyrën e plotësimit të formularit” bëhen shtesat dhe ndryshimet si vijon:</w:t>
      </w:r>
    </w:p>
    <w:p w14:paraId="130DA09A" w14:textId="0B9A4CBB" w:rsidR="00A300E2" w:rsidRPr="00A368B4" w:rsidRDefault="00A300E2" w:rsidP="00A300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68B4">
        <w:rPr>
          <w:rFonts w:ascii="Garamond" w:hAnsi="Garamond"/>
          <w:sz w:val="24"/>
        </w:rPr>
        <w:t xml:space="preserve">a) Në </w:t>
      </w:r>
      <w:r w:rsidR="00A368B4">
        <w:rPr>
          <w:rFonts w:ascii="Garamond" w:hAnsi="Garamond"/>
          <w:sz w:val="24"/>
        </w:rPr>
        <w:t>k</w:t>
      </w:r>
      <w:r w:rsidRPr="00A368B4">
        <w:rPr>
          <w:rFonts w:ascii="Garamond" w:hAnsi="Garamond"/>
          <w:sz w:val="24"/>
        </w:rPr>
        <w:t xml:space="preserve">reun </w:t>
      </w:r>
      <w:proofErr w:type="spellStart"/>
      <w:r w:rsidRPr="00A368B4">
        <w:rPr>
          <w:rFonts w:ascii="Garamond" w:hAnsi="Garamond"/>
          <w:sz w:val="24"/>
        </w:rPr>
        <w:t>XVI</w:t>
      </w:r>
      <w:proofErr w:type="spellEnd"/>
      <w:r w:rsidRPr="00A368B4">
        <w:rPr>
          <w:rFonts w:ascii="Garamond" w:hAnsi="Garamond"/>
          <w:sz w:val="24"/>
        </w:rPr>
        <w:t xml:space="preserve"> “Kazino/</w:t>
      </w:r>
      <w:r w:rsidR="00A368B4" w:rsidRPr="00A368B4">
        <w:rPr>
          <w:rFonts w:ascii="Garamond" w:hAnsi="Garamond"/>
          <w:sz w:val="24"/>
        </w:rPr>
        <w:t>kazino me 5 yje/</w:t>
      </w:r>
      <w:proofErr w:type="spellStart"/>
      <w:r w:rsidR="00A368B4" w:rsidRPr="00A368B4">
        <w:rPr>
          <w:rFonts w:ascii="Garamond" w:hAnsi="Garamond"/>
          <w:sz w:val="24"/>
        </w:rPr>
        <w:t>resort</w:t>
      </w:r>
      <w:proofErr w:type="spellEnd"/>
      <w:r w:rsidR="00A368B4" w:rsidRPr="00A368B4">
        <w:rPr>
          <w:rFonts w:ascii="Garamond" w:hAnsi="Garamond"/>
          <w:sz w:val="24"/>
        </w:rPr>
        <w:t xml:space="preserve"> </w:t>
      </w:r>
      <w:r w:rsidRPr="00A368B4">
        <w:rPr>
          <w:rFonts w:ascii="Garamond" w:hAnsi="Garamond"/>
          <w:sz w:val="24"/>
        </w:rPr>
        <w:t>kazino” seksionin C.1 bëhen shtesat dhe ndryshimet:</w:t>
      </w:r>
    </w:p>
    <w:p w14:paraId="0CD700C0" w14:textId="77777777" w:rsidR="00A300E2" w:rsidRPr="00A368B4" w:rsidRDefault="00A300E2" w:rsidP="00A300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68B4">
        <w:rPr>
          <w:rFonts w:ascii="Garamond" w:hAnsi="Garamond"/>
          <w:sz w:val="24"/>
        </w:rPr>
        <w:t>i. Rubrika [96], ndryshon me përmbajtjen si më poshtë:</w:t>
      </w:r>
    </w:p>
    <w:p w14:paraId="2F448BB2" w14:textId="2123A02C" w:rsidR="00A300E2" w:rsidRPr="00A368B4" w:rsidRDefault="00A300E2" w:rsidP="00A300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68B4">
        <w:rPr>
          <w:rFonts w:ascii="Garamond" w:hAnsi="Garamond"/>
          <w:sz w:val="24"/>
        </w:rPr>
        <w:t>“</w:t>
      </w:r>
      <w:r w:rsidRPr="00A368B4">
        <w:rPr>
          <w:rFonts w:ascii="Garamond" w:hAnsi="Garamond"/>
          <w:i/>
          <w:sz w:val="24"/>
        </w:rPr>
        <w:t>Norma e taksës në %, e përcaktuar me ligj, shumëzuar me vëllimin e qarkullimit të realizuar për periudhën për të cilën paguhet taksa për tryezat me më shumë së një pozicion, ruletë, rubrika [95] x 25% mbi të ardhurat bruto”</w:t>
      </w:r>
      <w:r w:rsidR="00A368B4">
        <w:rPr>
          <w:rFonts w:ascii="Garamond" w:hAnsi="Garamond"/>
          <w:i/>
          <w:sz w:val="24"/>
        </w:rPr>
        <w:t>;</w:t>
      </w:r>
    </w:p>
    <w:p w14:paraId="73B007DC" w14:textId="6EC48E39" w:rsidR="00A300E2" w:rsidRPr="00A368B4" w:rsidRDefault="00A300E2" w:rsidP="00A300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A368B4">
        <w:rPr>
          <w:rFonts w:ascii="Garamond" w:hAnsi="Garamond"/>
          <w:sz w:val="24"/>
        </w:rPr>
        <w:t>ii</w:t>
      </w:r>
      <w:proofErr w:type="spellEnd"/>
      <w:r w:rsidRPr="00A368B4">
        <w:rPr>
          <w:rFonts w:ascii="Garamond" w:hAnsi="Garamond"/>
          <w:sz w:val="24"/>
        </w:rPr>
        <w:t>. Rubrika [98], ndryshon me përmbajtjen si më poshtë:</w:t>
      </w:r>
    </w:p>
    <w:p w14:paraId="432A8376" w14:textId="230F7EAF" w:rsidR="00A300E2" w:rsidRPr="00A368B4" w:rsidRDefault="00A300E2" w:rsidP="00A300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68B4">
        <w:rPr>
          <w:rFonts w:ascii="Garamond" w:hAnsi="Garamond"/>
          <w:sz w:val="24"/>
        </w:rPr>
        <w:t>“</w:t>
      </w:r>
      <w:r w:rsidRPr="00A368B4">
        <w:rPr>
          <w:rFonts w:ascii="Garamond" w:hAnsi="Garamond"/>
          <w:i/>
          <w:sz w:val="24"/>
        </w:rPr>
        <w:t xml:space="preserve">Norma e taksës në %, e përcaktuar me ligj, shumëzuar me vëllimin e qarkullimit të realizuar për periudhën për të cilën paguhet taksa për tryezat </w:t>
      </w:r>
      <w:r w:rsidR="00A368B4">
        <w:rPr>
          <w:rFonts w:ascii="Garamond" w:hAnsi="Garamond"/>
          <w:i/>
          <w:sz w:val="24"/>
        </w:rPr>
        <w:t>e</w:t>
      </w:r>
      <w:r w:rsidRPr="00A368B4">
        <w:rPr>
          <w:rFonts w:ascii="Garamond" w:hAnsi="Garamond"/>
          <w:i/>
          <w:sz w:val="24"/>
        </w:rPr>
        <w:t xml:space="preserve"> </w:t>
      </w:r>
      <w:r w:rsidR="00A368B4" w:rsidRPr="00A368B4">
        <w:rPr>
          <w:rFonts w:ascii="Garamond" w:hAnsi="Garamond"/>
          <w:i/>
          <w:sz w:val="24"/>
        </w:rPr>
        <w:t>lojërave</w:t>
      </w:r>
      <w:r w:rsidRPr="00A368B4">
        <w:rPr>
          <w:rFonts w:ascii="Garamond" w:hAnsi="Garamond"/>
          <w:i/>
          <w:sz w:val="24"/>
        </w:rPr>
        <w:t xml:space="preserve"> me letër dhe/ose me zare, rubrika [97] x 25% mbi të ardhurat bruto</w:t>
      </w:r>
      <w:r w:rsidRPr="00A368B4">
        <w:rPr>
          <w:rFonts w:ascii="Garamond" w:hAnsi="Garamond"/>
          <w:sz w:val="24"/>
        </w:rPr>
        <w:t>”</w:t>
      </w:r>
      <w:r w:rsidR="00A368B4">
        <w:rPr>
          <w:rFonts w:ascii="Garamond" w:hAnsi="Garamond"/>
          <w:sz w:val="24"/>
        </w:rPr>
        <w:t>;</w:t>
      </w:r>
    </w:p>
    <w:p w14:paraId="510223C0" w14:textId="77777777" w:rsidR="00A300E2" w:rsidRPr="00A368B4" w:rsidRDefault="00A300E2" w:rsidP="00A300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A368B4">
        <w:rPr>
          <w:rFonts w:ascii="Garamond" w:hAnsi="Garamond"/>
          <w:sz w:val="24"/>
        </w:rPr>
        <w:t>iii</w:t>
      </w:r>
      <w:proofErr w:type="spellEnd"/>
      <w:r w:rsidRPr="00A368B4">
        <w:rPr>
          <w:rFonts w:ascii="Garamond" w:hAnsi="Garamond"/>
          <w:sz w:val="24"/>
        </w:rPr>
        <w:t>. Pas rubrikës [102] shtohet:</w:t>
      </w:r>
    </w:p>
    <w:p w14:paraId="5A226D71" w14:textId="77777777" w:rsidR="00A300E2" w:rsidRPr="00A368B4" w:rsidRDefault="00A300E2" w:rsidP="00A300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68B4">
        <w:rPr>
          <w:rFonts w:ascii="Garamond" w:hAnsi="Garamond"/>
          <w:sz w:val="24"/>
        </w:rPr>
        <w:t>- Rubrika [102.1], me përmbajtje si më poshtë:</w:t>
      </w:r>
    </w:p>
    <w:p w14:paraId="75CD6914" w14:textId="77777777" w:rsidR="00A300E2" w:rsidRPr="00A368B4" w:rsidRDefault="00A300E2" w:rsidP="00A300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68B4">
        <w:rPr>
          <w:rFonts w:ascii="Garamond" w:hAnsi="Garamond"/>
          <w:sz w:val="24"/>
        </w:rPr>
        <w:t>“</w:t>
      </w:r>
      <w:r w:rsidRPr="00A368B4">
        <w:rPr>
          <w:rFonts w:ascii="Garamond" w:hAnsi="Garamond"/>
          <w:i/>
          <w:sz w:val="24"/>
        </w:rPr>
        <w:t>Të ardhurat bruto të realizuara për periudhën për të cilën paguhet taksa për turnetë e lojërave</w:t>
      </w:r>
      <w:r w:rsidRPr="00A368B4">
        <w:rPr>
          <w:rFonts w:ascii="Garamond" w:hAnsi="Garamond"/>
          <w:sz w:val="24"/>
        </w:rPr>
        <w:t>”;</w:t>
      </w:r>
    </w:p>
    <w:p w14:paraId="64452D15" w14:textId="33DF3AC1" w:rsidR="00A300E2" w:rsidRPr="00A368B4" w:rsidRDefault="00A300E2" w:rsidP="00A300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68B4">
        <w:rPr>
          <w:rFonts w:ascii="Garamond" w:hAnsi="Garamond"/>
          <w:sz w:val="24"/>
        </w:rPr>
        <w:t>- Rubrika [102.2], me përmbajtje si më poshtë:</w:t>
      </w:r>
    </w:p>
    <w:p w14:paraId="4CDF728B" w14:textId="34D47E5A" w:rsidR="00A300E2" w:rsidRPr="00A368B4" w:rsidRDefault="00A300E2" w:rsidP="00A300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68B4">
        <w:rPr>
          <w:rFonts w:ascii="Garamond" w:hAnsi="Garamond"/>
          <w:sz w:val="24"/>
        </w:rPr>
        <w:t xml:space="preserve"> “</w:t>
      </w:r>
      <w:r w:rsidRPr="00A368B4">
        <w:rPr>
          <w:rFonts w:ascii="Garamond" w:hAnsi="Garamond"/>
          <w:i/>
          <w:sz w:val="24"/>
        </w:rPr>
        <w:t>Norma e taksës në %,e përcaktuar me ligj, shumëzuar me të ardhurat bruto të realizuara për periudhën për të cilët paguhet taksa për turnetë e lojërave, [102.1] x 25% mbi të ardhurat bruto</w:t>
      </w:r>
      <w:r w:rsidRPr="00A368B4">
        <w:rPr>
          <w:rFonts w:ascii="Garamond" w:hAnsi="Garamond"/>
          <w:sz w:val="24"/>
        </w:rPr>
        <w:t>”</w:t>
      </w:r>
      <w:r w:rsidR="00A368B4">
        <w:rPr>
          <w:rFonts w:ascii="Garamond" w:hAnsi="Garamond"/>
          <w:sz w:val="24"/>
        </w:rPr>
        <w:t>;</w:t>
      </w:r>
    </w:p>
    <w:p w14:paraId="333A1843" w14:textId="2FCE5252" w:rsidR="00A300E2" w:rsidRPr="00A368B4" w:rsidRDefault="00A300E2" w:rsidP="00A300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68B4">
        <w:rPr>
          <w:rFonts w:ascii="Garamond" w:hAnsi="Garamond"/>
          <w:sz w:val="24"/>
        </w:rPr>
        <w:t xml:space="preserve">b) Në rubrikën [105], në </w:t>
      </w:r>
      <w:r w:rsidR="00A368B4">
        <w:rPr>
          <w:rFonts w:ascii="Garamond" w:hAnsi="Garamond"/>
          <w:sz w:val="24"/>
        </w:rPr>
        <w:t>k</w:t>
      </w:r>
      <w:r w:rsidRPr="00A368B4">
        <w:rPr>
          <w:rFonts w:ascii="Garamond" w:hAnsi="Garamond"/>
          <w:sz w:val="24"/>
        </w:rPr>
        <w:t xml:space="preserve">reun </w:t>
      </w:r>
      <w:proofErr w:type="spellStart"/>
      <w:r w:rsidRPr="00A368B4">
        <w:rPr>
          <w:rFonts w:ascii="Garamond" w:hAnsi="Garamond"/>
          <w:sz w:val="24"/>
        </w:rPr>
        <w:t>XVII</w:t>
      </w:r>
      <w:proofErr w:type="spellEnd"/>
      <w:r w:rsidRPr="00A368B4">
        <w:rPr>
          <w:rFonts w:ascii="Garamond" w:hAnsi="Garamond"/>
          <w:sz w:val="24"/>
        </w:rPr>
        <w:t xml:space="preserve"> “Kazino </w:t>
      </w:r>
      <w:r w:rsidR="00A368B4">
        <w:rPr>
          <w:rFonts w:ascii="Garamond" w:hAnsi="Garamond"/>
          <w:sz w:val="24"/>
        </w:rPr>
        <w:t>e</w:t>
      </w:r>
      <w:r w:rsidRPr="00A368B4">
        <w:rPr>
          <w:rFonts w:ascii="Garamond" w:hAnsi="Garamond"/>
          <w:sz w:val="24"/>
        </w:rPr>
        <w:t xml:space="preserve">lektronike”, </w:t>
      </w:r>
      <w:r w:rsidR="00A368B4">
        <w:rPr>
          <w:rFonts w:ascii="Garamond" w:hAnsi="Garamond"/>
          <w:sz w:val="24"/>
        </w:rPr>
        <w:t>s</w:t>
      </w:r>
      <w:r w:rsidRPr="00A368B4">
        <w:rPr>
          <w:rFonts w:ascii="Garamond" w:hAnsi="Garamond"/>
          <w:sz w:val="24"/>
        </w:rPr>
        <w:t>eksioni C.1, në shumën e rubrikave tatimi për t’u paguar, pas rubrikës “104” shtohet rubrika “102.2”.</w:t>
      </w:r>
    </w:p>
    <w:p w14:paraId="56C18D0B" w14:textId="77777777" w:rsidR="00A300E2" w:rsidRPr="00A368B4" w:rsidRDefault="00A300E2" w:rsidP="00A300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68B4">
        <w:rPr>
          <w:rFonts w:ascii="Garamond" w:hAnsi="Garamond"/>
          <w:sz w:val="24"/>
        </w:rPr>
        <w:t>3. Për zbatimin e këtij udhëzimi ngarkohet Drejtoria e Përgjithshme e Tatimeve.</w:t>
      </w:r>
    </w:p>
    <w:p w14:paraId="5A4CBC81" w14:textId="1938D20F" w:rsidR="00A300E2" w:rsidRPr="00A368B4" w:rsidRDefault="00A300E2" w:rsidP="00A300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368B4">
        <w:rPr>
          <w:rFonts w:ascii="Garamond" w:hAnsi="Garamond"/>
          <w:sz w:val="24"/>
        </w:rPr>
        <w:t>Ky udhëzim hyn në fuqi pas botimit në Fletoren Zyrtare.</w:t>
      </w:r>
    </w:p>
    <w:p w14:paraId="4CE89514" w14:textId="77777777" w:rsidR="00A300E2" w:rsidRPr="00A368B4" w:rsidRDefault="00A300E2" w:rsidP="00A300E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1ABEF8B" w14:textId="77777777" w:rsidR="00A300E2" w:rsidRPr="00A368B4" w:rsidRDefault="00A300E2" w:rsidP="00A300E2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A368B4">
        <w:rPr>
          <w:rFonts w:ascii="Garamond" w:hAnsi="Garamond"/>
          <w:sz w:val="24"/>
        </w:rPr>
        <w:t>MINISTËR I FINANCAVE</w:t>
      </w:r>
    </w:p>
    <w:p w14:paraId="11DE887E" w14:textId="5700018F" w:rsidR="000F74B6" w:rsidRPr="00A368B4" w:rsidRDefault="00A300E2" w:rsidP="00A368B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A368B4">
        <w:rPr>
          <w:rFonts w:ascii="Garamond" w:hAnsi="Garamond"/>
          <w:b/>
          <w:sz w:val="24"/>
        </w:rPr>
        <w:t xml:space="preserve">Petrit </w:t>
      </w:r>
      <w:proofErr w:type="spellStart"/>
      <w:r w:rsidRPr="00A368B4">
        <w:rPr>
          <w:rFonts w:ascii="Garamond" w:hAnsi="Garamond"/>
          <w:b/>
          <w:sz w:val="24"/>
        </w:rPr>
        <w:t>Mala</w:t>
      </w:r>
      <w:r w:rsidR="00A368B4">
        <w:rPr>
          <w:rFonts w:ascii="Garamond" w:hAnsi="Garamond"/>
          <w:b/>
          <w:sz w:val="24"/>
        </w:rPr>
        <w:t>j</w:t>
      </w:r>
      <w:bookmarkStart w:id="0" w:name="_GoBack"/>
      <w:bookmarkEnd w:id="0"/>
      <w:proofErr w:type="spellEnd"/>
    </w:p>
    <w:sectPr w:rsidR="000F74B6" w:rsidRPr="00A368B4" w:rsidSect="00A300E2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078"/>
    <w:rsid w:val="000F74B6"/>
    <w:rsid w:val="002671A4"/>
    <w:rsid w:val="002F5078"/>
    <w:rsid w:val="00420FCC"/>
    <w:rsid w:val="00495544"/>
    <w:rsid w:val="005B5F43"/>
    <w:rsid w:val="0061636A"/>
    <w:rsid w:val="006E4F2F"/>
    <w:rsid w:val="007A461B"/>
    <w:rsid w:val="008C7EE7"/>
    <w:rsid w:val="009632D9"/>
    <w:rsid w:val="00A300E2"/>
    <w:rsid w:val="00A368B4"/>
    <w:rsid w:val="00AD6F91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DC603"/>
  <w15:chartTrackingRefBased/>
  <w15:docId w15:val="{016308DE-2FCF-481F-AE56-3192B57A3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00E2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300E2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A300E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2025-11-06T12:29:33Z</Data_x0020_e_x0020_Krijimit>
    <URL xmlns="0e656187-b300-4fb0-8bf4-3a50f872073c" xsi:nil="true"/>
    <Institucion_x0020_Pergjegjes xmlns="0e656187-b300-4fb0-8bf4-3a50f872073c">http://qbz.gov.al/resource/authority/legal-institution/48|ministria-e-financave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2025-11-04T00:00:00Z</Date_x0020_protokolli>
    <Titulli xmlns="0e656187-b300-4fb0-8bf4-3a50f872073c">Për disa shtesa dhe ndryshime në udhëzimin nr. 18, datë 14.5.2018, "Për formatin e formularit të deklarimit dhe pagesës së tatiimit mbi lojërat e fatit"</Titulli>
    <Modifikuesi xmlns="0e656187-b300-4fb0-8bf4-3a50f872073c">ermira.bukaci</Modifikuesi>
    <Nr_x002e__x0020_prot_x0020_QBZ xmlns="0e656187-b300-4fb0-8bf4-3a50f872073c">1837/1</Nr_x002e__x0020_prot_x0020_QBZ>
    <Data_x0020_e_x0020_Modifikimit xmlns="0e656187-b300-4fb0-8bf4-3a50f872073c">2025-11-06T13:39:44Z</Data_x0020_e_x0020_Modifikimit>
    <Dekretuar xmlns="0e656187-b300-4fb0-8bf4-3a50f872073c">false</Dekretuar>
    <Data xmlns="0e656187-b300-4fb0-8bf4-3a50f872073c">2025-10-28T00:00:00Z</Data>
    <Nr_x002e__x0020_protokolli_x0020_i_x0020_aktit xmlns="0e656187-b300-4fb0-8bf4-3a50f872073c">6515/4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66FCDC079042DA945A76AE1A3F84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66FCDC079042DA945A76AE1A3F84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4D2E98-54E6-4599-8258-A7716694558F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88D356C-4B8C-4807-B121-CE22965648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E0CA7B-FCAD-4092-B4D1-83B27A097D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4F5CFFA-8434-4A0D-A93D-AB93AFE0D2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C6134C9-E170-42CA-9BEC-94BDC67061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 18, datë 14.5.2018, "Për formatin e formularit të deklarimit dhe pagesës së tatiimit mbi lojërat e fatit"</vt:lpstr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 18, datë 14.5.2018, "Për formatin e formularit të deklarimit dhe pagesës së tatiimit mbi lojërat e fatit"</dc:title>
  <dc:creator>Entela Suli</dc:creator>
  <cp:lastModifiedBy>Fjora Cahani</cp:lastModifiedBy>
  <cp:revision>3</cp:revision>
  <dcterms:created xsi:type="dcterms:W3CDTF">2025-11-06T11:33:00Z</dcterms:created>
  <dcterms:modified xsi:type="dcterms:W3CDTF">2025-11-07T08:22:00Z</dcterms:modified>
</cp:coreProperties>
</file>