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FDD1D" w14:textId="28864E92" w:rsidR="007A4009" w:rsidRPr="00ED7D78" w:rsidRDefault="00215333" w:rsidP="004767A6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</w:pP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UDH</w:t>
      </w:r>
      <w:r w:rsidR="00E66879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Ë</w:t>
      </w: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ZIM</w:t>
      </w:r>
    </w:p>
    <w:p w14:paraId="54E26B90" w14:textId="5A155829" w:rsidR="007A4009" w:rsidRPr="00ED7D78" w:rsidRDefault="006801B8" w:rsidP="004767A6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</w:pP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N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r</w:t>
      </w: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 xml:space="preserve">. </w:t>
      </w:r>
      <w:r w:rsidR="002E3584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7</w:t>
      </w: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, dat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ë</w:t>
      </w: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 xml:space="preserve"> </w:t>
      </w:r>
      <w:r w:rsidR="002E3584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31.3</w:t>
      </w: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.202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6</w:t>
      </w:r>
    </w:p>
    <w:p w14:paraId="7FE413BA" w14:textId="77777777" w:rsidR="002E3584" w:rsidRPr="00ED7D78" w:rsidRDefault="002E3584" w:rsidP="004767A6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</w:pPr>
    </w:p>
    <w:p w14:paraId="0D455ED7" w14:textId="23BD8D52" w:rsidR="007A4009" w:rsidRPr="00ED7D78" w:rsidRDefault="00AD7498" w:rsidP="008C4B1B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</w:pPr>
      <w:r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 xml:space="preserve">PËR 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P</w:t>
      </w:r>
      <w:r w:rsidR="00E66879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Ë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RGATITJEN DHE PUBLIKIMIN E RAPORTIT T</w:t>
      </w:r>
      <w:r w:rsidR="00E66879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Ë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 xml:space="preserve"> DEVIJANCAVE T</w:t>
      </w:r>
      <w:r w:rsidR="00E66879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Ë</w:t>
      </w:r>
      <w:r w:rsidR="00215333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 xml:space="preserve"> PARASHIKIMEVE MAKROE</w:t>
      </w:r>
      <w:r w:rsidR="00ED7D78" w:rsidRPr="00ED7D78">
        <w:rPr>
          <w:rFonts w:ascii="Garamond" w:eastAsiaTheme="minorHAnsi" w:hAnsi="Garamond" w:cs="Times New Roman"/>
          <w:b/>
          <w:kern w:val="0"/>
          <w:lang w:eastAsia="ja-JP"/>
          <w14:ligatures w14:val="none"/>
        </w:rPr>
        <w:t>KONOMIKE, FISKALE DHE BUXHETORE</w:t>
      </w:r>
    </w:p>
    <w:p w14:paraId="4036A6D8" w14:textId="77777777" w:rsidR="00F33AF1" w:rsidRPr="00ED7D78" w:rsidRDefault="00F33AF1" w:rsidP="004767A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73689B0" w14:textId="0B4BE09A" w:rsidR="007A4009" w:rsidRPr="00ED7D78" w:rsidRDefault="00215333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Në mbështetje të nenit 16, të ligjit nr. 57, datë 2.6.2016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“Për disa ndryshime dhe shtesa në ligjin nr. 9936, datë 26.6.2008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</w:t>
      </w:r>
      <w:r w:rsidR="00ED7D78">
        <w:rPr>
          <w:rFonts w:ascii="Garamond" w:hAnsi="Garamond" w:cs="Times New Roman"/>
        </w:rPr>
        <w:t>‘</w:t>
      </w:r>
      <w:r w:rsidRPr="00ED7D78">
        <w:rPr>
          <w:rFonts w:ascii="Garamond" w:hAnsi="Garamond" w:cs="Times New Roman"/>
        </w:rPr>
        <w:t>Për menaxhimin e sistemit buxh</w:t>
      </w:r>
      <w:r w:rsidR="00ED7D78">
        <w:rPr>
          <w:rFonts w:ascii="Garamond" w:hAnsi="Garamond" w:cs="Times New Roman"/>
        </w:rPr>
        <w:t>etor në Republikën e Shqipërisë’</w:t>
      </w:r>
      <w:r w:rsidRPr="00ED7D78">
        <w:rPr>
          <w:rFonts w:ascii="Garamond" w:hAnsi="Garamond" w:cs="Times New Roman"/>
        </w:rPr>
        <w:t>, i</w:t>
      </w:r>
      <w:r w:rsidR="00ED7D78">
        <w:rPr>
          <w:rFonts w:ascii="Garamond" w:hAnsi="Garamond" w:cs="Times New Roman"/>
        </w:rPr>
        <w:t xml:space="preserve"> ndryshuar”, ministri i Financave</w:t>
      </w:r>
      <w:r w:rsidR="006801B8" w:rsidRPr="00ED7D78">
        <w:rPr>
          <w:rFonts w:ascii="Garamond" w:hAnsi="Garamond" w:cs="Times New Roman"/>
        </w:rPr>
        <w:t>:</w:t>
      </w:r>
    </w:p>
    <w:p w14:paraId="49A1C4FD" w14:textId="6B1DE835" w:rsidR="00215333" w:rsidRPr="00ED7D78" w:rsidRDefault="00215333" w:rsidP="004767A6">
      <w:pPr>
        <w:spacing w:after="0" w:line="240" w:lineRule="auto"/>
        <w:ind w:firstLine="284"/>
        <w:jc w:val="center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UDHËZON</w:t>
      </w:r>
      <w:r w:rsidR="001B6A36" w:rsidRPr="00ED7D78">
        <w:rPr>
          <w:rFonts w:ascii="Garamond" w:hAnsi="Garamond" w:cs="Times New Roman"/>
        </w:rPr>
        <w:t>:</w:t>
      </w:r>
    </w:p>
    <w:p w14:paraId="0689EF02" w14:textId="77777777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74A2C26A" w14:textId="59B3E959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I. TË PËRGJITHSHME</w:t>
      </w:r>
    </w:p>
    <w:p w14:paraId="39C91D58" w14:textId="313A0E35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 xml:space="preserve">a) Ky udhëzim përcakton kriteret, formatet dhe afatet për hartimin dhe publikimin e raportit mbi devijimet ndërmjet parashikimeve makroekonomike dhe fiskale për vitin </w:t>
      </w:r>
      <w:r w:rsidRPr="00ED7D78">
        <w:rPr>
          <w:rFonts w:ascii="Garamond" w:hAnsi="Garamond" w:cs="Times New Roman"/>
          <w:i/>
        </w:rPr>
        <w:t>t</w:t>
      </w:r>
      <w:r w:rsidRPr="00ED7D78">
        <w:rPr>
          <w:rFonts w:ascii="Garamond" w:hAnsi="Garamond" w:cs="Times New Roman"/>
        </w:rPr>
        <w:t xml:space="preserve">, të ardhurave dhe shpenzimeve të miratuara në ligjin e buxhetit për vitin </w:t>
      </w:r>
      <w:r w:rsidRPr="00ED7D78">
        <w:rPr>
          <w:rFonts w:ascii="Garamond" w:hAnsi="Garamond" w:cs="Times New Roman"/>
          <w:i/>
        </w:rPr>
        <w:t>t</w:t>
      </w:r>
      <w:r w:rsidRPr="00ED7D78">
        <w:rPr>
          <w:rFonts w:ascii="Garamond" w:hAnsi="Garamond" w:cs="Times New Roman"/>
        </w:rPr>
        <w:t xml:space="preserve">, dhe parashikimeve të përcaktuara në Kuadrin Makroekonomik dhe fiskal të miratuar në janar të çdo viti për vitin </w:t>
      </w:r>
      <w:r w:rsidRPr="00ED7D78">
        <w:rPr>
          <w:rFonts w:ascii="Garamond" w:hAnsi="Garamond" w:cs="Times New Roman"/>
          <w:i/>
        </w:rPr>
        <w:t>t</w:t>
      </w:r>
      <w:r w:rsidR="00ED7D78">
        <w:rPr>
          <w:rFonts w:ascii="Garamond" w:hAnsi="Garamond" w:cs="Times New Roman"/>
        </w:rPr>
        <w:t>;</w:t>
      </w:r>
    </w:p>
    <w:p w14:paraId="73778DEF" w14:textId="12C27BC8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b) Dokument</w:t>
      </w:r>
      <w:r w:rsidR="00ED7D78">
        <w:rPr>
          <w:rFonts w:ascii="Garamond" w:hAnsi="Garamond" w:cs="Times New Roman"/>
        </w:rPr>
        <w:t>e</w:t>
      </w:r>
      <w:r w:rsidRPr="00ED7D78">
        <w:rPr>
          <w:rFonts w:ascii="Garamond" w:hAnsi="Garamond" w:cs="Times New Roman"/>
        </w:rPr>
        <w:t>t zyrtar</w:t>
      </w:r>
      <w:r w:rsidR="00ED7D78">
        <w:rPr>
          <w:rFonts w:ascii="Garamond" w:hAnsi="Garamond" w:cs="Times New Roman"/>
        </w:rPr>
        <w:t>e</w:t>
      </w:r>
      <w:r w:rsidRPr="00ED7D78">
        <w:rPr>
          <w:rFonts w:ascii="Garamond" w:hAnsi="Garamond" w:cs="Times New Roman"/>
        </w:rPr>
        <w:t xml:space="preserve"> të cilat do të përdoren për përllogaritjen e këtyre devijancave janë:</w:t>
      </w:r>
    </w:p>
    <w:p w14:paraId="4C8D0947" w14:textId="5CA4503D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Kuadri </w:t>
      </w:r>
      <w:r w:rsidRPr="00ED7D78">
        <w:rPr>
          <w:rFonts w:ascii="Garamond" w:hAnsi="Garamond" w:cs="Times New Roman"/>
        </w:rPr>
        <w:t xml:space="preserve">makroekonomik dhe fiskal </w:t>
      </w:r>
      <w:r w:rsidR="002E3584" w:rsidRPr="00ED7D78">
        <w:rPr>
          <w:rFonts w:ascii="Garamond" w:hAnsi="Garamond" w:cs="Times New Roman"/>
        </w:rPr>
        <w:t xml:space="preserve">i miratuar në </w:t>
      </w:r>
      <w:r>
        <w:rPr>
          <w:rFonts w:ascii="Garamond" w:hAnsi="Garamond" w:cs="Times New Roman"/>
        </w:rPr>
        <w:t>j</w:t>
      </w:r>
      <w:r w:rsidR="002E3584" w:rsidRPr="00ED7D78">
        <w:rPr>
          <w:rFonts w:ascii="Garamond" w:hAnsi="Garamond" w:cs="Times New Roman"/>
        </w:rPr>
        <w:t xml:space="preserve">anar për vitet, </w:t>
      </w:r>
      <w:r w:rsidR="002E3584" w:rsidRPr="00ED7D78">
        <w:rPr>
          <w:rFonts w:ascii="Garamond" w:hAnsi="Garamond" w:cs="Times New Roman"/>
          <w:i/>
        </w:rPr>
        <w:t>t</w:t>
      </w:r>
      <w:r w:rsidR="002E3584" w:rsidRPr="00ED7D78">
        <w:rPr>
          <w:rFonts w:ascii="Garamond" w:hAnsi="Garamond" w:cs="Times New Roman"/>
        </w:rPr>
        <w:t xml:space="preserve">, </w:t>
      </w:r>
      <w:r w:rsidR="002E3584" w:rsidRPr="00ED7D78">
        <w:rPr>
          <w:rFonts w:ascii="Garamond" w:hAnsi="Garamond" w:cs="Times New Roman"/>
          <w:i/>
        </w:rPr>
        <w:t>t+1</w:t>
      </w:r>
      <w:r w:rsidR="002E3584" w:rsidRPr="00ED7D78">
        <w:rPr>
          <w:rFonts w:ascii="Garamond" w:hAnsi="Garamond" w:cs="Times New Roman"/>
        </w:rPr>
        <w:t xml:space="preserve">, </w:t>
      </w:r>
      <w:r w:rsidR="002E3584" w:rsidRPr="00ED7D78">
        <w:rPr>
          <w:rFonts w:ascii="Garamond" w:hAnsi="Garamond" w:cs="Times New Roman"/>
          <w:i/>
        </w:rPr>
        <w:t>t+2</w:t>
      </w:r>
      <w:r w:rsidR="002E3584" w:rsidRPr="00ED7D78">
        <w:rPr>
          <w:rFonts w:ascii="Garamond" w:hAnsi="Garamond" w:cs="Times New Roman"/>
        </w:rPr>
        <w:t>, dokumenti që drejton</w:t>
      </w:r>
      <w:r>
        <w:rPr>
          <w:rFonts w:ascii="Garamond" w:hAnsi="Garamond" w:cs="Times New Roman"/>
        </w:rPr>
        <w:t xml:space="preserve"> kuadrin buxhetor afatmesëm;</w:t>
      </w:r>
    </w:p>
    <w:p w14:paraId="59A9C195" w14:textId="1F3E2913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Ligji vjetor i </w:t>
      </w:r>
      <w:r w:rsidRPr="00ED7D78">
        <w:rPr>
          <w:rFonts w:ascii="Garamond" w:hAnsi="Garamond" w:cs="Times New Roman"/>
        </w:rPr>
        <w:t xml:space="preserve">buxhetit të shtetit </w:t>
      </w:r>
      <w:r w:rsidR="002E3584" w:rsidRPr="00ED7D78">
        <w:rPr>
          <w:rFonts w:ascii="Garamond" w:hAnsi="Garamond" w:cs="Times New Roman"/>
        </w:rPr>
        <w:t xml:space="preserve">për vitin </w:t>
      </w:r>
      <w:r w:rsidR="002E3584" w:rsidRPr="00ED7D78">
        <w:rPr>
          <w:rFonts w:ascii="Garamond" w:hAnsi="Garamond" w:cs="Times New Roman"/>
          <w:i/>
        </w:rPr>
        <w:t>t</w:t>
      </w:r>
      <w:r>
        <w:rPr>
          <w:rFonts w:ascii="Garamond" w:hAnsi="Garamond" w:cs="Times New Roman"/>
        </w:rPr>
        <w:t>.</w:t>
      </w:r>
    </w:p>
    <w:p w14:paraId="60745455" w14:textId="77777777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 xml:space="preserve">Për parashikimet makroekonomike dhe fiskale afatmesme të cilat nuk janë të publikuara si pjesë e ligjit vjetor të buxhetit, do të përdoret si dokument referues paketa shoqëruese e projektligjit vjetor të buxhetit. </w:t>
      </w:r>
    </w:p>
    <w:p w14:paraId="69D42D99" w14:textId="7EB50639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a</w:t>
      </w:r>
      <w:r w:rsidR="00ED7D78">
        <w:rPr>
          <w:rFonts w:ascii="Garamond" w:hAnsi="Garamond" w:cs="Times New Roman"/>
        </w:rPr>
        <w:t>)</w:t>
      </w:r>
      <w:r w:rsidRPr="00ED7D78">
        <w:rPr>
          <w:rFonts w:ascii="Garamond" w:hAnsi="Garamond" w:cs="Times New Roman"/>
        </w:rPr>
        <w:t xml:space="preserve"> Raporti i devijancave duhet të përmbajë dhe një analizë të përputhshmërisë me rregullat fiskale të përcaktuara në </w:t>
      </w:r>
      <w:r w:rsidR="00ED7D78">
        <w:rPr>
          <w:rFonts w:ascii="Garamond" w:hAnsi="Garamond" w:cs="Times New Roman"/>
        </w:rPr>
        <w:t>l</w:t>
      </w:r>
      <w:r w:rsidRPr="00ED7D78">
        <w:rPr>
          <w:rFonts w:ascii="Garamond" w:hAnsi="Garamond" w:cs="Times New Roman"/>
        </w:rPr>
        <w:t>igjin nr. 57/2016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“Për </w:t>
      </w:r>
      <w:r w:rsidR="00ED7D78" w:rsidRPr="00ED7D78">
        <w:rPr>
          <w:rFonts w:ascii="Garamond" w:hAnsi="Garamond" w:cs="Times New Roman"/>
        </w:rPr>
        <w:t>ligjin organik të buxhe</w:t>
      </w:r>
      <w:r w:rsidRPr="00ED7D78">
        <w:rPr>
          <w:rFonts w:ascii="Garamond" w:hAnsi="Garamond" w:cs="Times New Roman"/>
        </w:rPr>
        <w:t>tit”, veçanërisht për:</w:t>
      </w:r>
    </w:p>
    <w:p w14:paraId="0BE635EE" w14:textId="4025935B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Balancën primare;</w:t>
      </w:r>
    </w:p>
    <w:p w14:paraId="19AF9BCB" w14:textId="2C06E2AB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Nivelin e borxhit publik;</w:t>
      </w:r>
    </w:p>
    <w:p w14:paraId="00F8744C" w14:textId="001BD965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Defiçitin buxhetor në raport me madhësinë e shpenzimeve kapitale.</w:t>
      </w:r>
    </w:p>
    <w:p w14:paraId="569227E7" w14:textId="77777777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II. KRITERET PËR PËRLLOGARITJEN E DEVIJANCAVE DHE FORMATI I RAPORTIMIT</w:t>
      </w:r>
    </w:p>
    <w:p w14:paraId="4011ADC6" w14:textId="3D143625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a) Për qëllimet e këtij udhëzimi, devijimet e parashikimeve makroekonomike do të përfshijnë, por nuk kufizohen në treguesit:</w:t>
      </w:r>
    </w:p>
    <w:p w14:paraId="35BB2B56" w14:textId="563627BE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1. Objektivi i Balancës Buxhetore (si përqindje ndaj PBB</w:t>
      </w:r>
      <w:r w:rsidR="00ED7D78">
        <w:rPr>
          <w:rFonts w:ascii="Garamond" w:hAnsi="Garamond" w:cs="Times New Roman"/>
        </w:rPr>
        <w:t>-së</w:t>
      </w:r>
      <w:r w:rsidRPr="00ED7D78">
        <w:rPr>
          <w:rFonts w:ascii="Garamond" w:hAnsi="Garamond" w:cs="Times New Roman"/>
        </w:rPr>
        <w:t>);</w:t>
      </w:r>
    </w:p>
    <w:p w14:paraId="376DE2D0" w14:textId="77379ACB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2. Objektivi i Balancës Primare (si përqindje ndaj PBB</w:t>
      </w:r>
      <w:r w:rsidR="00ED7D78">
        <w:rPr>
          <w:rFonts w:ascii="Garamond" w:hAnsi="Garamond" w:cs="Times New Roman"/>
        </w:rPr>
        <w:t>-së</w:t>
      </w:r>
      <w:r w:rsidRPr="00ED7D78">
        <w:rPr>
          <w:rFonts w:ascii="Garamond" w:hAnsi="Garamond" w:cs="Times New Roman"/>
        </w:rPr>
        <w:t>);</w:t>
      </w:r>
    </w:p>
    <w:p w14:paraId="42B129DA" w14:textId="1BCFC4CA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3. Stoku i Borxhit Publik (si përqindje ndaj PBB</w:t>
      </w:r>
      <w:r w:rsidR="00ED7D78">
        <w:rPr>
          <w:rFonts w:ascii="Garamond" w:hAnsi="Garamond" w:cs="Times New Roman"/>
        </w:rPr>
        <w:t>-së</w:t>
      </w:r>
      <w:r w:rsidR="00ED7D78">
        <w:rPr>
          <w:rFonts w:ascii="Garamond" w:hAnsi="Garamond" w:cs="Times New Roman"/>
        </w:rPr>
        <w:t>).</w:t>
      </w:r>
    </w:p>
    <w:p w14:paraId="7DBED567" w14:textId="75437D2A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Çdo devijim nga kuadri afatmesëm buxhetor duhet të shoqërohet me një shpjegim analitik të detajuar të faktorëve ekonomikë, fiskalë ose faktorëve të tjerë relevantë</w:t>
      </w:r>
      <w:r w:rsidR="00ED7D78">
        <w:rPr>
          <w:rFonts w:ascii="Garamond" w:hAnsi="Garamond" w:cs="Times New Roman"/>
        </w:rPr>
        <w:t xml:space="preserve"> që kanë shkaktuar këtë devijim;</w:t>
      </w:r>
    </w:p>
    <w:p w14:paraId="32CD5AC1" w14:textId="5694D1EC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b) Devijancat e të ardhurave duhet të përfshijnë:</w:t>
      </w:r>
    </w:p>
    <w:p w14:paraId="0B1F7C14" w14:textId="04CF4014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1. Grantet;</w:t>
      </w:r>
    </w:p>
    <w:p w14:paraId="51E7B633" w14:textId="1DDA046D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2. Të ardhurat nga taksat dhe doganat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dhe kontributet e sigurimeve shoqërore dhe shëndetësore;</w:t>
      </w:r>
    </w:p>
    <w:p w14:paraId="41459F70" w14:textId="12F71881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3. Të ardhurat nga njësitë e vetëqeverisjes vendore;</w:t>
      </w:r>
    </w:p>
    <w:p w14:paraId="27026E85" w14:textId="28D60840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4. Të ardhurat jo</w:t>
      </w:r>
      <w:r w:rsidR="002E3584" w:rsidRPr="00ED7D78">
        <w:rPr>
          <w:rFonts w:ascii="Garamond" w:hAnsi="Garamond" w:cs="Times New Roman"/>
        </w:rPr>
        <w:t>tatimore.</w:t>
      </w:r>
    </w:p>
    <w:p w14:paraId="2356AE33" w14:textId="7DFB3DAA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 xml:space="preserve">Për çdo devijim të parashikimit të të ardhurave në ligjin vjetor të buxhetit krahasuar me parashikimin e </w:t>
      </w:r>
      <w:r w:rsidR="00ED7D78">
        <w:rPr>
          <w:rFonts w:ascii="Garamond" w:hAnsi="Garamond" w:cs="Times New Roman"/>
        </w:rPr>
        <w:t>j</w:t>
      </w:r>
      <w:r w:rsidRPr="00ED7D78">
        <w:rPr>
          <w:rFonts w:ascii="Garamond" w:hAnsi="Garamond" w:cs="Times New Roman"/>
        </w:rPr>
        <w:t xml:space="preserve">anarit, burimet e devijimit (performanca fiskale, ndryshimet ligjore, faktorët ekonomikë etj., sipas </w:t>
      </w:r>
      <w:r w:rsidR="00ED7D78" w:rsidRPr="00ED7D78">
        <w:rPr>
          <w:rFonts w:ascii="Garamond" w:hAnsi="Garamond" w:cs="Times New Roman"/>
        </w:rPr>
        <w:t xml:space="preserve">urdhrit të ministrit </w:t>
      </w:r>
      <w:r w:rsidRPr="00ED7D78">
        <w:rPr>
          <w:rFonts w:ascii="Garamond" w:hAnsi="Garamond" w:cs="Times New Roman"/>
        </w:rPr>
        <w:t xml:space="preserve">të Financave nr. 61, datë 8 prill 2025, për miratimin e </w:t>
      </w:r>
      <w:r w:rsidRPr="00ED7D78">
        <w:rPr>
          <w:rFonts w:ascii="Garamond" w:hAnsi="Garamond" w:cs="Times New Roman"/>
        </w:rPr>
        <w:lastRenderedPageBreak/>
        <w:t>Dokumentit Standard mbi parashikimin dhe planifikimin e të ardhurave të buxhetit të shtetit)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duhet të specifikohen dhe analizohen për secilin lloj të ardhure të përmendur në pikën </w:t>
      </w:r>
      <w:r w:rsidR="00ED7D78">
        <w:rPr>
          <w:rFonts w:ascii="Garamond" w:hAnsi="Garamond" w:cs="Times New Roman"/>
        </w:rPr>
        <w:t>“</w:t>
      </w:r>
      <w:r w:rsidRPr="00ED7D78">
        <w:rPr>
          <w:rFonts w:ascii="Garamond" w:hAnsi="Garamond" w:cs="Times New Roman"/>
        </w:rPr>
        <w:t>b</w:t>
      </w:r>
      <w:r w:rsidR="00ED7D78">
        <w:rPr>
          <w:rFonts w:ascii="Garamond" w:hAnsi="Garamond" w:cs="Times New Roman"/>
        </w:rPr>
        <w:t>”;</w:t>
      </w:r>
    </w:p>
    <w:p w14:paraId="4F6591C0" w14:textId="77BAB88F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c) Për qëllimet e këtij udhëzimi, devijimet e parashikimeve të shpenzimeve do të përfshijnë, por nuk kufizohen në zërat:</w:t>
      </w:r>
    </w:p>
    <w:p w14:paraId="06954793" w14:textId="18959BDF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1. Shpenz</w:t>
      </w:r>
      <w:r w:rsidR="00ED7D78">
        <w:rPr>
          <w:rFonts w:ascii="Garamond" w:hAnsi="Garamond" w:cs="Times New Roman"/>
        </w:rPr>
        <w:t>imet e personelit;</w:t>
      </w:r>
    </w:p>
    <w:p w14:paraId="27E77732" w14:textId="3AE0B312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2. Shpenzi</w:t>
      </w:r>
      <w:r w:rsidR="00ED7D78">
        <w:rPr>
          <w:rFonts w:ascii="Garamond" w:hAnsi="Garamond" w:cs="Times New Roman"/>
        </w:rPr>
        <w:t>met operative dhe mirëmbajtjen;</w:t>
      </w:r>
    </w:p>
    <w:p w14:paraId="75D473C1" w14:textId="6B3F14D9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3. Subvencionet;</w:t>
      </w:r>
    </w:p>
    <w:p w14:paraId="7269B4F6" w14:textId="69AC891F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4. Fondet speciale;</w:t>
      </w:r>
    </w:p>
    <w:p w14:paraId="5C503953" w14:textId="1E0FBB03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5. Buxhetin e qeveris</w:t>
      </w:r>
      <w:r w:rsidR="00ED7D78">
        <w:rPr>
          <w:rFonts w:ascii="Garamond" w:hAnsi="Garamond" w:cs="Times New Roman"/>
        </w:rPr>
        <w:t>jes vendore;</w:t>
      </w:r>
    </w:p>
    <w:p w14:paraId="0CB41E04" w14:textId="1F1E6B8A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6. Shpenzimet kapitale;</w:t>
      </w:r>
    </w:p>
    <w:p w14:paraId="74F03267" w14:textId="442E5469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7. Shpenzime të tjera.</w:t>
      </w:r>
    </w:p>
    <w:p w14:paraId="1DAB5A95" w14:textId="634DC441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 xml:space="preserve">Çdo </w:t>
      </w:r>
      <w:r w:rsidR="00ED7D78">
        <w:rPr>
          <w:rFonts w:ascii="Garamond" w:hAnsi="Garamond" w:cs="Times New Roman"/>
        </w:rPr>
        <w:t xml:space="preserve">devijim i shpenzimeve për zëra </w:t>
      </w:r>
      <w:bookmarkStart w:id="0" w:name="_GoBack"/>
      <w:bookmarkEnd w:id="0"/>
      <w:r w:rsidRPr="00ED7D78">
        <w:rPr>
          <w:rFonts w:ascii="Garamond" w:hAnsi="Garamond" w:cs="Times New Roman"/>
        </w:rPr>
        <w:t>1–7 nga parashikimet e kuadrit makroekonomikë dhe fiskal</w:t>
      </w:r>
      <w:r w:rsidR="00ED7D78">
        <w:rPr>
          <w:rFonts w:ascii="Garamond" w:hAnsi="Garamond" w:cs="Times New Roman"/>
        </w:rPr>
        <w:t>,</w:t>
      </w:r>
      <w:r w:rsidRPr="00ED7D78">
        <w:rPr>
          <w:rFonts w:ascii="Garamond" w:hAnsi="Garamond" w:cs="Times New Roman"/>
        </w:rPr>
        <w:t xml:space="preserve"> duhet të shpjegohen dhe shoqërohet me referen</w:t>
      </w:r>
      <w:r w:rsidR="00ED7D78">
        <w:rPr>
          <w:rFonts w:ascii="Garamond" w:hAnsi="Garamond" w:cs="Times New Roman"/>
        </w:rPr>
        <w:t>cat e politikave që ato prekin;</w:t>
      </w:r>
    </w:p>
    <w:p w14:paraId="51BED8B3" w14:textId="1DA60CBC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d) Raporti i devijimeve duhet të përfshijë, por të mos kufizohet në:</w:t>
      </w:r>
    </w:p>
    <w:p w14:paraId="19665F33" w14:textId="507AF2C8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Një tabelë krahasuese të treguesve të miratuar në ligjin vjetor të buxhetit dhe atyre të parashikuar në janar që janë pjesë e kuadrit afatmesëm buxhetor; </w:t>
      </w:r>
    </w:p>
    <w:p w14:paraId="075EF7C8" w14:textId="108637F7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Një analizë narrative për çdo devijim të identifiku</w:t>
      </w:r>
      <w:r>
        <w:rPr>
          <w:rFonts w:ascii="Garamond" w:hAnsi="Garamond" w:cs="Times New Roman"/>
        </w:rPr>
        <w:t>ar;</w:t>
      </w:r>
    </w:p>
    <w:p w14:paraId="6154555F" w14:textId="761F4EDD" w:rsidR="002E3584" w:rsidRPr="00ED7D78" w:rsidRDefault="00ED7D78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-</w:t>
      </w:r>
      <w:r w:rsidR="002E3584" w:rsidRPr="00ED7D78">
        <w:rPr>
          <w:rFonts w:ascii="Garamond" w:hAnsi="Garamond" w:cs="Times New Roman"/>
        </w:rPr>
        <w:t xml:space="preserve"> Një analizë të ndikimit të këtyre devijimeve në objektivat fiskale afatmesme të përcaktuara në kornizën makrofiskale.</w:t>
      </w:r>
    </w:p>
    <w:p w14:paraId="166B987C" w14:textId="77777777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III. STRUKTURAT PËRGJEGJËSE DHE ROLI I TYRE</w:t>
      </w:r>
    </w:p>
    <w:p w14:paraId="0E13CD02" w14:textId="2F73C11E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a) Struktura përgjegjëse për parashikimet makroekonomike analizon dhe përgatit raportin e devijimeve për treguesit makroekonomikë.</w:t>
      </w:r>
    </w:p>
    <w:p w14:paraId="28AC76A8" w14:textId="3886F51C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b) Struktura përgjegjëse për parashikimet fiskale analizon dhe përgatit raportin e devijimeve për të ardhurat tatimore qendrore.</w:t>
      </w:r>
    </w:p>
    <w:p w14:paraId="7B50D5F5" w14:textId="4867F78E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c) Strukturat përgjegjëse për planifikimin e buxhetit, financat vendore dhe menaxhimin e investimeve publike analizojnë dhe përgatisin raportin e devijimeve për të ardhurat nga ndihma, të ardhurat jotatimore, të ardhurat vendore dhe shpenzimet buxhetore.</w:t>
      </w:r>
    </w:p>
    <w:p w14:paraId="672D0A6B" w14:textId="6A6DDE64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d) Raporti i konsoliduar i devijimeve përgatitet nga struktura përgjegjëse për planifikimin e buxhetit dhe publikohet në faqen zyrtare të Ministrisë së Financave brenda muajit janar të çdo viti.</w:t>
      </w:r>
    </w:p>
    <w:p w14:paraId="45F592CC" w14:textId="5E316BBE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 xml:space="preserve">e) Përjashtimisht për vitin 2025, raporti i devijancave do të publikohet brenda muajit </w:t>
      </w:r>
      <w:r w:rsidR="00ED7D78">
        <w:rPr>
          <w:rFonts w:ascii="Garamond" w:hAnsi="Garamond" w:cs="Times New Roman"/>
        </w:rPr>
        <w:t>p</w:t>
      </w:r>
      <w:r w:rsidRPr="00ED7D78">
        <w:rPr>
          <w:rFonts w:ascii="Garamond" w:hAnsi="Garamond" w:cs="Times New Roman"/>
        </w:rPr>
        <w:t>rill 2026.</w:t>
      </w:r>
    </w:p>
    <w:p w14:paraId="75802206" w14:textId="3113CE09" w:rsidR="00F33AF1" w:rsidRPr="00ED7D78" w:rsidRDefault="00B942F9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ED7D78">
        <w:rPr>
          <w:rFonts w:ascii="Garamond" w:hAnsi="Garamond" w:cs="Times New Roman"/>
        </w:rPr>
        <w:t>Ky udhëzim hyn në fuqi pas publikimit në Fletoren Zyrtare</w:t>
      </w:r>
      <w:r w:rsidR="006801B8" w:rsidRPr="00ED7D78">
        <w:rPr>
          <w:rFonts w:ascii="Garamond" w:hAnsi="Garamond" w:cs="Times New Roman"/>
        </w:rPr>
        <w:t>.</w:t>
      </w:r>
    </w:p>
    <w:p w14:paraId="5FD40A4E" w14:textId="77777777" w:rsidR="002E3584" w:rsidRPr="00ED7D78" w:rsidRDefault="002E3584" w:rsidP="004767A6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</w:p>
    <w:p w14:paraId="2A258140" w14:textId="5C3CC4D6" w:rsidR="007A4009" w:rsidRPr="00ED7D78" w:rsidRDefault="006801B8" w:rsidP="004767A6">
      <w:pPr>
        <w:pStyle w:val="Heading2"/>
        <w:spacing w:before="0" w:after="0" w:line="240" w:lineRule="auto"/>
        <w:ind w:firstLine="284"/>
        <w:jc w:val="right"/>
        <w:rPr>
          <w:rFonts w:ascii="Garamond" w:hAnsi="Garamond" w:cs="Times New Roman"/>
          <w:bCs/>
          <w:color w:val="auto"/>
          <w:sz w:val="24"/>
          <w:szCs w:val="24"/>
        </w:rPr>
      </w:pPr>
      <w:r w:rsidRPr="00ED7D78">
        <w:rPr>
          <w:rFonts w:ascii="Garamond" w:hAnsi="Garamond" w:cs="Times New Roman"/>
          <w:bCs/>
          <w:color w:val="auto"/>
          <w:sz w:val="24"/>
          <w:szCs w:val="24"/>
        </w:rPr>
        <w:t>MINIST</w:t>
      </w:r>
      <w:r w:rsidR="002E3584" w:rsidRPr="00ED7D78">
        <w:rPr>
          <w:rFonts w:ascii="Garamond" w:hAnsi="Garamond" w:cs="Times New Roman"/>
          <w:bCs/>
          <w:color w:val="auto"/>
          <w:sz w:val="24"/>
          <w:szCs w:val="24"/>
        </w:rPr>
        <w:t>ËR I FINANCAVE</w:t>
      </w:r>
    </w:p>
    <w:p w14:paraId="7BDC4AA4" w14:textId="26C4ED4F" w:rsidR="007A4009" w:rsidRPr="00ED7D78" w:rsidRDefault="002E3584" w:rsidP="004767A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</w:rPr>
      </w:pPr>
      <w:r w:rsidRPr="00ED7D78">
        <w:rPr>
          <w:rFonts w:ascii="Garamond" w:hAnsi="Garamond" w:cs="Times New Roman"/>
          <w:b/>
          <w:bCs/>
        </w:rPr>
        <w:t>Petrit Malaj</w:t>
      </w:r>
    </w:p>
    <w:sectPr w:rsidR="007A4009" w:rsidRPr="00ED7D78" w:rsidSect="00723571">
      <w:pgSz w:w="12240" w:h="15840"/>
      <w:pgMar w:top="180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15C8C" w14:textId="77777777" w:rsidR="00043DDD" w:rsidRDefault="00043DDD" w:rsidP="00F33AF1">
      <w:pPr>
        <w:spacing w:after="0" w:line="240" w:lineRule="auto"/>
      </w:pPr>
      <w:r>
        <w:separator/>
      </w:r>
    </w:p>
  </w:endnote>
  <w:endnote w:type="continuationSeparator" w:id="0">
    <w:p w14:paraId="7AB7E9C2" w14:textId="77777777" w:rsidR="00043DDD" w:rsidRDefault="00043DDD" w:rsidP="00F33AF1">
      <w:pPr>
        <w:spacing w:after="0" w:line="240" w:lineRule="auto"/>
      </w:pPr>
      <w:r>
        <w:continuationSeparator/>
      </w:r>
    </w:p>
  </w:endnote>
  <w:endnote w:type="continuationNotice" w:id="1">
    <w:p w14:paraId="78E8F73A" w14:textId="77777777" w:rsidR="00361A4B" w:rsidRDefault="00361A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B8CB2" w14:textId="77777777" w:rsidR="00043DDD" w:rsidRDefault="00043DDD" w:rsidP="00F33AF1">
      <w:pPr>
        <w:spacing w:after="0" w:line="240" w:lineRule="auto"/>
      </w:pPr>
      <w:r>
        <w:separator/>
      </w:r>
    </w:p>
  </w:footnote>
  <w:footnote w:type="continuationSeparator" w:id="0">
    <w:p w14:paraId="64864A40" w14:textId="77777777" w:rsidR="00043DDD" w:rsidRDefault="00043DDD" w:rsidP="00F33AF1">
      <w:pPr>
        <w:spacing w:after="0" w:line="240" w:lineRule="auto"/>
      </w:pPr>
      <w:r>
        <w:continuationSeparator/>
      </w:r>
    </w:p>
  </w:footnote>
  <w:footnote w:type="continuationNotice" w:id="1">
    <w:p w14:paraId="33378F36" w14:textId="77777777" w:rsidR="00361A4B" w:rsidRDefault="00361A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C4575"/>
    <w:multiLevelType w:val="hybridMultilevel"/>
    <w:tmpl w:val="9D508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0B113482"/>
    <w:multiLevelType w:val="hybridMultilevel"/>
    <w:tmpl w:val="B23657D8"/>
    <w:lvl w:ilvl="0" w:tplc="33ACCE1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B3101C3"/>
    <w:multiLevelType w:val="hybridMultilevel"/>
    <w:tmpl w:val="5E44E8C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9746E9"/>
    <w:multiLevelType w:val="hybridMultilevel"/>
    <w:tmpl w:val="7AF0D34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987657"/>
    <w:multiLevelType w:val="hybridMultilevel"/>
    <w:tmpl w:val="60CE18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713034"/>
    <w:multiLevelType w:val="hybridMultilevel"/>
    <w:tmpl w:val="F6829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6425F"/>
    <w:multiLevelType w:val="hybridMultilevel"/>
    <w:tmpl w:val="07EC2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D5796"/>
    <w:multiLevelType w:val="hybridMultilevel"/>
    <w:tmpl w:val="02C235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25175"/>
    <w:multiLevelType w:val="hybridMultilevel"/>
    <w:tmpl w:val="DBA6221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9D1C6E"/>
    <w:multiLevelType w:val="hybridMultilevel"/>
    <w:tmpl w:val="D612F9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2C5651"/>
    <w:multiLevelType w:val="hybridMultilevel"/>
    <w:tmpl w:val="817A9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61B89"/>
    <w:multiLevelType w:val="hybridMultilevel"/>
    <w:tmpl w:val="0A7A3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97F24"/>
    <w:multiLevelType w:val="hybridMultilevel"/>
    <w:tmpl w:val="A8067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554CC0"/>
    <w:multiLevelType w:val="hybridMultilevel"/>
    <w:tmpl w:val="11787C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73786"/>
    <w:multiLevelType w:val="hybridMultilevel"/>
    <w:tmpl w:val="8ED272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A7F54"/>
    <w:multiLevelType w:val="hybridMultilevel"/>
    <w:tmpl w:val="1452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5666C6"/>
    <w:multiLevelType w:val="hybridMultilevel"/>
    <w:tmpl w:val="0D7EDE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693E27"/>
    <w:multiLevelType w:val="hybridMultilevel"/>
    <w:tmpl w:val="57F2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175D9"/>
    <w:multiLevelType w:val="hybridMultilevel"/>
    <w:tmpl w:val="F5B6F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C4F40"/>
    <w:multiLevelType w:val="hybridMultilevel"/>
    <w:tmpl w:val="EF868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4B458F"/>
    <w:multiLevelType w:val="hybridMultilevel"/>
    <w:tmpl w:val="ECE6B4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4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5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6D4966E2"/>
    <w:multiLevelType w:val="hybridMultilevel"/>
    <w:tmpl w:val="5FD277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1E65CDE"/>
    <w:multiLevelType w:val="hybridMultilevel"/>
    <w:tmpl w:val="0840D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526E23"/>
    <w:multiLevelType w:val="hybridMultilevel"/>
    <w:tmpl w:val="E300F52E"/>
    <w:lvl w:ilvl="0" w:tplc="FFFFFFFF">
      <w:start w:val="1"/>
      <w:numFmt w:val="lowerLetter"/>
      <w:lvlText w:val="%1)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3E0FEE"/>
    <w:multiLevelType w:val="hybridMultilevel"/>
    <w:tmpl w:val="60E6F5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35"/>
  </w:num>
  <w:num w:numId="13">
    <w:abstractNumId w:val="34"/>
  </w:num>
  <w:num w:numId="14">
    <w:abstractNumId w:val="33"/>
  </w:num>
  <w:num w:numId="15">
    <w:abstractNumId w:val="40"/>
  </w:num>
  <w:num w:numId="16">
    <w:abstractNumId w:val="23"/>
  </w:num>
  <w:num w:numId="17">
    <w:abstractNumId w:val="27"/>
  </w:num>
  <w:num w:numId="18">
    <w:abstractNumId w:val="19"/>
  </w:num>
  <w:num w:numId="19">
    <w:abstractNumId w:val="30"/>
  </w:num>
  <w:num w:numId="20">
    <w:abstractNumId w:val="13"/>
  </w:num>
  <w:num w:numId="21">
    <w:abstractNumId w:val="39"/>
  </w:num>
  <w:num w:numId="22">
    <w:abstractNumId w:val="32"/>
  </w:num>
  <w:num w:numId="23">
    <w:abstractNumId w:val="37"/>
  </w:num>
  <w:num w:numId="24">
    <w:abstractNumId w:val="22"/>
  </w:num>
  <w:num w:numId="25">
    <w:abstractNumId w:val="15"/>
  </w:num>
  <w:num w:numId="26">
    <w:abstractNumId w:val="38"/>
  </w:num>
  <w:num w:numId="27">
    <w:abstractNumId w:val="21"/>
  </w:num>
  <w:num w:numId="28">
    <w:abstractNumId w:val="28"/>
  </w:num>
  <w:num w:numId="29">
    <w:abstractNumId w:val="18"/>
  </w:num>
  <w:num w:numId="30">
    <w:abstractNumId w:val="16"/>
  </w:num>
  <w:num w:numId="31">
    <w:abstractNumId w:val="17"/>
  </w:num>
  <w:num w:numId="32">
    <w:abstractNumId w:val="29"/>
  </w:num>
  <w:num w:numId="33">
    <w:abstractNumId w:val="10"/>
  </w:num>
  <w:num w:numId="34">
    <w:abstractNumId w:val="25"/>
  </w:num>
  <w:num w:numId="35">
    <w:abstractNumId w:val="12"/>
  </w:num>
  <w:num w:numId="36">
    <w:abstractNumId w:val="14"/>
  </w:num>
  <w:num w:numId="37">
    <w:abstractNumId w:val="36"/>
  </w:num>
  <w:num w:numId="38">
    <w:abstractNumId w:val="20"/>
  </w:num>
  <w:num w:numId="39">
    <w:abstractNumId w:val="26"/>
  </w:num>
  <w:num w:numId="40">
    <w:abstractNumId w:val="31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F65A7"/>
    <w:rsid w:val="00043DDD"/>
    <w:rsid w:val="00063067"/>
    <w:rsid w:val="000E4AF4"/>
    <w:rsid w:val="0013570E"/>
    <w:rsid w:val="001A1879"/>
    <w:rsid w:val="001B6A36"/>
    <w:rsid w:val="001E7228"/>
    <w:rsid w:val="001F40EA"/>
    <w:rsid w:val="00215333"/>
    <w:rsid w:val="002720A1"/>
    <w:rsid w:val="002A05B7"/>
    <w:rsid w:val="002E3584"/>
    <w:rsid w:val="002E51AB"/>
    <w:rsid w:val="002F311B"/>
    <w:rsid w:val="0031044B"/>
    <w:rsid w:val="00324B44"/>
    <w:rsid w:val="00355EDA"/>
    <w:rsid w:val="00361A4B"/>
    <w:rsid w:val="0036562D"/>
    <w:rsid w:val="003C51BF"/>
    <w:rsid w:val="003C5D28"/>
    <w:rsid w:val="003D60DE"/>
    <w:rsid w:val="004767A6"/>
    <w:rsid w:val="004976E0"/>
    <w:rsid w:val="004E5132"/>
    <w:rsid w:val="004F5477"/>
    <w:rsid w:val="005210D7"/>
    <w:rsid w:val="005A534A"/>
    <w:rsid w:val="005A53F7"/>
    <w:rsid w:val="005E3954"/>
    <w:rsid w:val="00630E2E"/>
    <w:rsid w:val="00665299"/>
    <w:rsid w:val="00671DBD"/>
    <w:rsid w:val="006801B8"/>
    <w:rsid w:val="006A32A0"/>
    <w:rsid w:val="006A50E7"/>
    <w:rsid w:val="006D37AE"/>
    <w:rsid w:val="00723571"/>
    <w:rsid w:val="007A4009"/>
    <w:rsid w:val="007F6065"/>
    <w:rsid w:val="00823C6B"/>
    <w:rsid w:val="00827C87"/>
    <w:rsid w:val="00827C91"/>
    <w:rsid w:val="00897167"/>
    <w:rsid w:val="008C4B1B"/>
    <w:rsid w:val="008C7852"/>
    <w:rsid w:val="00927A09"/>
    <w:rsid w:val="00942C65"/>
    <w:rsid w:val="009921E3"/>
    <w:rsid w:val="00994130"/>
    <w:rsid w:val="00A04B4C"/>
    <w:rsid w:val="00A051E5"/>
    <w:rsid w:val="00A111CB"/>
    <w:rsid w:val="00A20880"/>
    <w:rsid w:val="00A328D4"/>
    <w:rsid w:val="00A352C8"/>
    <w:rsid w:val="00AD7498"/>
    <w:rsid w:val="00AE6D19"/>
    <w:rsid w:val="00B05791"/>
    <w:rsid w:val="00B41C2B"/>
    <w:rsid w:val="00B942F9"/>
    <w:rsid w:val="00BF2498"/>
    <w:rsid w:val="00C06219"/>
    <w:rsid w:val="00C26D93"/>
    <w:rsid w:val="00C27141"/>
    <w:rsid w:val="00C60764"/>
    <w:rsid w:val="00CA717F"/>
    <w:rsid w:val="00CD7432"/>
    <w:rsid w:val="00D25515"/>
    <w:rsid w:val="00D32292"/>
    <w:rsid w:val="00D52351"/>
    <w:rsid w:val="00D52B48"/>
    <w:rsid w:val="00D75435"/>
    <w:rsid w:val="00DA6C12"/>
    <w:rsid w:val="00DB1CD8"/>
    <w:rsid w:val="00DD1166"/>
    <w:rsid w:val="00DE5146"/>
    <w:rsid w:val="00DF2FBF"/>
    <w:rsid w:val="00DF50FE"/>
    <w:rsid w:val="00E235B1"/>
    <w:rsid w:val="00E621F5"/>
    <w:rsid w:val="00E642DF"/>
    <w:rsid w:val="00E66879"/>
    <w:rsid w:val="00EA308D"/>
    <w:rsid w:val="00ED7D78"/>
    <w:rsid w:val="00F22979"/>
    <w:rsid w:val="00F33AF1"/>
    <w:rsid w:val="00F951F2"/>
    <w:rsid w:val="00FB3053"/>
    <w:rsid w:val="00FB3270"/>
    <w:rsid w:val="00FC2E7B"/>
    <w:rsid w:val="00FE1FC4"/>
    <w:rsid w:val="00FF6615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EB1E9A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801B8"/>
    <w:rPr>
      <w:sz w:val="16"/>
      <w:szCs w:val="16"/>
    </w:rPr>
  </w:style>
  <w:style w:type="paragraph" w:styleId="Revision">
    <w:name w:val="Revision"/>
    <w:hidden/>
    <w:uiPriority w:val="99"/>
    <w:semiHidden/>
    <w:rsid w:val="004E5132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15333"/>
  </w:style>
  <w:style w:type="character" w:styleId="Strong">
    <w:name w:val="Strong"/>
    <w:basedOn w:val="DefaultParagraphFont"/>
    <w:uiPriority w:val="22"/>
    <w:qFormat/>
    <w:rsid w:val="00B942F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AD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E5E4CF61B9446AB4694BBE754C56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2026-04-09T09:38:48Z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2026-04-08T00:00:00Z</Date_x0020_protokolli>
    <Titulli xmlns="0e656187-b300-4fb0-8bf4-3a50f872073c">Për përgatitjen dhe publikimin e raportit të devijancave të parashikimeve makroekonomike, fiskale dhe buxhetore</Titulli>
    <Modifikuesi xmlns="0e656187-b300-4fb0-8bf4-3a50f872073c">elnejda.cokalli</Modifikuesi>
    <Nr_x002e__x0020_prot_x0020_QBZ xmlns="0e656187-b300-4fb0-8bf4-3a50f872073c">740/1</Nr_x002e__x0020_prot_x0020_QBZ>
    <Data_x0020_e_x0020_Modifikimit xmlns="0e656187-b300-4fb0-8bf4-3a50f872073c">2026-04-09T09:51:44Z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5412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3CBE20-2D3F-4963-B5E0-797A4821F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94B885-97D4-40E3-90DC-6E47A4C21871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15F565-743A-4CF5-B1F9-98EF84ED8F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përgatitjen dhe publikimin e raportit të devijancave të parashikimeve makroekonomike, fiskale dhe buxhetore</dc:title>
  <dc:creator>Ina Dhaskali</dc:creator>
  <cp:lastModifiedBy>fjora.cahani</cp:lastModifiedBy>
  <cp:revision>8</cp:revision>
  <dcterms:created xsi:type="dcterms:W3CDTF">2026-04-08T11:35:00Z</dcterms:created>
  <dcterms:modified xsi:type="dcterms:W3CDTF">2026-04-09T09:12:00Z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2026-01-14T17:16:40Z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89a42c45-13dd-4524-925b-94b73a8840d4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