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BD5" w:rsidRPr="00964ED6" w:rsidRDefault="004A6BD5" w:rsidP="004A6BD5">
      <w:pPr>
        <w:pStyle w:val="Paragrafi"/>
      </w:pPr>
      <w:bookmarkStart w:id="0" w:name="_GoBack"/>
      <w:bookmarkEnd w:id="0"/>
    </w:p>
    <w:p w:rsidR="004A6BD5" w:rsidRPr="00964ED6" w:rsidRDefault="004A6BD5" w:rsidP="004A6BD5">
      <w:pPr>
        <w:pStyle w:val="Akti"/>
      </w:pPr>
      <w:r w:rsidRPr="00964ED6">
        <w:t>U D H Ë Z I M</w:t>
      </w:r>
    </w:p>
    <w:p w:rsidR="004A6BD5" w:rsidRPr="00964ED6" w:rsidRDefault="004A6BD5" w:rsidP="004A6BD5">
      <w:pPr>
        <w:pStyle w:val="NumriData"/>
      </w:pPr>
      <w:r w:rsidRPr="00964ED6">
        <w:t>Nr. 5167, datë 26. 12. 2002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Titulli"/>
      </w:pPr>
      <w:r w:rsidRPr="00964ED6">
        <w:t xml:space="preserve"> MBI  ORGANIZIMIN  E  QARKULLIMIT  DHE  SINJALIZIMIT  RRUGOR 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BazLigjPropozues"/>
      </w:pPr>
      <w:r w:rsidRPr="00964ED6">
        <w:t>Në mbështetje të nenit 102 pika 4 të Kushtetutës së Republikës së Shqipërisë, të ligjit nr. 8378, datë 22. 7. 1998 “Kodi Rrugor i Republikës së Shqipërisë”, nenet 6, 7 dhe 35, 36, për organizimin e qarkullimit dhe sinjalizimit rrugor, Ministri i Transportit dhe Telekomunikacionit,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VENDOSI"/>
      </w:pPr>
      <w:r w:rsidRPr="00964ED6">
        <w:t>U D H Ë Z O N :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1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Për organizimin e qarkullimit dhe sinjalizimit rrugor, entet pronare të rrugëve dhe organet kompetente të pushtetit vendor, marrin masat për hartimin e projektit mbi planin e rregullimit të trafikut dhe sinjalizimit rrugor, sipas kritereve  të hartuara nga Instituti Studimeve të Transportit (IST). Një përmbledhje e   “Kritereve Teknike të Rregullimit të Qarkullimit” i bashkëlidhet këtij udhëzimi.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2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Hartimi i këtij projekti dhe i planit të masave për zbatimin e tij sipas nenit 5 pika 3 e Kodit Rrugor, veçanërisht për rrugët urbane dhe interurbane të klasifikuara, si në nenin 2 germat B, C, D, E dhe F do të bëhet sipas kompetencës të shprehur në nenin 36 të Kodit Rrugor, duke shfrytëzuar për këtë qëllim edhe “Manualin për planet urbane të trafikut dhe sinjalizimit rrugor” të IST.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3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Për qëllimin e nenit 2 më sipër, entet pronare të rrugëve do të shfrytëzojnë gjithashtu “Metodikën për matjet e trafikut” të IST nëpërmjet të cilit evidentohen dhe analizohen të dhënat e nevojshme, të cilat do të shërbejnë për hartimin e projektit dhe planit të rregullimit të trafikut dhe sinjalitikës, për rrugët nën juridiksionin e tyre.</w:t>
      </w:r>
    </w:p>
    <w:p w:rsidR="004A6BD5" w:rsidRDefault="004A6BD5" w:rsidP="004A6BD5">
      <w:pPr>
        <w:pStyle w:val="NeniNr"/>
      </w:pPr>
    </w:p>
    <w:p w:rsidR="004A6BD5" w:rsidRPr="00964ED6" w:rsidRDefault="004A6BD5" w:rsidP="004A6BD5">
      <w:pPr>
        <w:pStyle w:val="NeniNr"/>
      </w:pPr>
      <w:r w:rsidRPr="00964ED6">
        <w:t>Neni 4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Planet urbane dhe interurbane të trafikut azhurnohen çdo dy vjet. Gjatë kësaj periudhe entet pronare të rrugëve veprojnë për përmbushjen e detyrave për garantimin e sigurisë dhe rrjedhshmërisë së qarkullimit sipas nenit 14 të Kodit Rrugor, duke pasur të planifikuar edhe fondet për mirëmbajtjen dhe ripërtëritjen e sinjalizimit rrugor në zonat që ato mbulojnë.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5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Planet urbane të trafikut (PUT) që do të hartohen nga organet e përcaktuara në nenin 36, pika 1 e Kodit Rrugor, duhet të përfshijnë gjithë territorin nën juridiksionin e Bashkisë apo Komunës me piksynim përmirësimin e gjëndjes së trafikut dhe sinjalizimit në kushtet aktuale dhe të zhvillimit perspektiv të zonës, duke patur për prioritet në përgjithësi :</w:t>
      </w:r>
    </w:p>
    <w:p w:rsidR="004A6BD5" w:rsidRPr="00964ED6" w:rsidRDefault="004A6BD5" w:rsidP="004A6BD5">
      <w:pPr>
        <w:pStyle w:val="Paragrafi"/>
      </w:pPr>
      <w:r w:rsidRPr="00964ED6">
        <w:t>- rrugët, akset rrugore, pikat konfliktuoze etj., të klasifikuara sipas Kodit Rrugor;</w:t>
      </w:r>
    </w:p>
    <w:p w:rsidR="004A6BD5" w:rsidRPr="00964ED6" w:rsidRDefault="004A6BD5" w:rsidP="004A6BD5">
      <w:pPr>
        <w:pStyle w:val="Paragrafi"/>
      </w:pPr>
      <w:r w:rsidRPr="00964ED6">
        <w:t>- sinjalizimin e itinerareve në ndihmë të drejtuesve të mjeteve gjatë qarkullimit në rrjetin rrugor;</w:t>
      </w:r>
    </w:p>
    <w:p w:rsidR="004A6BD5" w:rsidRPr="00964ED6" w:rsidRDefault="004A6BD5" w:rsidP="004A6BD5">
      <w:pPr>
        <w:pStyle w:val="Paragrafi"/>
      </w:pPr>
      <w:r w:rsidRPr="00964ED6">
        <w:t>- sinjalizimet rrugore në ndalesat e transportit publik, kalime këmbësorësh, vendqëndrime, vendparkime etj., në shërbim të respektimit të normave të sjelljes nga përdoruesit e rrugës;</w:t>
      </w:r>
    </w:p>
    <w:p w:rsidR="004A6BD5" w:rsidRPr="00964ED6" w:rsidRDefault="004A6BD5" w:rsidP="004A6BD5">
      <w:pPr>
        <w:pStyle w:val="Paragrafi"/>
      </w:pPr>
      <w:r w:rsidRPr="00964ED6">
        <w:t xml:space="preserve">- planifikimin e financimit për realizimin e studimit, projektimit dhe zbatimit të PUT mbi bazën e </w:t>
      </w:r>
      <w:r w:rsidRPr="00964ED6">
        <w:lastRenderedPageBreak/>
        <w:t>kriterit të fizibilitetit racional dhe ekonomik.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6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Për hartimin e PUT mbi bazën e të dhënave të evidentuara dhe sigurimit të një informacioni të mjaftueshëm në përputhje me lëvizshmërinë urbane të zonës përkatëse, në çdo organ të pushtetit vendor (bashki a komunë) duhet të ngrihet një grup koordinimi, i kryesuar nga titullari i organit dhe i përbërë nga :</w:t>
      </w:r>
    </w:p>
    <w:p w:rsidR="004A6BD5" w:rsidRPr="00964ED6" w:rsidRDefault="004A6BD5" w:rsidP="004A6BD5">
      <w:pPr>
        <w:pStyle w:val="Paragrafi"/>
      </w:pPr>
      <w:r w:rsidRPr="00964ED6">
        <w:t>- përfaqësues i sektorit të transportit;</w:t>
      </w:r>
    </w:p>
    <w:p w:rsidR="004A6BD5" w:rsidRPr="00964ED6" w:rsidRDefault="004A6BD5" w:rsidP="004A6BD5">
      <w:pPr>
        <w:pStyle w:val="Paragrafi"/>
      </w:pPr>
      <w:r w:rsidRPr="00964ED6">
        <w:t>- përfaqësues i sektorit të urbanistikës;</w:t>
      </w:r>
    </w:p>
    <w:p w:rsidR="004A6BD5" w:rsidRPr="00964ED6" w:rsidRDefault="004A6BD5" w:rsidP="004A6BD5">
      <w:pPr>
        <w:pStyle w:val="Paragrafi"/>
      </w:pPr>
      <w:r w:rsidRPr="00964ED6">
        <w:t>- përfaqësues i sektorit të policisë rrugore.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7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Grupi koordinues vë në dispozicion të organit studimor dhe projektues të PUT, materialet e mëposhtëme :</w:t>
      </w:r>
    </w:p>
    <w:p w:rsidR="004A6BD5" w:rsidRPr="00964ED6" w:rsidRDefault="004A6BD5" w:rsidP="004A6BD5">
      <w:pPr>
        <w:pStyle w:val="Paragrafi"/>
      </w:pPr>
      <w:r w:rsidRPr="00964ED6">
        <w:t>1. Hartën e rrjetit rrugor të zonës urbane.</w:t>
      </w:r>
    </w:p>
    <w:p w:rsidR="004A6BD5" w:rsidRPr="00964ED6" w:rsidRDefault="004A6BD5" w:rsidP="004A6BD5">
      <w:pPr>
        <w:pStyle w:val="Paragrafi"/>
      </w:pPr>
      <w:r w:rsidRPr="00964ED6">
        <w:t>2. Klasifikimin e rrugëve në mbështetje të hartës.</w:t>
      </w:r>
    </w:p>
    <w:p w:rsidR="004A6BD5" w:rsidRPr="00964ED6" w:rsidRDefault="004A6BD5" w:rsidP="004A6BD5">
      <w:pPr>
        <w:pStyle w:val="Paragrafi"/>
      </w:pPr>
      <w:r w:rsidRPr="00964ED6">
        <w:t>3. Individualizimin e akseve primare.</w:t>
      </w:r>
    </w:p>
    <w:p w:rsidR="004A6BD5" w:rsidRPr="00964ED6" w:rsidRDefault="004A6BD5" w:rsidP="004A6BD5">
      <w:pPr>
        <w:pStyle w:val="Paragrafi"/>
      </w:pPr>
      <w:r w:rsidRPr="00964ED6">
        <w:t>4. Individualizimin e pikave të konfliktit (kryqëzimet)</w:t>
      </w:r>
    </w:p>
    <w:p w:rsidR="004A6BD5" w:rsidRPr="00964ED6" w:rsidRDefault="004A6BD5" w:rsidP="004A6BD5">
      <w:pPr>
        <w:pStyle w:val="Paragrafi"/>
      </w:pPr>
      <w:r w:rsidRPr="00964ED6">
        <w:t>5. Individualizimin e parkimeve publike.</w:t>
      </w:r>
    </w:p>
    <w:p w:rsidR="004A6BD5" w:rsidRPr="00964ED6" w:rsidRDefault="004A6BD5" w:rsidP="004A6BD5">
      <w:pPr>
        <w:pStyle w:val="Paragrafi"/>
      </w:pPr>
      <w:r w:rsidRPr="00964ED6">
        <w:t>6. Individualizimin e linjave të transporteve publike (urban kolektiv) dhe vëndqëndrimet e tyre në rrjetin rrugor përkatës.</w:t>
      </w:r>
    </w:p>
    <w:p w:rsidR="004A6BD5" w:rsidRPr="00964ED6" w:rsidRDefault="004A6BD5" w:rsidP="004A6BD5">
      <w:pPr>
        <w:pStyle w:val="Paragrafi"/>
      </w:pPr>
      <w:r w:rsidRPr="00964ED6">
        <w:t>7. Individualizimin e pikave të rrezikut (me numër më të madh të aksidenteve në rrjetin rrugor përkatës)</w:t>
      </w:r>
    </w:p>
    <w:p w:rsidR="004A6BD5" w:rsidRPr="00964ED6" w:rsidRDefault="004A6BD5" w:rsidP="004A6BD5">
      <w:pPr>
        <w:pStyle w:val="Paragrafi"/>
      </w:pPr>
      <w:r w:rsidRPr="00964ED6">
        <w:t>Zbërthimi i përmbajtjes së treguesve të mësipërm jepet në metodikën e punës dhe kriteret teknike të rregullimit të qarkullimit të hartuara nga IST.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8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Të dhënat sipas nenit 7 më sipër të kihen në konsiderate edhe për rastet kur PUT do të hartohet nga seksionet e transportit të organeve të pushtetit vendor dhe do te miratohet në IST, siç përcaktohet në nenin 36 të Kodit Rrugor, për bashki e komuna nën 20 000 banorë.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9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Mbas përfundimit dhe miratimit të projektit të PUT, si dhe identifikimit të fondeve të investimeve për implementimin e tij, përfituesi i projektit programon masat me karakter zbatimi për realizimin e projektit, përfshirë dhe mbikëqyrjen e kualifikuar për fazat e kryerjes së punimeve.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10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Materialet ndihmëse për hartimin e PUT dhe sinjalizimit rrugor si:“Kriteret teknike të rregullimit të qarkullimit”; “Manuali për planet urbane të trafikut dhe sinjalizimit rrugor dhe “Metodika e matjeve të trafikut” sigurohen nga Instituti i Studimeve të Transportit.</w:t>
      </w:r>
    </w:p>
    <w:p w:rsidR="004A6BD5" w:rsidRPr="00964ED6" w:rsidRDefault="004A6BD5" w:rsidP="004A6BD5">
      <w:pPr>
        <w:pStyle w:val="Paragrafi"/>
      </w:pPr>
      <w:r w:rsidRPr="00964ED6">
        <w:t>Instituti i Studimeve të Transportit organizon sipas një programi të veçantë, zhvillimin e seminareve për njohjen dhe kualifikimin e punonjësve të ngarkuar me problemet e organizimit të trafikut dhe sinjalitikës rrugore në bashki dhe komuna.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11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lastRenderedPageBreak/>
        <w:t>Në kuadër të zbatimit të detyrave të Kodit Rrugor të Republikës së Shqipërisë për njohjen dhe menaxhimin e organizimit të qarkullimit dhe sinjalizimit rrugor, në shërbim të sigurisë rrugore dhe mbrojtjes së mjedisit, në situatat aktuale dhe për zhvillimet perspektive të infrastrukturës rrugore, organet kompetente me përgjegjësinë e entit pronar të rrugëve marrin masa për krijimin e arkivit të rrugëve dhe sinjalitikës rrugore, me pikësynim informatizimin e të dhënave, siç përcaktohet në nenin 221 të Kodit Rrugor.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12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Ky udhëzim hyn në fuqi pas botimit në Fletoren Zyrtare.</w:t>
      </w:r>
    </w:p>
    <w:p w:rsidR="004A6BD5" w:rsidRDefault="004A6BD5" w:rsidP="004A6BD5">
      <w:pPr>
        <w:pStyle w:val="Paragrafi"/>
      </w:pPr>
    </w:p>
    <w:p w:rsidR="004A6BD5" w:rsidRPr="00964ED6" w:rsidRDefault="004A6BD5" w:rsidP="004A6BD5">
      <w:pPr>
        <w:pStyle w:val="Autoriteti"/>
      </w:pPr>
      <w:r w:rsidRPr="00964ED6">
        <w:t>MINISTRI</w:t>
      </w:r>
    </w:p>
    <w:p w:rsidR="004A6BD5" w:rsidRPr="00964ED6" w:rsidRDefault="004A6BD5" w:rsidP="004A6BD5">
      <w:pPr>
        <w:pStyle w:val="AutoritetiEmer"/>
      </w:pPr>
      <w:r w:rsidRPr="00964ED6">
        <w:t>Spartak Poçi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TitulliTitull"/>
      </w:pPr>
      <w:r w:rsidRPr="00964ED6">
        <w:t>PËRMBLEDHJE E KRITEREVE TEKNIKE TË QARKULLIMIT NË QENDRAT URBANE SIPAS KODIT RRUGOR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1. Hyrje</w:t>
      </w:r>
    </w:p>
    <w:p w:rsidR="004A6BD5" w:rsidRPr="00964ED6" w:rsidRDefault="004A6BD5" w:rsidP="004A6BD5">
      <w:pPr>
        <w:pStyle w:val="Paragrafi"/>
      </w:pPr>
      <w:r w:rsidRPr="00964ED6">
        <w:t>1.1 Përcaktime bazë</w:t>
      </w:r>
    </w:p>
    <w:p w:rsidR="004A6BD5" w:rsidRPr="00964ED6" w:rsidRDefault="004A6BD5" w:rsidP="004A6BD5">
      <w:pPr>
        <w:pStyle w:val="Paragrafi"/>
      </w:pPr>
      <w:r w:rsidRPr="00964ED6">
        <w:t>Plani urban i trafikut (PUT) është një instrument tekniko-administrativ i destinuar të përmirësojë lëvizjen e njerëzve dhe mjeteve lëvizëse.</w:t>
      </w:r>
    </w:p>
    <w:p w:rsidR="004A6BD5" w:rsidRPr="00964ED6" w:rsidRDefault="004A6BD5" w:rsidP="004A6BD5">
      <w:pPr>
        <w:pStyle w:val="Paragrafi"/>
      </w:pPr>
      <w:r w:rsidRPr="00964ED6">
        <w:t>Një plan i tillë realizohet për të siguruar:</w:t>
      </w:r>
    </w:p>
    <w:p w:rsidR="004A6BD5" w:rsidRPr="00964ED6" w:rsidRDefault="004A6BD5" w:rsidP="004A6BD5">
      <w:pPr>
        <w:pStyle w:val="Paragrafi"/>
      </w:pPr>
      <w:r w:rsidRPr="00964ED6">
        <w:t>- përmirësimin e kushteve të qarkullimit (lëvizjen dhe qëndrimet);</w:t>
      </w:r>
    </w:p>
    <w:p w:rsidR="004A6BD5" w:rsidRPr="00964ED6" w:rsidRDefault="004A6BD5" w:rsidP="004A6BD5">
      <w:pPr>
        <w:pStyle w:val="Paragrafi"/>
      </w:pPr>
      <w:r w:rsidRPr="00964ED6">
        <w:t>- reduktimin e aksidenteve rrugore;</w:t>
      </w:r>
    </w:p>
    <w:p w:rsidR="004A6BD5" w:rsidRPr="00964ED6" w:rsidRDefault="004A6BD5" w:rsidP="004A6BD5">
      <w:pPr>
        <w:pStyle w:val="Paragrafi"/>
      </w:pPr>
      <w:r w:rsidRPr="00964ED6">
        <w:t>- reduktimin e ndotjes atmosferike dhe zhurmave;</w:t>
      </w:r>
    </w:p>
    <w:p w:rsidR="004A6BD5" w:rsidRPr="00964ED6" w:rsidRDefault="004A6BD5" w:rsidP="004A6BD5">
      <w:pPr>
        <w:pStyle w:val="Paragrafi"/>
      </w:pPr>
      <w:r w:rsidRPr="00964ED6">
        <w:t>- respektimin e vlerave ambientale;</w:t>
      </w:r>
    </w:p>
    <w:p w:rsidR="004A6BD5" w:rsidRPr="00964ED6" w:rsidRDefault="004A6BD5" w:rsidP="004A6BD5">
      <w:pPr>
        <w:pStyle w:val="Paragrafi"/>
      </w:pPr>
      <w:r w:rsidRPr="00964ED6">
        <w:t>- zvogëlimin e shpenzimeve publike dhe private</w:t>
      </w:r>
    </w:p>
    <w:p w:rsidR="004A6BD5" w:rsidRPr="00964ED6" w:rsidRDefault="004A6BD5" w:rsidP="004A6BD5">
      <w:pPr>
        <w:pStyle w:val="Paragrafi"/>
      </w:pPr>
      <w:r w:rsidRPr="00964ED6">
        <w:t>1.2. Karakteristika esenciale</w:t>
      </w:r>
    </w:p>
    <w:p w:rsidR="004A6BD5" w:rsidRPr="00964ED6" w:rsidRDefault="004A6BD5" w:rsidP="004A6BD5">
      <w:pPr>
        <w:pStyle w:val="Paragrafi"/>
      </w:pPr>
      <w:r w:rsidRPr="00964ED6">
        <w:t>1.2.0. Kushtet aktuale</w:t>
      </w:r>
    </w:p>
    <w:p w:rsidR="004A6BD5" w:rsidRPr="00964ED6" w:rsidRDefault="004A6BD5" w:rsidP="004A6BD5">
      <w:pPr>
        <w:pStyle w:val="Paragrafi"/>
      </w:pPr>
      <w:r w:rsidRPr="00964ED6">
        <w:t>1.2.1 Pikëpamjet territoriale</w:t>
      </w:r>
    </w:p>
    <w:p w:rsidR="004A6BD5" w:rsidRPr="00964ED6" w:rsidRDefault="004A6BD5" w:rsidP="004A6BD5">
      <w:pPr>
        <w:pStyle w:val="Paragrafi"/>
      </w:pPr>
      <w:r w:rsidRPr="00964ED6">
        <w:t>1.2.2 Përbërësit e trafikut</w:t>
      </w:r>
    </w:p>
    <w:p w:rsidR="004A6BD5" w:rsidRPr="00964ED6" w:rsidRDefault="004A6BD5" w:rsidP="004A6BD5">
      <w:pPr>
        <w:pStyle w:val="Paragrafi"/>
      </w:pPr>
      <w:r w:rsidRPr="00964ED6">
        <w:t>1.2.3 Niveli i projektimit</w:t>
      </w:r>
    </w:p>
    <w:p w:rsidR="004A6BD5" w:rsidRPr="00964ED6" w:rsidRDefault="004A6BD5" w:rsidP="004A6BD5">
      <w:pPr>
        <w:pStyle w:val="Paragrafi"/>
      </w:pPr>
      <w:r w:rsidRPr="00964ED6">
        <w:t>2. Objektivat dhe drejtimet e projektimit</w:t>
      </w:r>
    </w:p>
    <w:p w:rsidR="004A6BD5" w:rsidRPr="00964ED6" w:rsidRDefault="004A6BD5" w:rsidP="004A6BD5">
      <w:pPr>
        <w:pStyle w:val="Paragrafi"/>
      </w:pPr>
      <w:r w:rsidRPr="00964ED6">
        <w:t>2.0 Kushtet e projektimit</w:t>
      </w:r>
    </w:p>
    <w:p w:rsidR="004A6BD5" w:rsidRPr="00964ED6" w:rsidRDefault="004A6BD5" w:rsidP="004A6BD5">
      <w:pPr>
        <w:pStyle w:val="Paragrafi"/>
      </w:pPr>
      <w:r w:rsidRPr="00964ED6">
        <w:t>P.U.T. duhet të synojë në përmirësimin e lëvizjes urbane të këmbësorëve dhe automjeteve, që realizohet nëpërmjet përdorimit optimal të infrastrukturës dhe mjeteve të sinjalitikës së vendosur.</w:t>
      </w:r>
    </w:p>
    <w:p w:rsidR="004A6BD5" w:rsidRPr="00964ED6" w:rsidRDefault="004A6BD5" w:rsidP="004A6BD5">
      <w:pPr>
        <w:pStyle w:val="Paragrafi"/>
      </w:pPr>
      <w:r w:rsidRPr="00964ED6">
        <w:t>2.1 Përmirësimi i kushteve të qarkullimit (lëvizja dhe qëndrimi i automjeteve dhe këmbësorëve)</w:t>
      </w:r>
    </w:p>
    <w:p w:rsidR="004A6BD5" w:rsidRPr="00964ED6" w:rsidRDefault="004A6BD5" w:rsidP="004A6BD5">
      <w:pPr>
        <w:pStyle w:val="Paragrafi"/>
      </w:pPr>
      <w:r w:rsidRPr="00964ED6">
        <w:t>2.2 Ulja e aksidenteve rrugore</w:t>
      </w:r>
    </w:p>
    <w:p w:rsidR="004A6BD5" w:rsidRPr="00964ED6" w:rsidRDefault="004A6BD5" w:rsidP="004A6BD5">
      <w:pPr>
        <w:pStyle w:val="Paragrafi"/>
      </w:pPr>
      <w:r w:rsidRPr="00964ED6">
        <w:t>2.3 Ulja e ndotjes atmosferike dhe zhurmave</w:t>
      </w:r>
    </w:p>
    <w:p w:rsidR="004A6BD5" w:rsidRPr="00964ED6" w:rsidRDefault="004A6BD5" w:rsidP="004A6BD5">
      <w:pPr>
        <w:pStyle w:val="Paragrafi"/>
      </w:pPr>
      <w:r w:rsidRPr="00964ED6">
        <w:t>2.4 Respektimi i vlerave ambientale</w:t>
      </w:r>
    </w:p>
    <w:p w:rsidR="004A6BD5" w:rsidRPr="00964ED6" w:rsidRDefault="004A6BD5" w:rsidP="004A6BD5">
      <w:pPr>
        <w:pStyle w:val="Paragrafi"/>
      </w:pPr>
      <w:r w:rsidRPr="00964ED6">
        <w:t>2.5 Kufizim i kostove publike dhe private</w:t>
      </w:r>
    </w:p>
    <w:p w:rsidR="004A6BD5" w:rsidRPr="00964ED6" w:rsidRDefault="004A6BD5" w:rsidP="004A6BD5">
      <w:pPr>
        <w:pStyle w:val="Paragrafi"/>
      </w:pPr>
      <w:r w:rsidRPr="00964ED6">
        <w:t>3. Kriteret e projektimit</w:t>
      </w:r>
    </w:p>
    <w:p w:rsidR="004A6BD5" w:rsidRPr="00964ED6" w:rsidRDefault="004A6BD5" w:rsidP="004A6BD5">
      <w:pPr>
        <w:pStyle w:val="Paragrafi"/>
      </w:pPr>
      <w:r w:rsidRPr="00964ED6">
        <w:t>3.1 Kritere të përgjithshme</w:t>
      </w:r>
    </w:p>
    <w:p w:rsidR="004A6BD5" w:rsidRPr="00964ED6" w:rsidRDefault="004A6BD5" w:rsidP="004A6BD5">
      <w:pPr>
        <w:pStyle w:val="Paragrafi"/>
      </w:pPr>
      <w:r w:rsidRPr="00964ED6">
        <w:t>3.1.0 Kushtet</w:t>
      </w:r>
    </w:p>
    <w:p w:rsidR="004A6BD5" w:rsidRPr="00964ED6" w:rsidRDefault="004A6BD5" w:rsidP="004A6BD5">
      <w:pPr>
        <w:pStyle w:val="Paragrafi"/>
      </w:pPr>
      <w:r w:rsidRPr="00964ED6">
        <w:t>Kritere të tilla kanë një karakter të përgjithshëm përdorimi për argumentet që trajtohen në hartimin e P.U.T-ve.</w:t>
      </w:r>
    </w:p>
    <w:p w:rsidR="004A6BD5" w:rsidRPr="00964ED6" w:rsidRDefault="004A6BD5" w:rsidP="004A6BD5">
      <w:pPr>
        <w:pStyle w:val="Paragrafi"/>
      </w:pPr>
      <w:r w:rsidRPr="00964ED6">
        <w:t>3.1.1 Ndarja e lëvizjeve nga qëndrimet</w:t>
      </w:r>
    </w:p>
    <w:p w:rsidR="004A6BD5" w:rsidRPr="00964ED6" w:rsidRDefault="004A6BD5" w:rsidP="004A6BD5">
      <w:pPr>
        <w:pStyle w:val="Paragrafi"/>
      </w:pPr>
      <w:r w:rsidRPr="00964ED6">
        <w:t>3.1.2. Klasifikimi funksional i rrjetit të lëvizjes</w:t>
      </w:r>
    </w:p>
    <w:p w:rsidR="004A6BD5" w:rsidRPr="00964ED6" w:rsidRDefault="004A6BD5" w:rsidP="004A6BD5">
      <w:pPr>
        <w:pStyle w:val="Paragrafi"/>
      </w:pPr>
      <w:r w:rsidRPr="00964ED6">
        <w:t>3.1.3 Përshtatja e kapacitetit të kryqëzimeve</w:t>
      </w:r>
    </w:p>
    <w:p w:rsidR="004A6BD5" w:rsidRPr="00964ED6" w:rsidRDefault="004A6BD5" w:rsidP="004A6BD5">
      <w:pPr>
        <w:pStyle w:val="Paragrafi"/>
      </w:pPr>
      <w:r w:rsidRPr="00964ED6">
        <w:t>3.1.4 Organizimi i vendqëndrimeve</w:t>
      </w:r>
    </w:p>
    <w:p w:rsidR="004A6BD5" w:rsidRPr="00964ED6" w:rsidRDefault="004A6BD5" w:rsidP="004A6BD5">
      <w:pPr>
        <w:pStyle w:val="Paragrafi"/>
      </w:pPr>
      <w:r w:rsidRPr="00964ED6">
        <w:lastRenderedPageBreak/>
        <w:t>3.2 Kritere të veçanta</w:t>
      </w:r>
    </w:p>
    <w:p w:rsidR="004A6BD5" w:rsidRPr="00964ED6" w:rsidRDefault="004A6BD5" w:rsidP="004A6BD5">
      <w:pPr>
        <w:pStyle w:val="Paragrafi"/>
      </w:pPr>
      <w:r w:rsidRPr="00964ED6">
        <w:t>3.2.0 Kushtet</w:t>
      </w:r>
    </w:p>
    <w:p w:rsidR="004A6BD5" w:rsidRPr="00964ED6" w:rsidRDefault="004A6BD5" w:rsidP="004A6BD5">
      <w:pPr>
        <w:pStyle w:val="Paragrafi"/>
      </w:pPr>
      <w:r w:rsidRPr="00964ED6">
        <w:t>Në këtë kapitull trajtohen kritere të tjera si rrjedhim i problematikës aktuale.</w:t>
      </w:r>
    </w:p>
    <w:p w:rsidR="004A6BD5" w:rsidRPr="00964ED6" w:rsidRDefault="004A6BD5" w:rsidP="004A6BD5">
      <w:pPr>
        <w:pStyle w:val="Paragrafi"/>
      </w:pPr>
      <w:r w:rsidRPr="00964ED6">
        <w:t>3.2.1 Klasifikimi funksional i rrugëve</w:t>
      </w:r>
    </w:p>
    <w:p w:rsidR="004A6BD5" w:rsidRPr="00964ED6" w:rsidRDefault="004A6BD5" w:rsidP="004A6BD5">
      <w:pPr>
        <w:pStyle w:val="Paragrafi"/>
      </w:pPr>
      <w:r w:rsidRPr="00964ED6">
        <w:t>3.2.1 Përshtatja e rrjetit ekzistues</w:t>
      </w:r>
    </w:p>
    <w:p w:rsidR="004A6BD5" w:rsidRPr="00964ED6" w:rsidRDefault="004A6BD5" w:rsidP="004A6BD5">
      <w:pPr>
        <w:pStyle w:val="Paragrafi"/>
      </w:pPr>
      <w:r w:rsidRPr="00964ED6">
        <w:t>3.2.1.2 Tipologjia e rrugëve</w:t>
      </w:r>
    </w:p>
    <w:p w:rsidR="004A6BD5" w:rsidRPr="00964ED6" w:rsidRDefault="004A6BD5" w:rsidP="004A6BD5">
      <w:pPr>
        <w:pStyle w:val="Paragrafi"/>
      </w:pPr>
      <w:r w:rsidRPr="00964ED6">
        <w:t>3.2.2 Efikastitet më i madh i shërbimit kolektiv</w:t>
      </w:r>
    </w:p>
    <w:p w:rsidR="004A6BD5" w:rsidRPr="00964ED6" w:rsidRDefault="004A6BD5" w:rsidP="004A6BD5">
      <w:pPr>
        <w:pStyle w:val="Paragrafi"/>
      </w:pPr>
      <w:r w:rsidRPr="00964ED6">
        <w:t>3.2.3 Respektimi i vlerave ambientale</w:t>
      </w:r>
    </w:p>
    <w:p w:rsidR="004A6BD5" w:rsidRPr="00964ED6" w:rsidRDefault="004A6BD5" w:rsidP="004A6BD5">
      <w:pPr>
        <w:pStyle w:val="Paragrafi"/>
      </w:pPr>
      <w:r w:rsidRPr="00964ED6">
        <w:t>3.2.4 Disiplina ne zënien e njësive rrugore</w:t>
      </w:r>
    </w:p>
    <w:p w:rsidR="004A6BD5" w:rsidRPr="00964ED6" w:rsidRDefault="004A6BD5" w:rsidP="004A6BD5">
      <w:pPr>
        <w:pStyle w:val="Paragrafi"/>
      </w:pPr>
      <w:r w:rsidRPr="00964ED6">
        <w:t>3.2.4.1 Zënie të përhershme të njësive rrugore</w:t>
      </w:r>
    </w:p>
    <w:p w:rsidR="004A6BD5" w:rsidRPr="00964ED6" w:rsidRDefault="004A6BD5" w:rsidP="004A6BD5">
      <w:pPr>
        <w:pStyle w:val="Paragrafi"/>
      </w:pPr>
      <w:r w:rsidRPr="00964ED6">
        <w:t>3.2.4.2 Zënie të përkohshme të njësive rrugore</w:t>
      </w:r>
    </w:p>
    <w:p w:rsidR="004A6BD5" w:rsidRPr="00964ED6" w:rsidRDefault="004A6BD5" w:rsidP="004A6BD5">
      <w:pPr>
        <w:pStyle w:val="Paragrafi"/>
      </w:pPr>
      <w:r w:rsidRPr="00964ED6">
        <w:t>3.2.5 Prioritetet e ndërhyrjes</w:t>
      </w:r>
    </w:p>
    <w:p w:rsidR="004A6BD5" w:rsidRPr="00964ED6" w:rsidRDefault="004A6BD5" w:rsidP="004A6BD5">
      <w:pPr>
        <w:pStyle w:val="Paragrafi"/>
      </w:pPr>
      <w:r w:rsidRPr="00964ED6">
        <w:t>3.2.6 Treguesi i mbingarkesës në kryqëzime</w:t>
      </w:r>
    </w:p>
    <w:p w:rsidR="004A6BD5" w:rsidRPr="00964ED6" w:rsidRDefault="004A6BD5" w:rsidP="004A6BD5">
      <w:pPr>
        <w:pStyle w:val="Paragrafi"/>
      </w:pPr>
      <w:r w:rsidRPr="00964ED6">
        <w:t>3.2.7 Zhvendosja nga rrjeti i lëvizjes së vendqëndrimeve</w:t>
      </w:r>
    </w:p>
    <w:p w:rsidR="004A6BD5" w:rsidRPr="00964ED6" w:rsidRDefault="004A6BD5" w:rsidP="004A6BD5">
      <w:pPr>
        <w:pStyle w:val="Paragrafi"/>
      </w:pPr>
      <w:r w:rsidRPr="00964ED6">
        <w:t>4. Aspektet të përgjithshme të projektimit</w:t>
      </w:r>
    </w:p>
    <w:p w:rsidR="004A6BD5" w:rsidRPr="00964ED6" w:rsidRDefault="004A6BD5" w:rsidP="004A6BD5">
      <w:pPr>
        <w:pStyle w:val="Paragrafi"/>
      </w:pPr>
      <w:r w:rsidRPr="00964ED6">
        <w:t>4.1 Qarkullimi i këmbësorëve</w:t>
      </w:r>
    </w:p>
    <w:p w:rsidR="004A6BD5" w:rsidRPr="00964ED6" w:rsidRDefault="004A6BD5" w:rsidP="004A6BD5">
      <w:pPr>
        <w:pStyle w:val="Paragrafi"/>
      </w:pPr>
      <w:r w:rsidRPr="00964ED6">
        <w:t>4.2 Qarkullimi i mjeteve kolektive të linjës</w:t>
      </w:r>
    </w:p>
    <w:p w:rsidR="004A6BD5" w:rsidRPr="00964ED6" w:rsidRDefault="004A6BD5" w:rsidP="004A6BD5">
      <w:pPr>
        <w:pStyle w:val="Paragrafi"/>
      </w:pPr>
      <w:r w:rsidRPr="00964ED6">
        <w:t>4.3 Skema e përgjithshme e qarkullimit</w:t>
      </w:r>
    </w:p>
    <w:p w:rsidR="004A6BD5" w:rsidRPr="00964ED6" w:rsidRDefault="004A6BD5" w:rsidP="004A6BD5">
      <w:pPr>
        <w:pStyle w:val="Paragrafi"/>
      </w:pPr>
      <w:r w:rsidRPr="00964ED6">
        <w:t>4.4 Vendqendrimet për autovetura</w:t>
      </w:r>
    </w:p>
    <w:p w:rsidR="004A6BD5" w:rsidRPr="00964ED6" w:rsidRDefault="004A6BD5" w:rsidP="004A6BD5">
      <w:pPr>
        <w:pStyle w:val="Paragrafi"/>
      </w:pPr>
      <w:r w:rsidRPr="00964ED6">
        <w:t>5. Aspekte specifike të projektimit</w:t>
      </w:r>
    </w:p>
    <w:p w:rsidR="004A6BD5" w:rsidRPr="00964ED6" w:rsidRDefault="004A6BD5" w:rsidP="004A6BD5">
      <w:pPr>
        <w:pStyle w:val="Paragrafi"/>
      </w:pPr>
      <w:r w:rsidRPr="00964ED6">
        <w:t>5.2.1 Rregullimi i kryqëzimeve</w:t>
      </w:r>
    </w:p>
    <w:p w:rsidR="004A6BD5" w:rsidRPr="00964ED6" w:rsidRDefault="004A6BD5" w:rsidP="004A6BD5">
      <w:pPr>
        <w:pStyle w:val="Paragrafi"/>
      </w:pPr>
      <w:r w:rsidRPr="00964ED6">
        <w:t>5.2.2 Rregullimi me semaforë</w:t>
      </w:r>
    </w:p>
    <w:p w:rsidR="004A6BD5" w:rsidRPr="00964ED6" w:rsidRDefault="004A6BD5" w:rsidP="004A6BD5">
      <w:pPr>
        <w:pStyle w:val="Paragrafi"/>
      </w:pPr>
      <w:r w:rsidRPr="00964ED6">
        <w:t>5.2.3 Sinjalitika</w:t>
      </w:r>
    </w:p>
    <w:p w:rsidR="004A6BD5" w:rsidRPr="00964ED6" w:rsidRDefault="004A6BD5" w:rsidP="004A6BD5">
      <w:pPr>
        <w:pStyle w:val="Paragrafi"/>
      </w:pPr>
      <w:r w:rsidRPr="00964ED6">
        <w:t>6. Vëzhgimet dhe matjet</w:t>
      </w:r>
    </w:p>
    <w:p w:rsidR="004A6BD5" w:rsidRPr="00964ED6" w:rsidRDefault="004A6BD5" w:rsidP="004A6BD5">
      <w:pPr>
        <w:pStyle w:val="Paragrafi"/>
      </w:pPr>
      <w:r w:rsidRPr="00964ED6">
        <w:t>6.0 Kushtet</w:t>
      </w:r>
    </w:p>
    <w:p w:rsidR="004A6BD5" w:rsidRPr="00964ED6" w:rsidRDefault="004A6BD5" w:rsidP="004A6BD5">
      <w:pPr>
        <w:pStyle w:val="Paragrafi"/>
      </w:pPr>
      <w:r w:rsidRPr="00964ED6">
        <w:t>Nga të dhënat e duhura për një realizim korrekt të P.U.T-ve është thelbësore ndarja e tyre në dy grupe. Njëri ka të bëjë me mobilitetin (kërkesën për transport) dhe tjetri me karakteristikat e rrjetit ekzistues (oferta e transportit).</w:t>
      </w:r>
    </w:p>
    <w:p w:rsidR="004A6BD5" w:rsidRPr="00964ED6" w:rsidRDefault="004A6BD5" w:rsidP="004A6BD5">
      <w:pPr>
        <w:pStyle w:val="Paragrafi"/>
      </w:pPr>
      <w:r w:rsidRPr="00964ED6">
        <w:t>6.1 Kërkesa për transport</w:t>
      </w:r>
    </w:p>
    <w:p w:rsidR="004A6BD5" w:rsidRPr="00964ED6" w:rsidRDefault="004A6BD5" w:rsidP="004A6BD5">
      <w:pPr>
        <w:pStyle w:val="Paragrafi"/>
      </w:pPr>
      <w:r w:rsidRPr="00964ED6">
        <w:t>6.1.1 Mobilitetit</w:t>
      </w:r>
    </w:p>
    <w:p w:rsidR="004A6BD5" w:rsidRPr="00964ED6" w:rsidRDefault="004A6BD5" w:rsidP="004A6BD5">
      <w:pPr>
        <w:pStyle w:val="Paragrafi"/>
      </w:pPr>
      <w:r w:rsidRPr="00964ED6">
        <w:t>6.1.2 Qendrimet e automjeteve</w:t>
      </w:r>
    </w:p>
    <w:p w:rsidR="004A6BD5" w:rsidRPr="00964ED6" w:rsidRDefault="004A6BD5" w:rsidP="004A6BD5">
      <w:pPr>
        <w:pStyle w:val="Paragrafi"/>
      </w:pPr>
      <w:r w:rsidRPr="00964ED6">
        <w:t>6.2 Oferta e transportit</w:t>
      </w:r>
    </w:p>
    <w:p w:rsidR="004A6BD5" w:rsidRPr="00964ED6" w:rsidRDefault="004A6BD5" w:rsidP="004A6BD5">
      <w:pPr>
        <w:pStyle w:val="Paragrafi"/>
      </w:pPr>
      <w:r w:rsidRPr="00964ED6">
        <w:t>6.2.1 Inventari i rrjetit</w:t>
      </w:r>
    </w:p>
    <w:p w:rsidR="004A6BD5" w:rsidRPr="00964ED6" w:rsidRDefault="004A6BD5" w:rsidP="004A6BD5">
      <w:pPr>
        <w:pStyle w:val="Paragrafi"/>
      </w:pPr>
      <w:r w:rsidRPr="00964ED6">
        <w:t>6.2.2 Mobiliteti</w:t>
      </w:r>
    </w:p>
    <w:p w:rsidR="004A6BD5" w:rsidRPr="00964ED6" w:rsidRDefault="004A6BD5" w:rsidP="004A6BD5">
      <w:pPr>
        <w:pStyle w:val="Paragrafi"/>
      </w:pPr>
      <w:r w:rsidRPr="00964ED6">
        <w:t>Ndreqje gabimi</w:t>
      </w:r>
    </w:p>
    <w:p w:rsidR="004A6BD5" w:rsidRPr="00964ED6" w:rsidRDefault="004A6BD5" w:rsidP="004A6BD5">
      <w:pPr>
        <w:pStyle w:val="Paragrafi"/>
      </w:pPr>
      <w:r w:rsidRPr="00964ED6">
        <w:t xml:space="preserve">Në Fletoren Zyrtare nr. 9 prill 2002, në ligjin nr. 8811, datë 17.5.2001 “Për organizimin dhe funksionimin e Këshillit të Lartë të Drejtësisë”  në nenin 39  </w:t>
      </w:r>
    </w:p>
    <w:p w:rsidR="004A6BD5" w:rsidRPr="00964ED6" w:rsidRDefault="004A6BD5" w:rsidP="004A6BD5">
      <w:pPr>
        <w:pStyle w:val="Paragrafi"/>
      </w:pPr>
      <w:r w:rsidRPr="00964ED6">
        <w:t>Është:</w:t>
      </w:r>
    </w:p>
    <w:p w:rsidR="004A6BD5" w:rsidRPr="00964ED6" w:rsidRDefault="004A6BD5" w:rsidP="004A6BD5">
      <w:pPr>
        <w:pStyle w:val="Paragrafi"/>
      </w:pPr>
      <w:r w:rsidRPr="00964ED6">
        <w:t>1. Në ligjin nr. 8436, datë 28.12.1998 “Për organizimin e pushtetit gjyqësor në Republikën e Shqipërisë” shfuqizohen:</w:t>
      </w:r>
    </w:p>
    <w:p w:rsidR="004A6BD5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1,</w:t>
      </w:r>
    </w:p>
    <w:p w:rsidR="004A6BD5" w:rsidRPr="00964ED6" w:rsidRDefault="004A6BD5" w:rsidP="004A6BD5">
      <w:pPr>
        <w:pStyle w:val="Paragrafi"/>
      </w:pPr>
    </w:p>
    <w:p w:rsidR="004A6BD5" w:rsidRPr="00964ED6" w:rsidRDefault="004A6BD5" w:rsidP="004A6BD5">
      <w:pPr>
        <w:pStyle w:val="Paragrafi"/>
      </w:pPr>
      <w:r w:rsidRPr="00964ED6">
        <w:t>Bëhet:</w:t>
      </w:r>
    </w:p>
    <w:p w:rsidR="004A6BD5" w:rsidRPr="00964ED6" w:rsidRDefault="004A6BD5" w:rsidP="004A6BD5">
      <w:pPr>
        <w:pStyle w:val="Paragrafi"/>
      </w:pPr>
      <w:r w:rsidRPr="00964ED6">
        <w:t>1. Në ligjin nr. 8436, datë 28.12.1998 “Për organizimin e pushtetit gjyqësor në Republikën e Shqipërisë” shfuqizohen:</w:t>
      </w:r>
    </w:p>
    <w:p w:rsidR="004A6BD5" w:rsidRDefault="004A6BD5" w:rsidP="004A6BD5">
      <w:pPr>
        <w:pStyle w:val="Paragrafi"/>
      </w:pPr>
    </w:p>
    <w:p w:rsidR="004A6BD5" w:rsidRPr="00964ED6" w:rsidRDefault="004A6BD5" w:rsidP="004A6BD5">
      <w:pPr>
        <w:pStyle w:val="NeniNr"/>
      </w:pPr>
      <w:r w:rsidRPr="00964ED6">
        <w:t>Neni 17,</w:t>
      </w:r>
    </w:p>
    <w:p w:rsidR="004A6BD5" w:rsidRPr="00964ED6" w:rsidRDefault="004A6BD5" w:rsidP="004A6BD5">
      <w:pPr>
        <w:pStyle w:val="Paragrafi"/>
      </w:pPr>
    </w:p>
    <w:p w:rsidR="004A6BD5" w:rsidRPr="007732C8" w:rsidRDefault="004A6BD5" w:rsidP="004A6BD5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2240" w:h="15840"/>
      <w:pgMar w:top="1418" w:right="1418" w:bottom="1418" w:left="1418" w:header="1304" w:footer="1134" w:gutter="0"/>
      <w:pgNumType w:start="26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5F08">
      <w:r>
        <w:separator/>
      </w:r>
    </w:p>
  </w:endnote>
  <w:endnote w:type="continuationSeparator" w:id="0">
    <w:p w:rsidR="00000000" w:rsidRDefault="00F1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BD5" w:rsidRDefault="004A6BD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A6BD5" w:rsidRDefault="004A6BD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BD5" w:rsidRDefault="004A6BD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5F08">
      <w:rPr>
        <w:rStyle w:val="PageNumber"/>
        <w:noProof/>
      </w:rPr>
      <w:t>2608</w:t>
    </w:r>
    <w:r>
      <w:rPr>
        <w:rStyle w:val="PageNumber"/>
      </w:rPr>
      <w:fldChar w:fldCharType="end"/>
    </w:r>
  </w:p>
  <w:p w:rsidR="004A6BD5" w:rsidRDefault="004A6BD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5F08">
      <w:r>
        <w:separator/>
      </w:r>
    </w:p>
  </w:footnote>
  <w:footnote w:type="continuationSeparator" w:id="0">
    <w:p w:rsidR="00000000" w:rsidRDefault="00F15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6BD5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15F08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AE752D-FB23-4B7A-8E54-0F7C4AE2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BD5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A6BD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A6BD5"/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