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6A57" w:rsidRPr="00D90CA4" w:rsidRDefault="00CA6A57" w:rsidP="00CA6A57">
      <w:pPr>
        <w:pStyle w:val="Akti"/>
        <w:rPr>
          <w:lang w:val="it-IT"/>
        </w:rPr>
      </w:pPr>
      <w:bookmarkStart w:id="0" w:name="_GoBack"/>
      <w:bookmarkEnd w:id="0"/>
      <w:r w:rsidRPr="00D90CA4">
        <w:rPr>
          <w:lang w:val="it-IT"/>
        </w:rPr>
        <w:t>Udhëzim</w:t>
      </w:r>
    </w:p>
    <w:p w:rsidR="00CA6A57" w:rsidRPr="00D90CA4" w:rsidRDefault="00CA6A57" w:rsidP="00CA6A57">
      <w:pPr>
        <w:pStyle w:val="NumriData"/>
        <w:rPr>
          <w:lang w:val="it-IT"/>
        </w:rPr>
      </w:pPr>
      <w:r w:rsidRPr="00D90CA4">
        <w:rPr>
          <w:lang w:val="it-IT"/>
        </w:rPr>
        <w:t>Nr.6, datë 29.4.2008</w:t>
      </w:r>
    </w:p>
    <w:p w:rsidR="00CA6A57" w:rsidRDefault="00CA6A57" w:rsidP="00CA6A57">
      <w:pPr>
        <w:pStyle w:val="Paragrafi"/>
        <w:rPr>
          <w:lang w:val="it-IT"/>
        </w:rPr>
      </w:pPr>
    </w:p>
    <w:p w:rsidR="00CA6A57" w:rsidRPr="00D90CA4" w:rsidRDefault="00CA6A57" w:rsidP="00CA6A57">
      <w:pPr>
        <w:pStyle w:val="Titulli"/>
        <w:rPr>
          <w:lang w:val="it-IT"/>
        </w:rPr>
      </w:pPr>
      <w:r w:rsidRPr="00D90CA4">
        <w:rPr>
          <w:lang w:val="it-IT"/>
        </w:rPr>
        <w:t>Për disa ndryshime në udhëzimin nr.20, datë 10.10.2007 “Për modelet e licencave, autorizimeve dhe certifikatave për ushtrimin e veprimtarisë në transportin rrugor”</w:t>
      </w:r>
    </w:p>
    <w:p w:rsidR="00CA6A57" w:rsidRDefault="00CA6A57" w:rsidP="00CA6A57">
      <w:pPr>
        <w:pStyle w:val="Paragrafi"/>
        <w:rPr>
          <w:lang w:val="it-IT"/>
        </w:rPr>
      </w:pPr>
    </w:p>
    <w:p w:rsidR="00CA6A57" w:rsidRDefault="00CA6A57" w:rsidP="00CA6A57">
      <w:pPr>
        <w:pStyle w:val="BazLigjPropozues"/>
        <w:rPr>
          <w:lang w:val="it-IT"/>
        </w:rPr>
      </w:pPr>
      <w:r w:rsidRPr="007A29C2">
        <w:rPr>
          <w:lang w:val="it-IT"/>
        </w:rPr>
        <w:t>N</w:t>
      </w:r>
      <w:r>
        <w:rPr>
          <w:lang w:val="it-IT"/>
        </w:rPr>
        <w:t>ë</w:t>
      </w:r>
      <w:r w:rsidRPr="007A29C2">
        <w:rPr>
          <w:lang w:val="it-IT"/>
        </w:rPr>
        <w:t xml:space="preserve"> mb</w:t>
      </w:r>
      <w:r>
        <w:rPr>
          <w:lang w:val="it-IT"/>
        </w:rPr>
        <w:t>ë</w:t>
      </w:r>
      <w:r w:rsidRPr="007A29C2">
        <w:rPr>
          <w:lang w:val="it-IT"/>
        </w:rPr>
        <w:t>shtetje t</w:t>
      </w:r>
      <w:r>
        <w:rPr>
          <w:lang w:val="it-IT"/>
        </w:rPr>
        <w:t>ë nenit 102</w:t>
      </w:r>
      <w:r w:rsidRPr="007A29C2">
        <w:rPr>
          <w:lang w:val="it-IT"/>
        </w:rPr>
        <w:t xml:space="preserve"> pika 4</w:t>
      </w:r>
      <w:r>
        <w:rPr>
          <w:lang w:val="it-IT"/>
        </w:rPr>
        <w:t xml:space="preserve"> të</w:t>
      </w:r>
      <w:r w:rsidRPr="007A29C2">
        <w:rPr>
          <w:lang w:val="it-IT"/>
        </w:rPr>
        <w:t xml:space="preserve"> Kushtetut</w:t>
      </w:r>
      <w:r>
        <w:rPr>
          <w:lang w:val="it-IT"/>
        </w:rPr>
        <w:t>ë</w:t>
      </w:r>
      <w:r w:rsidRPr="007A29C2">
        <w:rPr>
          <w:lang w:val="it-IT"/>
        </w:rPr>
        <w:t>s, nenit 5 t</w:t>
      </w:r>
      <w:r>
        <w:rPr>
          <w:lang w:val="it-IT"/>
        </w:rPr>
        <w:t>ë</w:t>
      </w:r>
      <w:r w:rsidRPr="007A29C2">
        <w:rPr>
          <w:lang w:val="it-IT"/>
        </w:rPr>
        <w:t xml:space="preserve"> ligjit nr.8308, dat</w:t>
      </w:r>
      <w:r>
        <w:rPr>
          <w:lang w:val="it-IT"/>
        </w:rPr>
        <w:t>ë</w:t>
      </w:r>
      <w:r w:rsidRPr="007A29C2">
        <w:rPr>
          <w:lang w:val="it-IT"/>
        </w:rPr>
        <w:t xml:space="preserve"> 18.3.1998 </w:t>
      </w:r>
      <w:r>
        <w:rPr>
          <w:lang w:val="it-IT"/>
        </w:rPr>
        <w:t>“</w:t>
      </w:r>
      <w:r w:rsidRPr="007A29C2">
        <w:rPr>
          <w:lang w:val="it-IT"/>
        </w:rPr>
        <w:t>P</w:t>
      </w:r>
      <w:r>
        <w:rPr>
          <w:lang w:val="it-IT"/>
        </w:rPr>
        <w:t>ë</w:t>
      </w:r>
      <w:r w:rsidRPr="007A29C2">
        <w:rPr>
          <w:lang w:val="it-IT"/>
        </w:rPr>
        <w:t>r transportet rrugore</w:t>
      </w:r>
      <w:r>
        <w:rPr>
          <w:lang w:val="it-IT"/>
        </w:rPr>
        <w:t>”</w:t>
      </w:r>
      <w:r w:rsidRPr="007A29C2">
        <w:rPr>
          <w:lang w:val="it-IT"/>
        </w:rPr>
        <w:t>, t</w:t>
      </w:r>
      <w:r>
        <w:rPr>
          <w:lang w:val="it-IT"/>
        </w:rPr>
        <w:t>ë</w:t>
      </w:r>
      <w:r w:rsidRPr="007A29C2">
        <w:rPr>
          <w:lang w:val="it-IT"/>
        </w:rPr>
        <w:t xml:space="preserve"> ndryshuar, dhe ndryshimeve t</w:t>
      </w:r>
      <w:r>
        <w:rPr>
          <w:lang w:val="it-IT"/>
        </w:rPr>
        <w:t>ë</w:t>
      </w:r>
      <w:r w:rsidRPr="007A29C2">
        <w:rPr>
          <w:lang w:val="it-IT"/>
        </w:rPr>
        <w:t xml:space="preserve"> udh</w:t>
      </w:r>
      <w:r>
        <w:rPr>
          <w:lang w:val="it-IT"/>
        </w:rPr>
        <w:t>ë</w:t>
      </w:r>
      <w:r w:rsidRPr="007A29C2">
        <w:rPr>
          <w:lang w:val="it-IT"/>
        </w:rPr>
        <w:t>zimit nr.15, dat</w:t>
      </w:r>
      <w:r>
        <w:rPr>
          <w:lang w:val="it-IT"/>
        </w:rPr>
        <w:t>ë</w:t>
      </w:r>
      <w:r w:rsidRPr="007A29C2">
        <w:rPr>
          <w:lang w:val="it-IT"/>
        </w:rPr>
        <w:t xml:space="preserve"> 24.7.2007 </w:t>
      </w:r>
      <w:r>
        <w:rPr>
          <w:lang w:val="it-IT"/>
        </w:rPr>
        <w:t>“Për kriteret dhe procedurat e lëshimit të licencave, autorizimeve dhe certifikatave për ushtrimin e veprimtarisë në transportin rrugor”, Ministri i Punëve Publike, Transportit dhe Telekomunikacionit</w:t>
      </w:r>
    </w:p>
    <w:p w:rsidR="00CA6A57" w:rsidRDefault="00CA6A57" w:rsidP="00CA6A57">
      <w:pPr>
        <w:pStyle w:val="Paragrafi"/>
        <w:rPr>
          <w:lang w:val="it-IT"/>
        </w:rPr>
      </w:pPr>
    </w:p>
    <w:p w:rsidR="00CA6A57" w:rsidRDefault="00CA6A57" w:rsidP="00CA6A57">
      <w:pPr>
        <w:pStyle w:val="VENDOSI"/>
        <w:rPr>
          <w:lang w:val="it-IT"/>
        </w:rPr>
      </w:pPr>
      <w:r>
        <w:rPr>
          <w:lang w:val="it-IT"/>
        </w:rPr>
        <w:t>Udhëzon:</w:t>
      </w:r>
    </w:p>
    <w:p w:rsidR="00CA6A57" w:rsidRDefault="00CA6A57" w:rsidP="00CA6A57">
      <w:pPr>
        <w:pStyle w:val="Paragrafi"/>
        <w:rPr>
          <w:lang w:val="it-IT"/>
        </w:rPr>
      </w:pPr>
    </w:p>
    <w:p w:rsidR="00CA6A57" w:rsidRDefault="00CA6A57" w:rsidP="00CA6A57">
      <w:pPr>
        <w:pStyle w:val="Paragrafi"/>
        <w:rPr>
          <w:lang w:val="it-IT"/>
        </w:rPr>
      </w:pPr>
      <w:r>
        <w:rPr>
          <w:lang w:val="it-IT"/>
        </w:rPr>
        <w:t>Në udhëzimin nr.20, datë 10.10.2007 “Për modelet e licencave, autorizimeve dhe certifikatave për ushtrimin e veprimtarisë në transportin rrugor, të ndryshuar, bëhen këto ndryshime:</w:t>
      </w:r>
    </w:p>
    <w:p w:rsidR="00CA6A57" w:rsidRDefault="00CA6A57" w:rsidP="00CA6A57">
      <w:pPr>
        <w:pStyle w:val="Paragrafi"/>
        <w:rPr>
          <w:lang w:val="it-IT"/>
        </w:rPr>
      </w:pPr>
      <w:r>
        <w:rPr>
          <w:lang w:val="it-IT"/>
        </w:rPr>
        <w:t>1. Në pikën 1, modelet e licencave/certifikatave me numër 104, 108, 110, 111, 112, 204 dhe 211 ndryshohen sipas modeleve bashkëlidhur këtij udhëzimi.</w:t>
      </w:r>
    </w:p>
    <w:p w:rsidR="00CA6A57" w:rsidRPr="00D90CA4" w:rsidRDefault="00CA6A57" w:rsidP="00CA6A57">
      <w:pPr>
        <w:pStyle w:val="Paragrafi"/>
        <w:rPr>
          <w:lang w:val="it-IT"/>
        </w:rPr>
      </w:pPr>
      <w:r w:rsidRPr="00D90CA4">
        <w:rPr>
          <w:lang w:val="it-IT"/>
        </w:rPr>
        <w:t>2.</w:t>
      </w:r>
      <w:r>
        <w:rPr>
          <w:lang w:val="it-IT"/>
        </w:rPr>
        <w:t xml:space="preserve"> </w:t>
      </w:r>
      <w:r w:rsidRPr="00D90CA4">
        <w:rPr>
          <w:lang w:val="it-IT"/>
        </w:rPr>
        <w:t>Modeli i licencës me numër 113 shfuqizohet.</w:t>
      </w:r>
    </w:p>
    <w:p w:rsidR="00CA6A57" w:rsidRPr="00D90CA4" w:rsidRDefault="00CA6A57" w:rsidP="00CA6A57">
      <w:pPr>
        <w:pStyle w:val="Paragrafi"/>
        <w:rPr>
          <w:lang w:val="it-IT"/>
        </w:rPr>
      </w:pPr>
      <w:r w:rsidRPr="00D90CA4">
        <w:rPr>
          <w:lang w:val="it-IT"/>
        </w:rPr>
        <w:t>3. Licencat/certifikatat e lëshuara, sipas modelit para hyrjes në fuqi të këtij udhëzimi, do të jenë në fuqi brenda afatit të tyre të vlefshmërisë.</w:t>
      </w:r>
    </w:p>
    <w:p w:rsidR="00CA6A57" w:rsidRPr="00D90CA4" w:rsidRDefault="00CA6A57" w:rsidP="00CA6A57">
      <w:pPr>
        <w:pStyle w:val="Paragrafi"/>
        <w:rPr>
          <w:lang w:val="it-IT"/>
        </w:rPr>
      </w:pPr>
      <w:r w:rsidRPr="00D90CA4">
        <w:rPr>
          <w:lang w:val="it-IT"/>
        </w:rPr>
        <w:t>Ky udhëzim hyn në fuqi pas botimit në Fletoren Zyrtare.</w:t>
      </w:r>
    </w:p>
    <w:p w:rsidR="00CA6A57" w:rsidRPr="00D90CA4" w:rsidRDefault="00CA6A57" w:rsidP="00CA6A57">
      <w:pPr>
        <w:pStyle w:val="Paragrafi"/>
        <w:rPr>
          <w:lang w:val="it-IT"/>
        </w:rPr>
      </w:pPr>
    </w:p>
    <w:p w:rsidR="00CA6A57" w:rsidRPr="00F43C3B" w:rsidRDefault="00CA6A57" w:rsidP="00CA6A57">
      <w:pPr>
        <w:pStyle w:val="Autoriteti"/>
        <w:rPr>
          <w:lang w:val="it-IT"/>
        </w:rPr>
      </w:pPr>
      <w:r w:rsidRPr="00F43C3B">
        <w:rPr>
          <w:lang w:val="it-IT"/>
        </w:rPr>
        <w:t xml:space="preserve">Ministri i Punëve Publike, Transportit </w:t>
      </w:r>
    </w:p>
    <w:p w:rsidR="00CA6A57" w:rsidRPr="00F43C3B" w:rsidRDefault="00CA6A57" w:rsidP="00CA6A57">
      <w:pPr>
        <w:pStyle w:val="Autoriteti"/>
        <w:rPr>
          <w:lang w:val="it-IT"/>
        </w:rPr>
      </w:pPr>
      <w:r w:rsidRPr="00F43C3B">
        <w:rPr>
          <w:lang w:val="it-IT"/>
        </w:rPr>
        <w:t>dhe Telekomunikacionit</w:t>
      </w:r>
    </w:p>
    <w:p w:rsidR="00CA6A57" w:rsidRPr="007A29C2" w:rsidRDefault="00CA6A57" w:rsidP="00CA6A57">
      <w:pPr>
        <w:pStyle w:val="AutoritetiEmer"/>
      </w:pPr>
      <w:r>
        <w:t>Sokol Olldashi</w:t>
      </w:r>
    </w:p>
    <w:p w:rsidR="00CA6A57" w:rsidRDefault="00CA6A57" w:rsidP="00CA6A57">
      <w:pPr>
        <w:pStyle w:val="Figure"/>
      </w:pPr>
    </w:p>
    <w:p w:rsidR="00CA6A57" w:rsidRDefault="00CA6A57" w:rsidP="00CA6A57">
      <w:pPr>
        <w:pStyle w:val="Figure"/>
      </w:pPr>
    </w:p>
    <w:p w:rsidR="00CA6A57" w:rsidRDefault="00CA6A57" w:rsidP="00CA6A57">
      <w:pPr>
        <w:pStyle w:val="Figure"/>
      </w:pPr>
    </w:p>
    <w:p w:rsidR="00CA6A57" w:rsidRDefault="00CA6A57" w:rsidP="00CA6A57">
      <w:pPr>
        <w:pStyle w:val="Figure"/>
      </w:pPr>
    </w:p>
    <w:p w:rsidR="00CA6A57" w:rsidRDefault="00CA6A57" w:rsidP="00CA6A57">
      <w:pPr>
        <w:pStyle w:val="Figure"/>
      </w:pPr>
    </w:p>
    <w:p w:rsidR="00CA6A57" w:rsidRDefault="00CA6A57" w:rsidP="00CA6A57">
      <w:pPr>
        <w:pStyle w:val="Figure"/>
      </w:pPr>
    </w:p>
    <w:p w:rsidR="00CA6A57" w:rsidRDefault="007B2E30" w:rsidP="00CA6A57">
      <w:pPr>
        <w:pStyle w:val="Figure"/>
      </w:pPr>
      <w:r w:rsidRPr="00FD73AE">
        <w:rPr>
          <w:noProof/>
          <w:lang w:val="en-GB" w:eastAsia="en-GB"/>
        </w:rPr>
        <w:lastRenderedPageBreak/>
        <w:drawing>
          <wp:inline distT="0" distB="0" distL="0" distR="0">
            <wp:extent cx="5762625" cy="80867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6A57" w:rsidRDefault="00CA6A57" w:rsidP="00CA6A57">
      <w:pPr>
        <w:pStyle w:val="Figure"/>
      </w:pPr>
    </w:p>
    <w:p w:rsidR="00CA6A57" w:rsidRDefault="00CA6A57" w:rsidP="00CA6A57">
      <w:pPr>
        <w:pStyle w:val="Figure"/>
      </w:pPr>
    </w:p>
    <w:p w:rsidR="00CA6A57" w:rsidRDefault="00CA6A57" w:rsidP="00CA6A57">
      <w:pPr>
        <w:pStyle w:val="Figure"/>
      </w:pPr>
    </w:p>
    <w:p w:rsidR="00CA6A57" w:rsidRDefault="007B2E30" w:rsidP="00CA6A57">
      <w:pPr>
        <w:pStyle w:val="Figure"/>
      </w:pPr>
      <w:r w:rsidRPr="00FD73AE">
        <w:rPr>
          <w:noProof/>
          <w:lang w:val="en-GB" w:eastAsia="en-GB"/>
        </w:rPr>
        <w:lastRenderedPageBreak/>
        <w:drawing>
          <wp:inline distT="0" distB="0" distL="0" distR="0">
            <wp:extent cx="5762625" cy="80867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6A57" w:rsidRDefault="00CA6A57" w:rsidP="00CA6A57">
      <w:pPr>
        <w:pStyle w:val="Figure"/>
      </w:pPr>
    </w:p>
    <w:p w:rsidR="00CA6A57" w:rsidRDefault="00CA6A57" w:rsidP="00CA6A57">
      <w:pPr>
        <w:pStyle w:val="Figure"/>
      </w:pPr>
    </w:p>
    <w:p w:rsidR="00CA6A57" w:rsidRDefault="00CA6A57" w:rsidP="00CA6A57">
      <w:pPr>
        <w:pStyle w:val="Figure"/>
      </w:pPr>
    </w:p>
    <w:p w:rsidR="00CA6A57" w:rsidRDefault="00CA6A57" w:rsidP="00CA6A57">
      <w:pPr>
        <w:pStyle w:val="Figure"/>
      </w:pPr>
    </w:p>
    <w:p w:rsidR="00CA6A57" w:rsidRDefault="007B2E30" w:rsidP="00CA6A57">
      <w:pPr>
        <w:pStyle w:val="Figure"/>
      </w:pPr>
      <w:r w:rsidRPr="00FD73AE">
        <w:rPr>
          <w:noProof/>
          <w:lang w:val="en-GB" w:eastAsia="en-GB"/>
        </w:rPr>
        <w:drawing>
          <wp:inline distT="0" distB="0" distL="0" distR="0">
            <wp:extent cx="5762625" cy="80867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6A57" w:rsidRDefault="00CA6A57" w:rsidP="00CA6A57">
      <w:pPr>
        <w:pStyle w:val="Figure"/>
      </w:pPr>
    </w:p>
    <w:p w:rsidR="00CA6A57" w:rsidRDefault="00CA6A57" w:rsidP="00CA6A57">
      <w:pPr>
        <w:pStyle w:val="Figure"/>
      </w:pPr>
    </w:p>
    <w:p w:rsidR="00CA6A57" w:rsidRDefault="00CA6A57" w:rsidP="00CA6A57">
      <w:pPr>
        <w:pStyle w:val="Figure"/>
      </w:pPr>
    </w:p>
    <w:p w:rsidR="00CA6A57" w:rsidRDefault="00CA6A57" w:rsidP="00CA6A57">
      <w:pPr>
        <w:pStyle w:val="Figure"/>
      </w:pPr>
    </w:p>
    <w:p w:rsidR="00CA6A57" w:rsidRDefault="007B2E30" w:rsidP="00CA6A57">
      <w:pPr>
        <w:pStyle w:val="Figure"/>
      </w:pPr>
      <w:r w:rsidRPr="00FD73AE">
        <w:rPr>
          <w:noProof/>
          <w:lang w:val="en-GB" w:eastAsia="en-GB"/>
        </w:rPr>
        <w:drawing>
          <wp:inline distT="0" distB="0" distL="0" distR="0">
            <wp:extent cx="5762625" cy="80867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6A57" w:rsidRDefault="00CA6A57" w:rsidP="00CA6A57">
      <w:pPr>
        <w:pStyle w:val="Figure"/>
      </w:pPr>
    </w:p>
    <w:p w:rsidR="00CA6A57" w:rsidRDefault="00CA6A57" w:rsidP="00CA6A57">
      <w:pPr>
        <w:pStyle w:val="Figure"/>
      </w:pPr>
    </w:p>
    <w:p w:rsidR="00CA6A57" w:rsidRDefault="00CA6A57" w:rsidP="00CA6A57">
      <w:pPr>
        <w:pStyle w:val="Figure"/>
      </w:pPr>
    </w:p>
    <w:p w:rsidR="00CA6A57" w:rsidRDefault="00CA6A57" w:rsidP="00CA6A57">
      <w:pPr>
        <w:pStyle w:val="Figure"/>
      </w:pPr>
    </w:p>
    <w:p w:rsidR="00CA6A57" w:rsidRDefault="007B2E30" w:rsidP="00CA6A57">
      <w:pPr>
        <w:pStyle w:val="Figure"/>
      </w:pPr>
      <w:r w:rsidRPr="00FD73AE">
        <w:rPr>
          <w:noProof/>
          <w:lang w:val="en-GB" w:eastAsia="en-GB"/>
        </w:rPr>
        <w:drawing>
          <wp:inline distT="0" distB="0" distL="0" distR="0">
            <wp:extent cx="5762625" cy="808672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6A57" w:rsidRDefault="00CA6A57" w:rsidP="00CA6A57">
      <w:pPr>
        <w:pStyle w:val="Figure"/>
      </w:pPr>
    </w:p>
    <w:p w:rsidR="00CA6A57" w:rsidRDefault="00CA6A57" w:rsidP="00CA6A57">
      <w:pPr>
        <w:pStyle w:val="Figure"/>
      </w:pPr>
    </w:p>
    <w:p w:rsidR="00CA6A57" w:rsidRDefault="00CA6A57" w:rsidP="00CA6A57">
      <w:pPr>
        <w:pStyle w:val="Figure"/>
      </w:pPr>
    </w:p>
    <w:p w:rsidR="00CA6A57" w:rsidRDefault="00CA6A57" w:rsidP="00CA6A57">
      <w:pPr>
        <w:pStyle w:val="Figure"/>
      </w:pPr>
    </w:p>
    <w:p w:rsidR="00CA6A57" w:rsidRDefault="00CA6A57" w:rsidP="00CA6A57">
      <w:pPr>
        <w:pStyle w:val="Figure"/>
      </w:pPr>
    </w:p>
    <w:p w:rsidR="00CA6A57" w:rsidRDefault="00CA6A57" w:rsidP="00CA6A57">
      <w:pPr>
        <w:pStyle w:val="Figure"/>
      </w:pPr>
    </w:p>
    <w:p w:rsidR="00CA6A57" w:rsidRDefault="007B2E30" w:rsidP="00CA6A57">
      <w:pPr>
        <w:pStyle w:val="Figure"/>
      </w:pPr>
      <w:r w:rsidRPr="00FD73AE">
        <w:rPr>
          <w:noProof/>
          <w:lang w:val="en-GB" w:eastAsia="en-GB"/>
        </w:rPr>
        <w:drawing>
          <wp:inline distT="0" distB="0" distL="0" distR="0">
            <wp:extent cx="5762625" cy="808672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6A57" w:rsidRDefault="00CA6A57" w:rsidP="00CA6A57">
      <w:pPr>
        <w:pStyle w:val="Figure"/>
      </w:pPr>
    </w:p>
    <w:p w:rsidR="00CA6A57" w:rsidRDefault="00CA6A57" w:rsidP="00CA6A57">
      <w:pPr>
        <w:pStyle w:val="Figure"/>
      </w:pPr>
    </w:p>
    <w:p w:rsidR="00CA6A57" w:rsidRDefault="007B2E30" w:rsidP="00CA6A57">
      <w:pPr>
        <w:pStyle w:val="Figure"/>
      </w:pPr>
      <w:r w:rsidRPr="00FD73AE">
        <w:rPr>
          <w:noProof/>
          <w:lang w:val="en-GB" w:eastAsia="en-GB"/>
        </w:rPr>
        <w:drawing>
          <wp:inline distT="0" distB="0" distL="0" distR="0">
            <wp:extent cx="5762625" cy="808672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6A57" w:rsidRDefault="00CA6A57" w:rsidP="00CA6A57">
      <w:pPr>
        <w:pStyle w:val="Figure"/>
      </w:pPr>
    </w:p>
    <w:p w:rsidR="00CA6A57" w:rsidRDefault="00CA6A57" w:rsidP="00CA6A57">
      <w:pPr>
        <w:pStyle w:val="Figure"/>
      </w:pPr>
    </w:p>
    <w:p w:rsidR="00CA6A57" w:rsidRDefault="00CA6A57" w:rsidP="00CA6A57">
      <w:pPr>
        <w:pStyle w:val="Figure"/>
      </w:pPr>
    </w:p>
    <w:p w:rsidR="00CA6A57" w:rsidRDefault="00CA6A57" w:rsidP="00CA6A57">
      <w:pPr>
        <w:pStyle w:val="Figure"/>
      </w:pPr>
    </w:p>
    <w:p w:rsidR="00CA6A57" w:rsidRDefault="007B2E30" w:rsidP="00CA6A57">
      <w:pPr>
        <w:pStyle w:val="Figure"/>
      </w:pPr>
      <w:r w:rsidRPr="00FD73AE">
        <w:rPr>
          <w:noProof/>
          <w:lang w:val="en-GB" w:eastAsia="en-GB"/>
        </w:rPr>
        <w:drawing>
          <wp:inline distT="0" distB="0" distL="0" distR="0">
            <wp:extent cx="5762625" cy="808672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6A57" w:rsidRDefault="00CA6A57" w:rsidP="00CA6A57">
      <w:pPr>
        <w:pStyle w:val="Figure"/>
      </w:pPr>
    </w:p>
    <w:p w:rsidR="00CA6A57" w:rsidRDefault="00CA6A57" w:rsidP="00CA6A57">
      <w:pPr>
        <w:pStyle w:val="Figure"/>
      </w:pPr>
    </w:p>
    <w:p w:rsidR="00CA6A57" w:rsidRDefault="00CA6A57" w:rsidP="00CA6A57">
      <w:pPr>
        <w:pStyle w:val="Figure"/>
      </w:pPr>
    </w:p>
    <w:p w:rsidR="00CA6A57" w:rsidRDefault="00CA6A57" w:rsidP="00CA6A57">
      <w:pPr>
        <w:pStyle w:val="Figure"/>
      </w:pPr>
    </w:p>
    <w:p w:rsidR="00CA6A57" w:rsidRDefault="007B2E30" w:rsidP="00CA6A57">
      <w:pPr>
        <w:pStyle w:val="Figure"/>
      </w:pPr>
      <w:r w:rsidRPr="00FD73AE">
        <w:rPr>
          <w:noProof/>
          <w:lang w:val="en-GB" w:eastAsia="en-GB"/>
        </w:rPr>
        <w:drawing>
          <wp:inline distT="0" distB="0" distL="0" distR="0">
            <wp:extent cx="5762625" cy="8086725"/>
            <wp:effectExtent l="0" t="0" r="9525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6A57" w:rsidRDefault="00CA6A57" w:rsidP="00CA6A57">
      <w:pPr>
        <w:pStyle w:val="Figure"/>
      </w:pPr>
    </w:p>
    <w:p w:rsidR="00CA6A57" w:rsidRDefault="00CA6A57" w:rsidP="00CA6A57">
      <w:pPr>
        <w:pStyle w:val="Figure"/>
      </w:pPr>
    </w:p>
    <w:p w:rsidR="00CA6A57" w:rsidRDefault="00CA6A57" w:rsidP="00CA6A57">
      <w:pPr>
        <w:pStyle w:val="Figure"/>
      </w:pPr>
    </w:p>
    <w:p w:rsidR="00CA6A57" w:rsidRDefault="00CA6A57" w:rsidP="00CA6A57">
      <w:pPr>
        <w:pStyle w:val="Figure"/>
      </w:pPr>
    </w:p>
    <w:p w:rsidR="00CA6A57" w:rsidRDefault="007B2E30" w:rsidP="00CA6A57">
      <w:pPr>
        <w:pStyle w:val="Figure"/>
      </w:pPr>
      <w:r w:rsidRPr="00FD73AE">
        <w:rPr>
          <w:noProof/>
          <w:lang w:val="en-GB" w:eastAsia="en-GB"/>
        </w:rPr>
        <w:drawing>
          <wp:inline distT="0" distB="0" distL="0" distR="0">
            <wp:extent cx="5762625" cy="8086725"/>
            <wp:effectExtent l="0" t="0" r="952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6A57" w:rsidRDefault="00CA6A57" w:rsidP="00CA6A57">
      <w:pPr>
        <w:pStyle w:val="Figure"/>
      </w:pPr>
    </w:p>
    <w:p w:rsidR="00CA6A57" w:rsidRDefault="00CA6A57" w:rsidP="00CA6A57">
      <w:pPr>
        <w:pStyle w:val="Figure"/>
      </w:pPr>
    </w:p>
    <w:p w:rsidR="00CA6A57" w:rsidRDefault="00CA6A57" w:rsidP="00CA6A57">
      <w:pPr>
        <w:pStyle w:val="Figure"/>
      </w:pPr>
    </w:p>
    <w:p w:rsidR="00CA6A57" w:rsidRDefault="00CA6A57" w:rsidP="00CA6A57">
      <w:pPr>
        <w:pStyle w:val="Figure"/>
      </w:pPr>
    </w:p>
    <w:p w:rsidR="00CA6A57" w:rsidRDefault="007B2E30" w:rsidP="00CA6A57">
      <w:pPr>
        <w:pStyle w:val="Figure"/>
      </w:pPr>
      <w:r w:rsidRPr="00FD73AE">
        <w:rPr>
          <w:noProof/>
          <w:lang w:val="en-GB" w:eastAsia="en-GB"/>
        </w:rPr>
        <w:drawing>
          <wp:inline distT="0" distB="0" distL="0" distR="0">
            <wp:extent cx="5762625" cy="8086725"/>
            <wp:effectExtent l="0" t="0" r="9525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6A57" w:rsidRDefault="00CA6A57" w:rsidP="00CA6A57">
      <w:pPr>
        <w:pStyle w:val="Figure"/>
      </w:pPr>
    </w:p>
    <w:p w:rsidR="00CA6A57" w:rsidRDefault="00CA6A57" w:rsidP="00CA6A57">
      <w:pPr>
        <w:pStyle w:val="Figure"/>
      </w:pPr>
    </w:p>
    <w:p w:rsidR="00CA6A57" w:rsidRDefault="00CA6A57" w:rsidP="00CA6A57">
      <w:pPr>
        <w:pStyle w:val="Figure"/>
      </w:pPr>
    </w:p>
    <w:p w:rsidR="00CA6A57" w:rsidRDefault="00CA6A57" w:rsidP="00CA6A57">
      <w:pPr>
        <w:pStyle w:val="Figure"/>
      </w:pPr>
    </w:p>
    <w:p w:rsidR="00CA6A57" w:rsidRDefault="007B2E30" w:rsidP="00CA6A57">
      <w:pPr>
        <w:pStyle w:val="Figure"/>
      </w:pPr>
      <w:r w:rsidRPr="00FD73AE">
        <w:rPr>
          <w:noProof/>
          <w:lang w:val="en-GB" w:eastAsia="en-GB"/>
        </w:rPr>
        <w:drawing>
          <wp:inline distT="0" distB="0" distL="0" distR="0">
            <wp:extent cx="5762625" cy="8086725"/>
            <wp:effectExtent l="0" t="0" r="9525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6A57" w:rsidRDefault="00CA6A57" w:rsidP="00CA6A57">
      <w:pPr>
        <w:pStyle w:val="Figure"/>
      </w:pPr>
    </w:p>
    <w:p w:rsidR="00CA6A57" w:rsidRDefault="00CA6A57" w:rsidP="00CA6A57">
      <w:pPr>
        <w:pStyle w:val="Figure"/>
      </w:pPr>
    </w:p>
    <w:p w:rsidR="00CA6A57" w:rsidRDefault="00CA6A57" w:rsidP="00CA6A57">
      <w:pPr>
        <w:pStyle w:val="Figure"/>
      </w:pPr>
    </w:p>
    <w:p w:rsidR="00CA6A57" w:rsidRDefault="00CA6A57" w:rsidP="00CA6A57">
      <w:pPr>
        <w:pStyle w:val="Figure"/>
      </w:pPr>
    </w:p>
    <w:p w:rsidR="00CA6A57" w:rsidRDefault="007B2E30" w:rsidP="00CA6A57">
      <w:pPr>
        <w:pStyle w:val="Figure"/>
      </w:pPr>
      <w:r w:rsidRPr="00FD73AE">
        <w:rPr>
          <w:noProof/>
          <w:lang w:val="en-GB" w:eastAsia="en-GB"/>
        </w:rPr>
        <w:drawing>
          <wp:inline distT="0" distB="0" distL="0" distR="0">
            <wp:extent cx="5762625" cy="8086725"/>
            <wp:effectExtent l="0" t="0" r="9525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6A57" w:rsidRDefault="00CA6A57" w:rsidP="00CA6A57">
      <w:pPr>
        <w:pStyle w:val="Figure"/>
      </w:pPr>
    </w:p>
    <w:p w:rsidR="00CA6A57" w:rsidRDefault="00CA6A57" w:rsidP="00CA6A57">
      <w:pPr>
        <w:pStyle w:val="Figure"/>
      </w:pPr>
    </w:p>
    <w:p w:rsidR="00CA6A57" w:rsidRDefault="00CA6A57" w:rsidP="00CA6A57">
      <w:pPr>
        <w:pStyle w:val="Figure"/>
      </w:pPr>
    </w:p>
    <w:p w:rsidR="00CA6A57" w:rsidRDefault="00CA6A57" w:rsidP="00CA6A57">
      <w:pPr>
        <w:pStyle w:val="Figure"/>
      </w:pPr>
    </w:p>
    <w:p w:rsidR="00CA6A57" w:rsidRPr="007A29C2" w:rsidRDefault="007B2E30" w:rsidP="00CA6A57">
      <w:pPr>
        <w:pStyle w:val="Figure"/>
      </w:pPr>
      <w:r w:rsidRPr="00FD73AE">
        <w:rPr>
          <w:noProof/>
          <w:lang w:val="en-GB" w:eastAsia="en-GB"/>
        </w:rPr>
        <w:drawing>
          <wp:inline distT="0" distB="0" distL="0" distR="0">
            <wp:extent cx="5762625" cy="8086725"/>
            <wp:effectExtent l="0" t="0" r="9525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A6A57" w:rsidRPr="007A29C2" w:rsidSect="00CA6A57">
      <w:footerReference w:type="even" r:id="rId21"/>
      <w:footerReference w:type="default" r:id="rId22"/>
      <w:pgSz w:w="11907" w:h="16840" w:code="9"/>
      <w:pgMar w:top="1418" w:right="1418" w:bottom="1418" w:left="1418" w:header="1304" w:footer="1134" w:gutter="0"/>
      <w:pgNumType w:start="298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B2E30">
      <w:r>
        <w:separator/>
      </w:r>
    </w:p>
  </w:endnote>
  <w:endnote w:type="continuationSeparator" w:id="0">
    <w:p w:rsidR="00000000" w:rsidRDefault="007B2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6A57" w:rsidRDefault="00CA6A57" w:rsidP="00CA6A5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A6A57" w:rsidRDefault="00CA6A57" w:rsidP="00CA6A5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6A57" w:rsidRPr="00056C7A" w:rsidRDefault="00CA6A57" w:rsidP="00CA6A57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056C7A">
      <w:rPr>
        <w:rStyle w:val="PageNumber"/>
        <w:rFonts w:ascii="CG Times" w:hAnsi="CG Times"/>
        <w:sz w:val="22"/>
        <w:szCs w:val="22"/>
      </w:rPr>
      <w:fldChar w:fldCharType="begin"/>
    </w:r>
    <w:r w:rsidRPr="00056C7A">
      <w:rPr>
        <w:rStyle w:val="PageNumber"/>
        <w:rFonts w:ascii="CG Times" w:hAnsi="CG Times"/>
        <w:sz w:val="22"/>
        <w:szCs w:val="22"/>
      </w:rPr>
      <w:instrText xml:space="preserve">PAGE  </w:instrText>
    </w:r>
    <w:r w:rsidRPr="00056C7A">
      <w:rPr>
        <w:rStyle w:val="PageNumber"/>
        <w:rFonts w:ascii="CG Times" w:hAnsi="CG Times"/>
        <w:sz w:val="22"/>
        <w:szCs w:val="22"/>
      </w:rPr>
      <w:fldChar w:fldCharType="separate"/>
    </w:r>
    <w:r w:rsidR="007B2E30">
      <w:rPr>
        <w:rStyle w:val="PageNumber"/>
        <w:rFonts w:ascii="CG Times" w:hAnsi="CG Times"/>
        <w:noProof/>
        <w:sz w:val="22"/>
        <w:szCs w:val="22"/>
      </w:rPr>
      <w:t>2990</w:t>
    </w:r>
    <w:r w:rsidRPr="00056C7A">
      <w:rPr>
        <w:rStyle w:val="PageNumber"/>
        <w:rFonts w:ascii="CG Times" w:hAnsi="CG Times"/>
        <w:sz w:val="22"/>
        <w:szCs w:val="22"/>
      </w:rPr>
      <w:fldChar w:fldCharType="end"/>
    </w:r>
  </w:p>
  <w:p w:rsidR="00CA6A57" w:rsidRPr="00D90CA4" w:rsidRDefault="00CA6A57" w:rsidP="00CA6A57">
    <w:pPr>
      <w:pStyle w:val="Footer"/>
      <w:tabs>
        <w:tab w:val="clear" w:pos="8306"/>
      </w:tabs>
      <w:ind w:right="360" w:firstLine="360"/>
      <w:jc w:val="right"/>
      <w:rPr>
        <w:rFonts w:ascii="CG Times" w:hAnsi="CG Times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B2E30">
      <w:r>
        <w:separator/>
      </w:r>
    </w:p>
  </w:footnote>
  <w:footnote w:type="continuationSeparator" w:id="0">
    <w:p w:rsidR="00000000" w:rsidRDefault="007B2E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A6A57"/>
    <w:rsid w:val="00155FB1"/>
    <w:rsid w:val="007B2E30"/>
    <w:rsid w:val="00CA6A57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E208B2-4F47-4122-8230-04A13CDBC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6A57"/>
    <w:pPr>
      <w:jc w:val="both"/>
    </w:pPr>
    <w:rPr>
      <w:rFonts w:ascii="Arial" w:hAnsi="Arial" w:cs="Angsana New"/>
      <w:lang w:eastAsia="zh-CN" w:bidi="th-TH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eastAsia="MS Mincho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outlineLvl w:val="1"/>
    </w:pPr>
    <w:rPr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textAlignment w:val="baseline"/>
    </w:p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textAlignment w:val="baseline"/>
    </w:p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</w:pPr>
    <w:rPr>
      <w:rFonts w:ascii="Bookman Old Style" w:hAnsi="Bookman Old Style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</w:pPr>
    <w:rPr>
      <w:rFonts w:ascii="Trebuchet MS" w:hAnsi="Trebuchet MS" w:cs="Arial"/>
      <w:sz w:val="16"/>
      <w:szCs w:val="16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</w:pPr>
    <w:rPr>
      <w:rFonts w:ascii="Trebuchet MS" w:hAnsi="Trebuchet MS"/>
      <w:b/>
      <w:bCs/>
      <w:sz w:val="22"/>
      <w:lang w:val="sq-AL" w:eastAsia="en-GB"/>
    </w:rPr>
  </w:style>
  <w:style w:type="paragraph" w:customStyle="1" w:styleId="Titulli">
    <w:name w:val="Titulli"/>
    <w:next w:val="Normal"/>
    <w:link w:val="TitulliChar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</w:pPr>
    <w:rPr>
      <w:noProof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</w:pPr>
    <w:rPr>
      <w:noProof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</w:p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</w:pPr>
    <w:rPr>
      <w:noProof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</w:pPr>
    <w:rPr>
      <w:rFonts w:ascii="Trebuchet MS" w:hAnsi="Trebuchet MS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</w:pPr>
    <w:rPr>
      <w:rFonts w:ascii="CG Times" w:hAnsi="CG Times"/>
      <w:kern w:val="28"/>
      <w:sz w:val="22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lang w:val="sq-AL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lang w:eastAsia="en-GB"/>
    </w:rPr>
  </w:style>
  <w:style w:type="paragraph" w:customStyle="1" w:styleId="TableText">
    <w:name w:val="Table Text"/>
    <w:basedOn w:val="BodyText"/>
    <w:rsid w:val="00D60C8B"/>
    <w:pPr>
      <w:spacing w:before="40" w:after="40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</w:pPr>
    <w:rPr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cs="Arial"/>
      <w:b/>
      <w:bCs/>
      <w:sz w:val="22"/>
      <w:szCs w:val="22"/>
      <w:lang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8"/>
      <w:szCs w:val="18"/>
      <w:lang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b/>
      <w:bCs/>
      <w:i/>
      <w:iCs/>
      <w:sz w:val="18"/>
      <w:szCs w:val="18"/>
      <w:lang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cs="Arial"/>
      <w:b/>
      <w:bCs/>
      <w:sz w:val="18"/>
      <w:szCs w:val="18"/>
      <w:lang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cs="Arial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cs="Arial"/>
      <w:color w:val="000000"/>
      <w:sz w:val="22"/>
      <w:szCs w:val="22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cs="Arial"/>
      <w:color w:val="000000"/>
      <w:sz w:val="22"/>
      <w:szCs w:val="22"/>
    </w:rPr>
  </w:style>
  <w:style w:type="character" w:customStyle="1" w:styleId="AutoritetiEmerChar">
    <w:name w:val="Autoriteti_Emer Char"/>
    <w:basedOn w:val="DefaultParagraphFont"/>
    <w:link w:val="AutoritetiEmer"/>
    <w:rsid w:val="00CA6A57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A6A57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A6A57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styleId="PageNumber">
    <w:name w:val="page number"/>
    <w:basedOn w:val="DefaultParagraphFont"/>
    <w:rsid w:val="00CA6A57"/>
    <w:rPr>
      <w:rFonts w:ascii="Tahoma" w:eastAsia="MS Mincho" w:hAnsi="Tahoma"/>
      <w:lang w:val="en-GB" w:eastAsia="en-US" w:bidi="ar-SA"/>
    </w:rPr>
  </w:style>
  <w:style w:type="paragraph" w:styleId="Footer">
    <w:name w:val="footer"/>
    <w:basedOn w:val="Normal"/>
    <w:rsid w:val="00CA6A57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1334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Nisida</dc:creator>
  <cp:keywords/>
  <dc:description/>
  <cp:lastModifiedBy>Inida Noga</cp:lastModifiedBy>
  <cp:revision>2</cp:revision>
  <dcterms:created xsi:type="dcterms:W3CDTF">2019-03-16T18:51:00Z</dcterms:created>
  <dcterms:modified xsi:type="dcterms:W3CDTF">2019-03-16T18:51:00Z</dcterms:modified>
</cp:coreProperties>
</file>