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1A1" w:rsidRPr="005D0B4D" w:rsidRDefault="007F01A1" w:rsidP="007F01A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0B4D">
        <w:rPr>
          <w:sz w:val="21"/>
          <w:szCs w:val="21"/>
          <w:lang w:val="sq-AL"/>
        </w:rPr>
        <w:t>Udhëzim</w:t>
      </w:r>
    </w:p>
    <w:p w:rsidR="007F01A1" w:rsidRPr="005D0B4D" w:rsidRDefault="007F01A1" w:rsidP="007F01A1">
      <w:pPr>
        <w:pStyle w:val="NumriData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Nr.1, datë 13.1.2011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</w:p>
    <w:p w:rsidR="007F01A1" w:rsidRPr="005D0B4D" w:rsidRDefault="007F01A1" w:rsidP="007F01A1">
      <w:pPr>
        <w:pStyle w:val="Titull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disa ndryshime në udhëzimin nr.3551, datë 23.7.2003 “Mbi regjistrimin e mjeteve rrugore”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mbështetje të pikë</w:t>
      </w:r>
      <w:r>
        <w:rPr>
          <w:sz w:val="21"/>
          <w:szCs w:val="21"/>
          <w:lang w:val="sq-AL"/>
        </w:rPr>
        <w:t xml:space="preserve">s 4 të nenit 102 të </w:t>
      </w:r>
      <w:r w:rsidRPr="005D0B4D">
        <w:rPr>
          <w:sz w:val="21"/>
          <w:szCs w:val="21"/>
          <w:lang w:val="sq-AL"/>
        </w:rPr>
        <w:t xml:space="preserve"> Kushtetutës së Republikës së Shqipërisë, nenit 92 të ligjit nr.8378, datë 22.7.1998 “Kodi Rrugor i Republikës së Shqipërisë” dhe pikë</w:t>
      </w:r>
      <w:r>
        <w:rPr>
          <w:sz w:val="21"/>
          <w:szCs w:val="21"/>
          <w:lang w:val="sq-AL"/>
        </w:rPr>
        <w:t xml:space="preserve">s 5 të </w:t>
      </w:r>
      <w:r w:rsidRPr="005D0B4D">
        <w:rPr>
          <w:sz w:val="21"/>
          <w:szCs w:val="21"/>
          <w:lang w:val="sq-AL"/>
        </w:rPr>
        <w:t>neni</w:t>
      </w:r>
      <w:r>
        <w:rPr>
          <w:sz w:val="21"/>
          <w:szCs w:val="21"/>
          <w:lang w:val="sq-AL"/>
        </w:rPr>
        <w:t>t 237 të</w:t>
      </w:r>
      <w:r w:rsidRPr="005D0B4D">
        <w:rPr>
          <w:sz w:val="21"/>
          <w:szCs w:val="21"/>
          <w:lang w:val="sq-AL"/>
        </w:rPr>
        <w:t xml:space="preserve"> vendimit të Këshillit të Ministrave nr.153, datë 7.4.2000 “Rregullorja e zbatimit të Kodit Rrugor të Republikës së Shqipërisë”, të ndryshuar, Ministri i Punëve Publike dhe Transportit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</w:p>
    <w:p w:rsidR="007F01A1" w:rsidRPr="005D0B4D" w:rsidRDefault="007F01A1" w:rsidP="007F01A1">
      <w:pPr>
        <w:pStyle w:val="VENDOS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Udhëzon: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udhëzimin nr.3551, datë 23.7.2003 “Mbi regjistrimin e mjeteve rrugore”, bëhen ndryshimet si më poshtë: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1. Neni 3 pika 6 shkronja “b”, paragrafi i dytë,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“Pë</w:t>
      </w:r>
      <w:r>
        <w:rPr>
          <w:sz w:val="21"/>
          <w:szCs w:val="21"/>
          <w:lang w:val="sq-AL"/>
        </w:rPr>
        <w:t>r subjektet juridike</w:t>
      </w:r>
      <w:r w:rsidRPr="005D0B4D">
        <w:rPr>
          <w:sz w:val="21"/>
          <w:szCs w:val="21"/>
          <w:lang w:val="sq-AL"/>
        </w:rPr>
        <w:t>, ekstrakt i QKR-së, në origjinal.”.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2. Neni 3, pika 6, shkronja “c”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“Kart</w:t>
      </w:r>
      <w:r>
        <w:rPr>
          <w:sz w:val="21"/>
          <w:szCs w:val="21"/>
          <w:lang w:val="sq-AL"/>
        </w:rPr>
        <w:t>ën</w:t>
      </w:r>
      <w:r w:rsidRPr="005D0B4D">
        <w:rPr>
          <w:sz w:val="21"/>
          <w:szCs w:val="21"/>
          <w:lang w:val="sq-AL"/>
        </w:rPr>
        <w:t xml:space="preserve"> e identitetit, e cila pasi fotokopjohet dhe legalizohet nga nëpunësi i pranimit sipas rregullave në fuqi, i kthehet përsëri klientit”.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3. Neni 11, pika 1, shkronja “f”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“Kur pronari ndryshon rrethin e vendbanimit, dorëzon targat vetëm nëse ato janë të sistemit të vjetër.”.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4. Neni 11, pika 3, shkronja “e” ndryshohet si vijon: 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“Sipas procedurave të përcaktuara nga DPSHTRR-ja magazinon targat nëse ato janë sipas sistemit të vjetër.”.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5. Neni 11, pika 3, shkronja “h”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“I dorëzon klientit targat e reja të mjetit, në rastet kur ky i fundit ka pasur targa të sistemit të vjetër.”.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6. Neni 11, pika 4, shkronja “e”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“Sipas procedurave të përcaktuara nga DPSHTRR-ja magazinon targat nëse ato janë sipas sistemit të vjetër.”.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7. Neni 11, pika 4, shkronja “g”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“I dorëzon klientit targat e reja të mjetit, në rastet kur ky i fundit ka pasur targa të sistemit të vjetër.”.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8. Neni 13, pika 1, shkronja “h”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“Kur pronari ndryshon rrethin e vendbanimit, dorëzon targat, vetëm nëse ato </w:t>
      </w:r>
      <w:r>
        <w:rPr>
          <w:sz w:val="21"/>
          <w:szCs w:val="21"/>
          <w:lang w:val="sq-AL"/>
        </w:rPr>
        <w:t>j</w:t>
      </w:r>
      <w:r w:rsidRPr="005D0B4D">
        <w:rPr>
          <w:sz w:val="21"/>
          <w:szCs w:val="21"/>
          <w:lang w:val="sq-AL"/>
        </w:rPr>
        <w:t>anë të sistemit të vjetër.”.</w:t>
      </w:r>
    </w:p>
    <w:p w:rsidR="007F01A1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9. Neni 13, pika 3, shkronja “e” ndryshohet si vijon: 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“Sipas procedurave të përcaktuara nga DPSHTRR-ja magazinon targat nëse ato janë sipas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10. Neni 13, pika 3, shkronja “i”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“I dorëzon klientit targat e reja të mjetit, në rastet kur ky i fundit ka pasur targa të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11. Neni 13, pika 4, shkronja “e”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“Sipas procedurave të përcaktuar</w:t>
      </w:r>
      <w:r>
        <w:rPr>
          <w:sz w:val="21"/>
          <w:szCs w:val="21"/>
          <w:lang w:val="sq-AL"/>
        </w:rPr>
        <w:t>a</w:t>
      </w:r>
      <w:r w:rsidRPr="005D0B4D">
        <w:rPr>
          <w:sz w:val="21"/>
          <w:szCs w:val="21"/>
          <w:lang w:val="sq-AL"/>
        </w:rPr>
        <w:t xml:space="preserve"> nga DPSHTRR-ja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magazinon targat nëse ato janë sipas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12. Neni 13, pika 4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shkronja “g”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“I dorëzon klientit targat e reja të mjetit, në rastet kur ky i fundit ka pasur targa të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13. Neni 24, pika 1, shkronja “c”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“Kur pronari ndryshon rrethin e vendbanimit, dorëzon shenjën e identifikimit të ciklomotorit, vetëm nëse ajo është sipas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14. Neni 24, pika 3, shkronja “d”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“Sipas procedurave të përcaktuara nga DPSHTRR-ja, magazinon shenjën e identifikimit të ciklomotorit, vetëm nëse ajo është sipas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15. Neni 24, pika 3, shkronja “g”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“I dorëzon klientit shenjën e re të identifikimit të ciklomotorit, në rastet kur ky i fundit ka pasur shenjë </w:t>
      </w:r>
      <w:r w:rsidRPr="005D0B4D">
        <w:rPr>
          <w:sz w:val="21"/>
          <w:szCs w:val="21"/>
          <w:lang w:val="sq-AL"/>
        </w:rPr>
        <w:lastRenderedPageBreak/>
        <w:t>identifikimi të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16. Neni 24, pika 4, shkronja “d”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“Sipas procedurave të përcaktuara nga DPSHTRR-ja, magazinon shenjën e identifikimit të ciklomotorit, vetëm nëse ajo është sipas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17. Neni 24, pika 4, shkronja “e” ndryshohet si vijon: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“I dorëzon klientit shenjën e re të identifikimit të ciklomotorit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në raste</w:t>
      </w:r>
      <w:r>
        <w:rPr>
          <w:sz w:val="21"/>
          <w:szCs w:val="21"/>
          <w:lang w:val="sq-AL"/>
        </w:rPr>
        <w:t>t</w:t>
      </w:r>
      <w:r w:rsidRPr="005D0B4D">
        <w:rPr>
          <w:sz w:val="21"/>
          <w:szCs w:val="21"/>
          <w:lang w:val="sq-AL"/>
        </w:rPr>
        <w:t xml:space="preserve"> kur ky i fundit ka pasur shenjë identifikimi të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18. Në nenin 46, pas pikës 2, shtohet pika 3, me këtë përmbajtje: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“3. Përsëritja e autorizimit të provës: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a) Zyra e regjistrimit bën shënimet përkatëse në regjistrin e targave të provës.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b) Sipas procedurave të përcaktuara nga DPSHTRR-ja, magazinon targën vetëm nëse ajo është sipas sistemit të vjetër.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c) I dorëzon subjektit targën e re të provës, vetëm në rastet kur subjekti ka pasur targë të sistemit të vjetër.”.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udhëzim hyn në fuqi pas botimit në Fletoren Zyrtare.</w:t>
      </w:r>
    </w:p>
    <w:p w:rsidR="007F01A1" w:rsidRPr="005D0B4D" w:rsidRDefault="007F01A1" w:rsidP="007F01A1">
      <w:pPr>
        <w:pStyle w:val="Paragrafi"/>
        <w:rPr>
          <w:sz w:val="21"/>
          <w:szCs w:val="21"/>
          <w:lang w:val="sq-AL"/>
        </w:rPr>
      </w:pPr>
    </w:p>
    <w:p w:rsidR="007F01A1" w:rsidRPr="005D0B4D" w:rsidRDefault="007F01A1" w:rsidP="007F01A1">
      <w:pPr>
        <w:pStyle w:val="Autoritet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Ministri i Punëve Publike dhe Transportit</w:t>
      </w:r>
    </w:p>
    <w:p w:rsidR="007F01A1" w:rsidRPr="005D0B4D" w:rsidRDefault="007F01A1" w:rsidP="007F01A1">
      <w:pPr>
        <w:pStyle w:val="AutoritetiEmer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Sokol Olldashi</w:t>
      </w:r>
    </w:p>
    <w:sectPr w:rsidR="007F01A1" w:rsidRPr="005D0B4D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01A1"/>
    <w:rsid w:val="001B34A9"/>
    <w:rsid w:val="00280E90"/>
    <w:rsid w:val="003430B4"/>
    <w:rsid w:val="004C31D9"/>
    <w:rsid w:val="004F6270"/>
    <w:rsid w:val="007F01A1"/>
    <w:rsid w:val="00A434B8"/>
    <w:rsid w:val="00C02F03"/>
    <w:rsid w:val="00C31D94"/>
    <w:rsid w:val="00C94031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A8FE3D-CAEE-4FB9-ABF7-40BE656F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1A1"/>
    <w:pPr>
      <w:spacing w:after="200" w:line="276" w:lineRule="auto"/>
    </w:pPr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F01A1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